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47057ABA" w:rsidR="00EF4933" w:rsidRPr="00EF4933" w:rsidRDefault="00EF4933" w:rsidP="004B1C29">
      <w:pPr>
        <w:rPr>
          <w:rFonts w:ascii="Times New Roman" w:hAnsi="Times New Roman" w:cs="Times New Roman"/>
          <w:b/>
        </w:rPr>
      </w:pPr>
      <w:r>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77777777"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proofErr w:type="spellStart"/>
      <w:r>
        <w:rPr>
          <w:rFonts w:ascii="Times New Roman" w:hAnsi="Times New Roman" w:cs="Times New Roman"/>
          <w:bCs/>
        </w:rPr>
        <w:t>Krehenwinkel</w:t>
      </w:r>
      <w:proofErr w:type="spellEnd"/>
      <w:r>
        <w:rPr>
          <w:rFonts w:ascii="Times New Roman" w:hAnsi="Times New Roman" w:cs="Times New Roman"/>
          <w:bCs/>
        </w:rPr>
        <w:t xml:space="preserve">, Macias </w:t>
      </w:r>
      <w:proofErr w:type="spellStart"/>
      <w:r>
        <w:rPr>
          <w:rFonts w:ascii="Times New Roman" w:hAnsi="Times New Roman" w:cs="Times New Roman"/>
          <w:bCs/>
        </w:rPr>
        <w:t>Herndandez</w:t>
      </w:r>
      <w:proofErr w:type="spellEnd"/>
      <w:r>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Pr>
          <w:rFonts w:ascii="Times New Roman" w:hAnsi="Times New Roman" w:cs="Times New Roman"/>
          <w:bCs/>
        </w:rPr>
        <w:t xml:space="preserve">Following methods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xml:space="preserve">, which is well-represented in online databases (Porter and </w:t>
      </w:r>
      <w:proofErr w:type="spellStart"/>
      <w:r>
        <w:rPr>
          <w:rFonts w:ascii="Times New Roman" w:hAnsi="Times New Roman" w:cs="Times New Roman"/>
          <w:bCs/>
        </w:rPr>
        <w:t>Hajibabaei</w:t>
      </w:r>
      <w:proofErr w:type="spellEnd"/>
      <w:r>
        <w:rPr>
          <w:rFonts w:ascii="Times New Roman" w:hAnsi="Times New Roman" w:cs="Times New Roman"/>
          <w:bCs/>
        </w:rPr>
        <w:t xml:space="preserve"> 2018)</w:t>
      </w:r>
      <w:r w:rsidRPr="0040503F">
        <w:rPr>
          <w:rFonts w:ascii="Times New Roman" w:hAnsi="Times New Roman" w:cs="Times New Roman"/>
          <w:bCs/>
        </w:rPr>
        <w:t xml:space="preserve"> 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t>
      </w:r>
      <w:proofErr w:type="spellStart"/>
      <w:r>
        <w:rPr>
          <w:rFonts w:ascii="Times New Roman" w:hAnsi="Times New Roman" w:cs="Times New Roman"/>
          <w:bCs/>
        </w:rPr>
        <w:t>Leray</w:t>
      </w:r>
      <w:proofErr w:type="spellEnd"/>
      <w:r>
        <w:rPr>
          <w:rFonts w:ascii="Times New Roman" w:hAnsi="Times New Roman" w:cs="Times New Roman"/>
          <w:bCs/>
        </w:rPr>
        <w:t xml:space="preserve"> et al. 2013, Yu et al. 2012). 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(Illumina).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77777777"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proofErr w:type="spellStart"/>
      <w:r>
        <w:rPr>
          <w:rFonts w:ascii="Times New Roman" w:hAnsi="Times New Roman" w:cs="Times New Roman"/>
          <w:bCs/>
        </w:rPr>
        <w:t>Krehenwinkel</w:t>
      </w:r>
      <w:proofErr w:type="spellEnd"/>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SI Figure 2), we ran samples for this study across four separate sequencing runs (SI Table 1).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across all runs to quantify run-to-run variation in sequencing (SI Figure 3).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Apigo &amp; Oono, 2018; Clark et al., 2016; Toju et al., 2012)</w:t>
      </w:r>
      <w:r w:rsidRPr="0040503F">
        <w:rPr>
          <w:rFonts w:ascii="Times New Roman" w:hAnsi="Times New Roman" w:cs="Times New Roman"/>
          <w:bCs/>
        </w:rPr>
        <w:fldChar w:fldCharType="end"/>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Our full protocol from DNA extraction through submission for Illumina sequencing can be found in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proofErr w:type="gramStart"/>
      <w:r>
        <w:rPr>
          <w:rFonts w:ascii="Times New Roman" w:hAnsi="Times New Roman" w:cs="Times New Roman"/>
          <w:bCs/>
        </w:rPr>
        <w:t>et al.</w:t>
      </w:r>
      <w:r w:rsidRPr="0040503F">
        <w:rPr>
          <w:rFonts w:ascii="Times New Roman" w:hAnsi="Times New Roman" w:cs="Times New Roman"/>
          <w:bCs/>
        </w:rPr>
        <w:t>.</w:t>
      </w:r>
      <w:proofErr w:type="gramEnd"/>
      <w:r w:rsidRPr="0040503F">
        <w:rPr>
          <w:rFonts w:ascii="Times New Roman" w:hAnsi="Times New Roman" w:cs="Times New Roman"/>
          <w:bCs/>
        </w:rPr>
        <w:t xml:space="preserve"> </w:t>
      </w:r>
    </w:p>
    <w:p w14:paraId="056286EA" w14:textId="77777777" w:rsidR="004B1C29" w:rsidRPr="0040503F" w:rsidRDefault="004B1C29" w:rsidP="004B1C29">
      <w:pPr>
        <w:rPr>
          <w:rFonts w:ascii="Times New Roman" w:hAnsi="Times New Roman" w:cs="Times New Roman"/>
          <w:bCs/>
        </w:rPr>
      </w:pPr>
    </w:p>
    <w:p w14:paraId="2FDE836B" w14:textId="77777777"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CITE EDGAR), but found that DADA2 gave more high-read abundance ASVs (SI Figure 4). We ran DADA2 on sequences from all sequencing runs combined but verified that this was appropriate by first ensuring that error rates per run were similar, following recommendations from the algorithm developers (SI Figure 5). 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Pr>
          <w:rFonts w:ascii="Times New Roman" w:hAnsi="Times New Roman" w:cs="Times New Roman"/>
          <w:bCs/>
        </w:rPr>
        <w:lastRenderedPageBreak/>
        <w:t>(CITE) and a lower quantile cutoff (SI Figures 6 &amp; 7).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(Hsieh &amp;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248925D9" w14:textId="77777777" w:rsidR="004B1C29" w:rsidRPr="00921B5B" w:rsidRDefault="004B1C29" w:rsidP="004B1C29">
      <w:pPr>
        <w:rPr>
          <w:rFonts w:ascii="Times New Roman" w:eastAsia="Times New Roman" w:hAnsi="Times New Roman" w:cs="Times New Roman"/>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Pr="0040503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Pr="0040503F">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Pr>
          <w:rFonts w:ascii="Times New Roman" w:hAnsi="Times New Roman" w:cs="Times New Roman"/>
          <w:bCs/>
        </w:rPr>
        <w:t xml:space="preserve">Most (__%) </w:t>
      </w:r>
      <w:r w:rsidRPr="0040503F">
        <w:rPr>
          <w:rFonts w:ascii="Times New Roman" w:hAnsi="Times New Roman" w:cs="Times New Roman"/>
          <w:bCs/>
        </w:rPr>
        <w:t>ASVs received a family-level taxonomic assignment, so we chose to co</w:t>
      </w:r>
      <w:r>
        <w:rPr>
          <w:rFonts w:ascii="Times New Roman" w:hAnsi="Times New Roman" w:cs="Times New Roman"/>
          <w:bCs/>
        </w:rPr>
        <w:t>mbine prey taxonomies</w:t>
      </w:r>
      <w:r w:rsidRPr="0040503F">
        <w:rPr>
          <w:rFonts w:ascii="Times New Roman" w:hAnsi="Times New Roman" w:cs="Times New Roman"/>
          <w:bCs/>
        </w:rPr>
        <w:t xml:space="preserve"> at the family level</w:t>
      </w:r>
      <w:r>
        <w:rPr>
          <w:rFonts w:ascii="Times New Roman" w:hAnsi="Times New Roman" w:cs="Times New Roman"/>
          <w:bCs/>
        </w:rPr>
        <w:t>, similar to diet resolution in both metabarcoding and histological methods in this field (</w:t>
      </w:r>
      <w:proofErr w:type="gramStart"/>
      <w:r>
        <w:rPr>
          <w:rFonts w:ascii="Times New Roman" w:hAnsi="Times New Roman" w:cs="Times New Roman"/>
          <w:bCs/>
        </w:rPr>
        <w:t>e.g.</w:t>
      </w:r>
      <w:proofErr w:type="gramEnd"/>
      <w:r>
        <w:rPr>
          <w:rFonts w:ascii="Times New Roman" w:hAnsi="Times New Roman" w:cs="Times New Roman"/>
          <w:bCs/>
        </w:rPr>
        <w:t xml:space="preserve"> Brose et al. 2019, </w:t>
      </w:r>
      <w:proofErr w:type="spellStart"/>
      <w:r>
        <w:rPr>
          <w:rFonts w:ascii="Times New Roman" w:hAnsi="Times New Roman" w:cs="Times New Roman"/>
          <w:bCs/>
        </w:rPr>
        <w:t>Kartzinel</w:t>
      </w:r>
      <w:proofErr w:type="spellEnd"/>
      <w:r>
        <w:rPr>
          <w:rFonts w:ascii="Times New Roman" w:hAnsi="Times New Roman" w:cs="Times New Roman"/>
          <w:bCs/>
        </w:rPr>
        <w:t xml:space="preserve"> – find other metabarcoding ones) by summing the cumulative read abundances across the ASVs that corresponded to each diet family in each sample.  All DNA matching any predator family present on an individual sequencing run was also removed as a conservative method to account for potential sequence jumping within sequencing runs which could alter prey identity or diversity in favor of predator species on a shared run (CITE SEQUENCE JUMPING). </w:t>
      </w:r>
    </w:p>
    <w:p w14:paraId="62663E94" w14:textId="75819889" w:rsidR="00C50180" w:rsidRDefault="009E74E2"/>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77777777"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278 of 280, SI Table 1</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w:t>
      </w:r>
      <w:proofErr w:type="gramStart"/>
      <w:r w:rsidRPr="0040503F">
        <w:rPr>
          <w:rFonts w:ascii="Times New Roman" w:hAnsi="Times New Roman" w:cs="Times New Roman"/>
          <w:bCs/>
        </w:rPr>
        <w:t>paired-end</w:t>
      </w:r>
      <w:proofErr w:type="gramEnd"/>
      <w:r w:rsidRPr="0040503F">
        <w:rPr>
          <w:rFonts w:ascii="Times New Roman" w:hAnsi="Times New Roman" w:cs="Times New Roman"/>
          <w:bCs/>
        </w:rPr>
        <w:t xml:space="preserve">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5104679E" w:rsidR="00EF4933" w:rsidRPr="009E74E2"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sectPr w:rsidR="00EF4933" w:rsidRPr="009E74E2"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4B1C29"/>
    <w:rsid w:val="00596CAC"/>
    <w:rsid w:val="00627850"/>
    <w:rsid w:val="007F1B51"/>
    <w:rsid w:val="00950D74"/>
    <w:rsid w:val="009E74E2"/>
    <w:rsid w:val="00AB5841"/>
    <w:rsid w:val="00DA3389"/>
    <w:rsid w:val="00DE12A7"/>
    <w:rsid w:val="00E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4</cp:revision>
  <dcterms:created xsi:type="dcterms:W3CDTF">2021-01-20T15:24:00Z</dcterms:created>
  <dcterms:modified xsi:type="dcterms:W3CDTF">2021-01-20T16:27:00Z</dcterms:modified>
</cp:coreProperties>
</file>