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5739561A"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[1,2]","plainTextFormattedCitation":"[1,2]","previouslyFormattedCitation":"[1,2]"},"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[1,2]</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[3]","plainTextFormattedCitation":"[3]","previouslyFormattedCitation":"[3]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[3]</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[1]","plainTextFormattedCitation":"[1]","previouslyFormattedCitation":"[1]"},"properties":{"noteIndex":0},"schema":"https://github.com/citation-style-language/schema/raw/master/csl-citation.json"}</w:instrText>
      </w:r>
      <w:r w:rsidR="005974B0">
        <w:rPr>
          <w:rFonts w:ascii="Times New Roman" w:hAnsi="Times New Roman" w:cs="Times New Roman"/>
          <w:bCs/>
        </w:rPr>
        <w:fldChar w:fldCharType="separate"/>
      </w:r>
      <w:r w:rsidR="005974B0" w:rsidRPr="005974B0">
        <w:rPr>
          <w:rFonts w:ascii="Times New Roman" w:hAnsi="Times New Roman" w:cs="Times New Roman"/>
          <w:bCs/>
          <w:noProof/>
        </w:rPr>
        <w:t>[1]</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[4]","plainTextFormattedCitation":"[4]","previouslyFormattedCitation":"[4]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[4]</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[1,5,6]","plainTextFormattedCitation":"[1,5,6]","previouslyFormattedCitation":"[1,5,6]"},"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[1,5,6]</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[7]","plainTextFormattedCitation":"[7]","previouslyFormattedCitation":"[7]"},"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[7]</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73B04412"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[1,8]","plainTextFormattedCitation":"[1,8]","previouslyFormattedCitation":"[1,8]"},"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[1,8]</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[9–11]","plainTextFormattedCitation":"[9–11]","previouslyFormattedCitation":"[9–11]"},"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[9–11]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1EDD2C3B"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data","type":"article-journal","volume":"13"},"uris":["http://www.mendeley.com/documents/?uuid=20cd3b52-ef7e-4a12-a1f6-ba2f9022543b"]}],"mendeley":{"formattedCitation":"[12]","manualFormatting":"Callahan et al., 2016)","plainTextFormattedCitation":"[12]","previouslyFormattedCitation":"[12]"},"properties":{"noteIndex":0},"schema":"https://github.com/citation-style-language/schema/raw/master/csl-citation.json"}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[13]","plainTextFormattedCitation":"[13]","previouslyFormattedCitation":"[13]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[13]</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[14]","plainTextFormattedCitation":"[14]","previouslyFormattedCitation":"[14]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[14]</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w:t>
      </w:r>
      <w:r>
        <w:rPr>
          <w:rFonts w:ascii="Times New Roman" w:hAnsi="Times New Roman" w:cs="Times New Roman"/>
          <w:bCs/>
        </w:rPr>
        <w:lastRenderedPageBreak/>
        <w:t xml:space="preserve">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[15]","plainTextFormattedCitation":"[15]","previouslyFormattedCitation":"[15]"},"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[16]","plainTextFormattedCitation":"[16]","previouslyFormattedCitation":"[16]"},"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[16]</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[17]","plainTextFormattedCitation":"[17]","previouslyFormattedCitation":"[17]"},"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0A04B35D" w14:textId="24325FD8" w:rsidR="00717BC5"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[18]","plainTextFormattedCitation":"[18]","previouslyFormattedCitation":"[18]"},"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[18]</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5974B0">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[19]","plainTextFormattedCitation":"[19]","previouslyFormattedCitation":"[19]"},"properties":{"noteIndex":0},"schema":"https://github.com/citation-style-language/schema/raw/master/csl-citation.json"}</w:instrText>
      </w:r>
      <w:r w:rsidRPr="0040503F">
        <w:rPr>
          <w:rFonts w:ascii="Times New Roman" w:hAnsi="Times New Roman" w:cs="Times New Roman"/>
        </w:rPr>
        <w:fldChar w:fldCharType="separate"/>
      </w:r>
      <w:r w:rsidR="005974B0" w:rsidRPr="005974B0">
        <w:rPr>
          <w:rFonts w:ascii="Times New Roman" w:hAnsi="Times New Roman" w:cs="Times New Roman"/>
          <w:noProof/>
        </w:rPr>
        <w:t>[19]</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[20–22]","plainTextFormattedCitation":"[20–22]","previouslyFormattedCitation":"[20–22]"},"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[20–22]</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 xml:space="preserve">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[23]","plainTextFormattedCitation":"[23]","previouslyFormattedCitation":"[23]"},"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[23]</w:t>
      </w:r>
      <w:r w:rsidR="0041424E">
        <w:rPr>
          <w:rFonts w:ascii="Times New Roman" w:hAnsi="Times New Roman" w:cs="Times New Roman"/>
          <w:bCs/>
        </w:rPr>
        <w:fldChar w:fldCharType="end"/>
      </w:r>
      <w:r w:rsidR="00B172D5">
        <w:rPr>
          <w:rFonts w:ascii="Times New Roman" w:hAnsi="Times New Roman" w:cs="Times New Roman"/>
          <w:bCs/>
        </w:rPr>
        <w:t xml:space="preserve"> </w:t>
      </w:r>
    </w:p>
    <w:p w14:paraId="4A9140BA" w14:textId="77777777" w:rsidR="00717BC5" w:rsidRDefault="00717BC5" w:rsidP="004B1C29">
      <w:pPr>
        <w:rPr>
          <w:rFonts w:ascii="Times New Roman" w:hAnsi="Times New Roman" w:cs="Times New Roman"/>
          <w:bCs/>
        </w:rPr>
      </w:pPr>
    </w:p>
    <w:p w14:paraId="248925D9" w14:textId="09617F49" w:rsidR="004B1C29" w:rsidRDefault="00B172D5" w:rsidP="004B1C29">
      <w:pPr>
        <w:rPr>
          <w:rFonts w:ascii="Times New Roman" w:hAnsi="Times New Roman" w:cs="Times New Roman"/>
          <w:bCs/>
        </w:rPr>
      </w:pPr>
      <w:r>
        <w:rPr>
          <w:rFonts w:ascii="Times New Roman" w:hAnsi="Times New Roman" w:cs="Times New Roman"/>
          <w:bCs/>
        </w:rPr>
        <w:t xml:space="preserve">We also verified sequencing runs using ASV totals for </w:t>
      </w:r>
      <w:r w:rsidR="00C94716">
        <w:rPr>
          <w:rFonts w:ascii="Times New Roman" w:hAnsi="Times New Roman" w:cs="Times New Roman"/>
          <w:bCs/>
        </w:rPr>
        <w:t>positive and negative controls on each run</w:t>
      </w:r>
      <w:r w:rsidR="002A034D">
        <w:rPr>
          <w:rFonts w:ascii="Times New Roman" w:hAnsi="Times New Roman" w:cs="Times New Roman"/>
          <w:bCs/>
        </w:rPr>
        <w:t xml:space="preserve"> (SI Table 6, SI Figure 9)</w:t>
      </w:r>
      <w:r w:rsidR="00C94716">
        <w:rPr>
          <w:rFonts w:ascii="Times New Roman" w:hAnsi="Times New Roman" w:cs="Times New Roman"/>
          <w:bCs/>
        </w:rPr>
        <w:t>.</w:t>
      </w:r>
      <w:r w:rsidR="00475103">
        <w:rPr>
          <w:rFonts w:ascii="Times New Roman" w:hAnsi="Times New Roman" w:cs="Times New Roman"/>
          <w:bCs/>
        </w:rPr>
        <w:t xml:space="preserve"> Prior to data analyses, we also verified that samples that consisted of multiple individuals (n = 53) did not represent a disproportionate number of </w:t>
      </w:r>
      <w:proofErr w:type="gramStart"/>
      <w:r w:rsidR="00475103">
        <w:rPr>
          <w:rFonts w:ascii="Times New Roman" w:hAnsi="Times New Roman" w:cs="Times New Roman"/>
          <w:bCs/>
        </w:rPr>
        <w:t>interaction</w:t>
      </w:r>
      <w:proofErr w:type="gramEnd"/>
      <w:r w:rsidR="00475103">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sidR="00475103">
        <w:rPr>
          <w:rFonts w:ascii="Times New Roman" w:hAnsi="Times New Roman" w:cs="Times New Roman"/>
          <w:bCs/>
        </w:rPr>
        <w:t xml:space="preserve">, </w:t>
      </w:r>
      <w:r w:rsidR="002A034D">
        <w:rPr>
          <w:rFonts w:ascii="Times New Roman" w:hAnsi="Times New Roman" w:cs="Times New Roman"/>
          <w:bCs/>
        </w:rPr>
        <w:t>SI Figure 8</w:t>
      </w:r>
      <w:r w:rsidR="00475103">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2CF01E19"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5974B0">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5974B0">
        <w:rPr>
          <w:rFonts w:ascii="Cambria Math" w:hAnsi="Cambria Math" w:cs="Cambria Math"/>
          <w:bCs/>
        </w:rPr>
        <w:instrText>∼</w:instrText>
      </w:r>
      <w:r w:rsidR="005974B0">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[24–26]"},"properties":{"noteIndex":0},"schema":"https://github.com/citation-style-language/schema/raw/master/csl-citation.json"}</w:instrText>
      </w:r>
      <w:r w:rsidR="004D3657">
        <w:rPr>
          <w:rFonts w:ascii="Times New Roman" w:hAnsi="Times New Roman" w:cs="Times New Roman"/>
          <w:bCs/>
        </w:rPr>
        <w:fldChar w:fldCharType="separate"/>
      </w:r>
      <w:r w:rsidR="005974B0" w:rsidRPr="005974B0">
        <w:rPr>
          <w:rFonts w:ascii="Times New Roman" w:hAnsi="Times New Roman" w:cs="Times New Roman"/>
          <w:bCs/>
          <w:noProof/>
        </w:rPr>
        <w:t>[24–26]</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w:t>
      </w:r>
      <w:r>
        <w:rPr>
          <w:rFonts w:ascii="Times New Roman" w:hAnsi="Times New Roman" w:cs="Times New Roman"/>
          <w:bCs/>
        </w:rPr>
        <w:lastRenderedPageBreak/>
        <w:t xml:space="preserve">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5974B0"/>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9447AEE" w14:textId="2558CD01" w:rsidR="005974B0" w:rsidRPr="005974B0" w:rsidRDefault="0041424E" w:rsidP="005974B0">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5974B0" w:rsidRPr="005974B0">
        <w:rPr>
          <w:rFonts w:ascii="Times New Roman" w:hAnsi="Times New Roman" w:cs="Times New Roman"/>
          <w:noProof/>
        </w:rPr>
        <w:t>1.</w:t>
      </w:r>
      <w:r w:rsidR="005974B0" w:rsidRPr="005974B0">
        <w:rPr>
          <w:rFonts w:ascii="Times New Roman" w:hAnsi="Times New Roman" w:cs="Times New Roman"/>
          <w:noProof/>
        </w:rPr>
        <w:tab/>
        <w:t xml:space="preserve">Krehenwinkel H, Kennedy S, Pekár S, Gillespie RG. 2017 A cost‐efficient and simple protocol to enrich prey DNA from extractions of predatory arthropods for large‐scale gut content analysis by Illumina sequencing. </w:t>
      </w:r>
      <w:r w:rsidR="005974B0" w:rsidRPr="005974B0">
        <w:rPr>
          <w:rFonts w:ascii="Times New Roman" w:hAnsi="Times New Roman" w:cs="Times New Roman"/>
          <w:i/>
          <w:iCs/>
          <w:noProof/>
        </w:rPr>
        <w:t>Methods Ecol. Evol.</w:t>
      </w:r>
      <w:r w:rsidR="005974B0" w:rsidRPr="005974B0">
        <w:rPr>
          <w:rFonts w:ascii="Times New Roman" w:hAnsi="Times New Roman" w:cs="Times New Roman"/>
          <w:noProof/>
        </w:rPr>
        <w:t xml:space="preserve"> </w:t>
      </w:r>
      <w:r w:rsidR="005974B0" w:rsidRPr="005974B0">
        <w:rPr>
          <w:rFonts w:ascii="Times New Roman" w:hAnsi="Times New Roman" w:cs="Times New Roman"/>
          <w:b/>
          <w:bCs/>
          <w:noProof/>
        </w:rPr>
        <w:t>8</w:t>
      </w:r>
      <w:r w:rsidR="005974B0" w:rsidRPr="005974B0">
        <w:rPr>
          <w:rFonts w:ascii="Times New Roman" w:hAnsi="Times New Roman" w:cs="Times New Roman"/>
          <w:noProof/>
        </w:rPr>
        <w:t>, 126–134. (doi:10.1111/2041-210X.12647)</w:t>
      </w:r>
    </w:p>
    <w:p w14:paraId="632CCBE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w:t>
      </w:r>
      <w:r w:rsidRPr="005974B0">
        <w:rPr>
          <w:rFonts w:ascii="Times New Roman" w:hAnsi="Times New Roman" w:cs="Times New Roman"/>
          <w:noProof/>
        </w:rPr>
        <w:tab/>
        <w:t xml:space="preserve">Macías-Hernández N, Athey K, Tonzo V, Wangensteen OS, Arnedo M, Harwood JD file:///Users/Ana/Downloads/j. 136.-2427. 2005. 01398. x. pd. 2018 Molecular gut content analysis of different spider body parts.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(doi:10.1371/journal.pone.0196589)</w:t>
      </w:r>
    </w:p>
    <w:p w14:paraId="48968B9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3.</w:t>
      </w:r>
      <w:r w:rsidRPr="005974B0">
        <w:rPr>
          <w:rFonts w:ascii="Times New Roman" w:hAnsi="Times New Roman" w:cs="Times New Roman"/>
          <w:noProof/>
        </w:rPr>
        <w:tab/>
        <w:t xml:space="preserve">Fulton TM, Chunwongse J, Tanksley SD. 1995 Microprep protocol for extraction of DNA from tomato and other herbaceous plants. </w:t>
      </w:r>
      <w:r w:rsidRPr="005974B0">
        <w:rPr>
          <w:rFonts w:ascii="Times New Roman" w:hAnsi="Times New Roman" w:cs="Times New Roman"/>
          <w:i/>
          <w:iCs/>
          <w:noProof/>
        </w:rPr>
        <w:t>Plant Mol. Biol. Report.</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207–209. (doi:10.1007/BF02670897)</w:t>
      </w:r>
    </w:p>
    <w:p w14:paraId="5277298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4.</w:t>
      </w:r>
      <w:r w:rsidRPr="005974B0">
        <w:rPr>
          <w:rFonts w:ascii="Times New Roman" w:hAnsi="Times New Roman" w:cs="Times New Roman"/>
          <w:noProof/>
        </w:rPr>
        <w:tab/>
        <w:t xml:space="preserve">Porter TM, Hajibabaei M. 2018 Over 2.5 million COI sequences in GenBank and </w:t>
      </w:r>
      <w:r w:rsidRPr="005974B0">
        <w:rPr>
          <w:rFonts w:ascii="Times New Roman" w:hAnsi="Times New Roman" w:cs="Times New Roman"/>
          <w:noProof/>
        </w:rPr>
        <w:lastRenderedPageBreak/>
        <w:t xml:space="preserve">growing.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(doi:10.1371/journal.pone.0200177)</w:t>
      </w:r>
    </w:p>
    <w:p w14:paraId="408106E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5.</w:t>
      </w:r>
      <w:r w:rsidRPr="005974B0">
        <w:rPr>
          <w:rFonts w:ascii="Times New Roman" w:hAnsi="Times New Roman" w:cs="Times New Roman"/>
          <w:noProof/>
        </w:rPr>
        <w:tab/>
        <w:t xml:space="preserve">Leray M, Yang JY, Meyer CP, Mills SC, Agudelo N, Ranwez V, Boehm JT, Machida RJ. 2013 A new versatile primer set targeting a short fragment of the mitochondrial COI region for metabarcoding metazoan diversity: Application for characterizing coral reef fish gut contents. </w:t>
      </w:r>
      <w:r w:rsidRPr="005974B0">
        <w:rPr>
          <w:rFonts w:ascii="Times New Roman" w:hAnsi="Times New Roman" w:cs="Times New Roman"/>
          <w:i/>
          <w:iCs/>
          <w:noProof/>
        </w:rPr>
        <w:t>Front. Zool.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1. (doi:10.1186/1742-9994-10-34)</w:t>
      </w:r>
    </w:p>
    <w:p w14:paraId="30F34E4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6.</w:t>
      </w:r>
      <w:r w:rsidRPr="005974B0">
        <w:rPr>
          <w:rFonts w:ascii="Times New Roman" w:hAnsi="Times New Roman" w:cs="Times New Roman"/>
          <w:noProof/>
        </w:rPr>
        <w:tab/>
        <w:t xml:space="preserve">Yu DW, Ji Y, Emerson BC, Wang X, Ye C, Yang C, Ding Z. 2012 Biodiversity soup: Metabarcoding of arthropods for rapid biodiversity assessment and biomonitoring.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613–623. (doi:10.1111/j.2041-210X.2012.00198.x)</w:t>
      </w:r>
    </w:p>
    <w:p w14:paraId="010E92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7.</w:t>
      </w:r>
      <w:r w:rsidRPr="005974B0">
        <w:rPr>
          <w:rFonts w:ascii="Times New Roman" w:hAnsi="Times New Roman" w:cs="Times New Roman"/>
          <w:noProof/>
        </w:rPr>
        <w:tab/>
        <w:t xml:space="preserve">Illumina. 2009 </w:t>
      </w:r>
      <w:r w:rsidRPr="005974B0">
        <w:rPr>
          <w:rFonts w:ascii="Times New Roman" w:hAnsi="Times New Roman" w:cs="Times New Roman"/>
          <w:i/>
          <w:iCs/>
          <w:noProof/>
        </w:rPr>
        <w:t>Illumina adapter sequences</w:t>
      </w:r>
      <w:r w:rsidRPr="005974B0">
        <w:rPr>
          <w:rFonts w:ascii="Times New Roman" w:hAnsi="Times New Roman" w:cs="Times New Roman"/>
          <w:noProof/>
        </w:rPr>
        <w:t>. (doi:10.1093/bioinformatics/btu170)</w:t>
      </w:r>
    </w:p>
    <w:p w14:paraId="270F30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8.</w:t>
      </w:r>
      <w:r w:rsidRPr="005974B0">
        <w:rPr>
          <w:rFonts w:ascii="Times New Roman" w:hAnsi="Times New Roman" w:cs="Times New Roman"/>
          <w:noProof/>
        </w:rPr>
        <w:tab/>
        <w:t xml:space="preserve">Miller-ter Kuile A, Apigo A, Young H. 2020 Effects of surface sterilization on diet DNA metabarcoding data of invertebrate consumers in mesocosms and natural environments. </w:t>
      </w:r>
    </w:p>
    <w:p w14:paraId="0CBCA0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9.</w:t>
      </w:r>
      <w:r w:rsidRPr="005974B0">
        <w:rPr>
          <w:rFonts w:ascii="Times New Roman" w:hAnsi="Times New Roman" w:cs="Times New Roman"/>
          <w:noProof/>
        </w:rPr>
        <w:tab/>
        <w:t xml:space="preserve">Toju H, Tanabe AS, Yamamoto S, Sato H. 2012 High-coverage ITS primers for the DNA-based identification of ascomycetes and basidiomycetes in environmental samples.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(doi:10.1371/journal.pone.0040863)</w:t>
      </w:r>
    </w:p>
    <w:p w14:paraId="3B62C87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10.</w:t>
      </w:r>
      <w:r w:rsidRPr="005974B0">
        <w:rPr>
          <w:rFonts w:ascii="Times New Roman" w:hAnsi="Times New Roman" w:cs="Times New Roman"/>
          <w:noProof/>
        </w:rPr>
        <w:tab/>
        <w:t xml:space="preserve">Apigo A, Oono R. 2018 MG840195 and MG840196. </w:t>
      </w:r>
    </w:p>
    <w:p w14:paraId="57B0E65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11.</w:t>
      </w:r>
      <w:r w:rsidRPr="005974B0">
        <w:rPr>
          <w:rFonts w:ascii="Times New Roman" w:hAnsi="Times New Roman" w:cs="Times New Roman"/>
          <w:noProof/>
        </w:rPr>
        <w:tab/>
        <w:t xml:space="preserve">Clark K, Karsch-Mizrachi I, Lipman DJ, Ostell J, Sayers EW. 2016 GenBank. </w:t>
      </w:r>
      <w:r w:rsidRPr="005974B0">
        <w:rPr>
          <w:rFonts w:ascii="Times New Roman" w:hAnsi="Times New Roman" w:cs="Times New Roman"/>
          <w:i/>
          <w:iCs/>
          <w:noProof/>
        </w:rPr>
        <w:t>Nucleic Acids Res.</w:t>
      </w:r>
      <w:r w:rsidRPr="005974B0">
        <w:rPr>
          <w:rFonts w:ascii="Times New Roman" w:hAnsi="Times New Roman" w:cs="Times New Roman"/>
          <w:noProof/>
        </w:rPr>
        <w:t xml:space="preserve"> </w:t>
      </w:r>
      <w:r w:rsidRPr="005974B0">
        <w:rPr>
          <w:rFonts w:ascii="Times New Roman" w:hAnsi="Times New Roman" w:cs="Times New Roman"/>
          <w:b/>
          <w:bCs/>
          <w:noProof/>
        </w:rPr>
        <w:t>44</w:t>
      </w:r>
      <w:r w:rsidRPr="005974B0">
        <w:rPr>
          <w:rFonts w:ascii="Times New Roman" w:hAnsi="Times New Roman" w:cs="Times New Roman"/>
          <w:noProof/>
        </w:rPr>
        <w:t>, D67–D72. (doi:10.1093/nar/gkv1276)</w:t>
      </w:r>
    </w:p>
    <w:p w14:paraId="388171D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12.</w:t>
      </w:r>
      <w:r w:rsidRPr="005974B0">
        <w:rPr>
          <w:rFonts w:ascii="Times New Roman" w:hAnsi="Times New Roman" w:cs="Times New Roman"/>
          <w:noProof/>
        </w:rPr>
        <w:tab/>
        <w:t xml:space="preserve">Callahan BJ, McMurdie PJ, Rosen MJ, Han AW, Johnson AJA, Holmes SP. 2016 DADA2: High-resolution sample inference from Illumina amplicon data. </w:t>
      </w:r>
      <w:r w:rsidRPr="005974B0">
        <w:rPr>
          <w:rFonts w:ascii="Times New Roman" w:hAnsi="Times New Roman" w:cs="Times New Roman"/>
          <w:i/>
          <w:iCs/>
          <w:noProof/>
        </w:rPr>
        <w:t>Nat. Methods</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581–583. (doi:10.1038/nmeth.3869)</w:t>
      </w:r>
    </w:p>
    <w:p w14:paraId="58F8537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13.</w:t>
      </w:r>
      <w:r w:rsidRPr="005974B0">
        <w:rPr>
          <w:rFonts w:ascii="Times New Roman" w:hAnsi="Times New Roman" w:cs="Times New Roman"/>
          <w:noProof/>
        </w:rPr>
        <w:tab/>
        <w:t xml:space="preserve">Martin M. 2011 Cutadapt removes adapter sequences from high-throughput sequencing reads. </w:t>
      </w:r>
      <w:r w:rsidRPr="005974B0">
        <w:rPr>
          <w:rFonts w:ascii="Times New Roman" w:hAnsi="Times New Roman" w:cs="Times New Roman"/>
          <w:i/>
          <w:iCs/>
          <w:noProof/>
        </w:rPr>
        <w:t>EMBNet J.</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w:t>
      </w:r>
    </w:p>
    <w:p w14:paraId="49A5DA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14.</w:t>
      </w:r>
      <w:r w:rsidRPr="005974B0">
        <w:rPr>
          <w:rFonts w:ascii="Times New Roman" w:hAnsi="Times New Roman" w:cs="Times New Roman"/>
          <w:noProof/>
        </w:rPr>
        <w:tab/>
        <w:t xml:space="preserve">Edgar RC. 2016 UNOISE2: improved error-correction for Illumina 16S and ITS amplicon sequencing. </w:t>
      </w:r>
      <w:r w:rsidRPr="005974B0">
        <w:rPr>
          <w:rFonts w:ascii="Times New Roman" w:hAnsi="Times New Roman" w:cs="Times New Roman"/>
          <w:i/>
          <w:iCs/>
          <w:noProof/>
        </w:rPr>
        <w:t>bioRxiv</w:t>
      </w:r>
      <w:r w:rsidRPr="005974B0">
        <w:rPr>
          <w:rFonts w:ascii="Times New Roman" w:hAnsi="Times New Roman" w:cs="Times New Roman"/>
          <w:noProof/>
        </w:rPr>
        <w:t xml:space="preserve"> , 81257. (doi:10.1101/081257)</w:t>
      </w:r>
    </w:p>
    <w:p w14:paraId="7AC913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15.</w:t>
      </w:r>
      <w:r w:rsidRPr="005974B0">
        <w:rPr>
          <w:rFonts w:ascii="Times New Roman" w:hAnsi="Times New Roman" w:cs="Times New Roman"/>
          <w:noProof/>
        </w:rPr>
        <w:tab/>
        <w:t xml:space="preserve">Hsieh TC, Ma KH, Chao A. 2016 iNEXT: an R package for rarefaction and extrapolation of species diversity (Hill numbers).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1451–1456. (doi:10.1111/2041-210X.12613)</w:t>
      </w:r>
    </w:p>
    <w:p w14:paraId="0F0AFF9E"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16.</w:t>
      </w:r>
      <w:r w:rsidRPr="005974B0">
        <w:rPr>
          <w:rFonts w:ascii="Times New Roman" w:hAnsi="Times New Roman" w:cs="Times New Roman"/>
          <w:noProof/>
        </w:rPr>
        <w:tab/>
        <w:t xml:space="preserve">McKnight DT, Huerlimann R, Bower DS, Schwarzkopf L, Alford RA, Zenger KR. 2019 Methods for normalizing microbiome data: An ecological perspective.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389–400. (doi:10.1111/2041-210X.13115)</w:t>
      </w:r>
    </w:p>
    <w:p w14:paraId="33FD021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17.</w:t>
      </w:r>
      <w:r w:rsidRPr="005974B0">
        <w:rPr>
          <w:rFonts w:ascii="Times New Roman" w:hAnsi="Times New Roman" w:cs="Times New Roman"/>
          <w:noProof/>
        </w:rPr>
        <w:tab/>
        <w:t xml:space="preserve">Hsieh TC, Chao A. 2017 Rarefaction and extrapolation: Making fair comparison of abundance-sensitive phylogenetic diversity among multiple assemblages. </w:t>
      </w:r>
      <w:r w:rsidRPr="005974B0">
        <w:rPr>
          <w:rFonts w:ascii="Times New Roman" w:hAnsi="Times New Roman" w:cs="Times New Roman"/>
          <w:i/>
          <w:iCs/>
          <w:noProof/>
        </w:rPr>
        <w:t>Syst. Biol.</w:t>
      </w:r>
      <w:r w:rsidRPr="005974B0">
        <w:rPr>
          <w:rFonts w:ascii="Times New Roman" w:hAnsi="Times New Roman" w:cs="Times New Roman"/>
          <w:noProof/>
        </w:rPr>
        <w:t xml:space="preserve"> </w:t>
      </w:r>
      <w:r w:rsidRPr="005974B0">
        <w:rPr>
          <w:rFonts w:ascii="Times New Roman" w:hAnsi="Times New Roman" w:cs="Times New Roman"/>
          <w:b/>
          <w:bCs/>
          <w:noProof/>
        </w:rPr>
        <w:t>66</w:t>
      </w:r>
      <w:r w:rsidRPr="005974B0">
        <w:rPr>
          <w:rFonts w:ascii="Times New Roman" w:hAnsi="Times New Roman" w:cs="Times New Roman"/>
          <w:noProof/>
        </w:rPr>
        <w:t>, 100–111. (doi:10.1093/sysbio/syw073)</w:t>
      </w:r>
    </w:p>
    <w:p w14:paraId="0C457D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18.</w:t>
      </w:r>
      <w:r w:rsidRPr="005974B0">
        <w:rPr>
          <w:rFonts w:ascii="Times New Roman" w:hAnsi="Times New Roman" w:cs="Times New Roman"/>
          <w:noProof/>
        </w:rPr>
        <w:tab/>
        <w:t xml:space="preserve">Huson DH, Beier S, Flade I, Górska A, El-Hadidi M, Mitra S, Ruscheweyh HJ, Tappu R. 2016 MEGAN Community Edition - Interactive Exploration and Analysis of Large-Scale Microbiome Sequencing Data. </w:t>
      </w:r>
      <w:r w:rsidRPr="005974B0">
        <w:rPr>
          <w:rFonts w:ascii="Times New Roman" w:hAnsi="Times New Roman" w:cs="Times New Roman"/>
          <w:i/>
          <w:iCs/>
          <w:noProof/>
        </w:rPr>
        <w:t>PLoS Comput. Biol.</w:t>
      </w:r>
      <w:r w:rsidRPr="005974B0">
        <w:rPr>
          <w:rFonts w:ascii="Times New Roman" w:hAnsi="Times New Roman" w:cs="Times New Roman"/>
          <w:noProof/>
        </w:rPr>
        <w:t xml:space="preserve"> </w:t>
      </w:r>
      <w:r w:rsidRPr="005974B0">
        <w:rPr>
          <w:rFonts w:ascii="Times New Roman" w:hAnsi="Times New Roman" w:cs="Times New Roman"/>
          <w:b/>
          <w:bCs/>
          <w:noProof/>
        </w:rPr>
        <w:t>12</w:t>
      </w:r>
      <w:r w:rsidRPr="005974B0">
        <w:rPr>
          <w:rFonts w:ascii="Times New Roman" w:hAnsi="Times New Roman" w:cs="Times New Roman"/>
          <w:noProof/>
        </w:rPr>
        <w:t>, 1–12. (doi:10.1371/journal.pcbi.1004957)</w:t>
      </w:r>
    </w:p>
    <w:p w14:paraId="60DF0A5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19.</w:t>
      </w:r>
      <w:r w:rsidRPr="005974B0">
        <w:rPr>
          <w:rFonts w:ascii="Times New Roman" w:hAnsi="Times New Roman" w:cs="Times New Roman"/>
          <w:noProof/>
        </w:rPr>
        <w:tab/>
        <w:t xml:space="preserve">Elbrecht V, Peinert B, Leese F. 2017 Sorting things out: Assessing effects of unequal specimen biomass on DNA metabarcoding.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6918–6926. (doi:10.1002/ece3.3192)</w:t>
      </w:r>
    </w:p>
    <w:p w14:paraId="679DCA1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20.</w:t>
      </w:r>
      <w:r w:rsidRPr="005974B0">
        <w:rPr>
          <w:rFonts w:ascii="Times New Roman" w:hAnsi="Times New Roman" w:cs="Times New Roman"/>
          <w:noProof/>
        </w:rPr>
        <w:tab/>
        <w:t xml:space="preserve">Brose U </w:t>
      </w:r>
      <w:r w:rsidRPr="005974B0">
        <w:rPr>
          <w:rFonts w:ascii="Times New Roman" w:hAnsi="Times New Roman" w:cs="Times New Roman"/>
          <w:i/>
          <w:iCs/>
          <w:noProof/>
        </w:rPr>
        <w:t>et al.</w:t>
      </w:r>
      <w:r w:rsidRPr="005974B0">
        <w:rPr>
          <w:rFonts w:ascii="Times New Roman" w:hAnsi="Times New Roman" w:cs="Times New Roman"/>
          <w:noProof/>
        </w:rPr>
        <w:t xml:space="preserve"> 2019 Predator traits determine food-web architecture across ecosystems. </w:t>
      </w:r>
      <w:r w:rsidRPr="005974B0">
        <w:rPr>
          <w:rFonts w:ascii="Times New Roman" w:hAnsi="Times New Roman" w:cs="Times New Roman"/>
          <w:i/>
          <w:iCs/>
          <w:noProof/>
        </w:rPr>
        <w:t>Nat.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919–927. (doi:10.1038/s41559-019-0899-x)</w:t>
      </w:r>
    </w:p>
    <w:p w14:paraId="2B5F67B8"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21.</w:t>
      </w:r>
      <w:r w:rsidRPr="005974B0">
        <w:rPr>
          <w:rFonts w:ascii="Times New Roman" w:hAnsi="Times New Roman" w:cs="Times New Roman"/>
          <w:noProof/>
        </w:rPr>
        <w:tab/>
        <w:t xml:space="preserve">Kartzinel TR, Chen P a., Coverdale TC, Erickson DL, Kress WJ, Kuzmina ML, Rubenstein DI, Wang W, Pringle RM. 2015 DNA metabarcoding illuminates dietary niche partitioning by African large herbivores. </w:t>
      </w:r>
      <w:r w:rsidRPr="005974B0">
        <w:rPr>
          <w:rFonts w:ascii="Times New Roman" w:hAnsi="Times New Roman" w:cs="Times New Roman"/>
          <w:i/>
          <w:iCs/>
          <w:noProof/>
        </w:rPr>
        <w:t>Proc. Natl. Acad. Sci.</w:t>
      </w:r>
      <w:r w:rsidRPr="005974B0">
        <w:rPr>
          <w:rFonts w:ascii="Times New Roman" w:hAnsi="Times New Roman" w:cs="Times New Roman"/>
          <w:noProof/>
        </w:rPr>
        <w:t xml:space="preserve"> </w:t>
      </w:r>
      <w:r w:rsidRPr="005974B0">
        <w:rPr>
          <w:rFonts w:ascii="Times New Roman" w:hAnsi="Times New Roman" w:cs="Times New Roman"/>
          <w:b/>
          <w:bCs/>
          <w:noProof/>
        </w:rPr>
        <w:t>112</w:t>
      </w:r>
      <w:r w:rsidRPr="005974B0">
        <w:rPr>
          <w:rFonts w:ascii="Times New Roman" w:hAnsi="Times New Roman" w:cs="Times New Roman"/>
          <w:noProof/>
        </w:rPr>
        <w:t>, 8019–8024. (doi:10.1073/pnas.1503283112)</w:t>
      </w:r>
    </w:p>
    <w:p w14:paraId="061AC5A1"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lastRenderedPageBreak/>
        <w:t>22.</w:t>
      </w:r>
      <w:r w:rsidRPr="005974B0">
        <w:rPr>
          <w:rFonts w:ascii="Times New Roman" w:hAnsi="Times New Roman" w:cs="Times New Roman"/>
          <w:noProof/>
        </w:rPr>
        <w:tab/>
        <w:t xml:space="preserve">Eitzinger B, Abrego N, Gravel D, Huotari T, Vesterinen EJ, Roslin T. 2019 Assessing changes in arthropod predator–prey interactions through DNA-based gut content analysis—variable environment, stable diet. </w:t>
      </w:r>
      <w:r w:rsidRPr="005974B0">
        <w:rPr>
          <w:rFonts w:ascii="Times New Roman" w:hAnsi="Times New Roman" w:cs="Times New Roman"/>
          <w:i/>
          <w:iCs/>
          <w:noProof/>
        </w:rPr>
        <w:t>Mol. Ecol.</w:t>
      </w:r>
      <w:r w:rsidRPr="005974B0">
        <w:rPr>
          <w:rFonts w:ascii="Times New Roman" w:hAnsi="Times New Roman" w:cs="Times New Roman"/>
          <w:noProof/>
        </w:rPr>
        <w:t xml:space="preserve"> </w:t>
      </w:r>
      <w:r w:rsidRPr="005974B0">
        <w:rPr>
          <w:rFonts w:ascii="Times New Roman" w:hAnsi="Times New Roman" w:cs="Times New Roman"/>
          <w:b/>
          <w:bCs/>
          <w:noProof/>
        </w:rPr>
        <w:t>28</w:t>
      </w:r>
      <w:r w:rsidRPr="005974B0">
        <w:rPr>
          <w:rFonts w:ascii="Times New Roman" w:hAnsi="Times New Roman" w:cs="Times New Roman"/>
          <w:noProof/>
        </w:rPr>
        <w:t>, 266–280. (doi:10.1111/mec.14872)</w:t>
      </w:r>
    </w:p>
    <w:p w14:paraId="4C1C65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23.</w:t>
      </w:r>
      <w:r w:rsidRPr="005974B0">
        <w:rPr>
          <w:rFonts w:ascii="Times New Roman" w:hAnsi="Times New Roman" w:cs="Times New Roman"/>
          <w:noProof/>
        </w:rPr>
        <w:tab/>
        <w:t xml:space="preserve">van der Valk T, Vezzi F, Ormestad M, Dalén L, Guschanski K. 2020 Index hopping on the Illumina HiseqX platform and its consequences for ancient DNA studies. </w:t>
      </w:r>
      <w:r w:rsidRPr="005974B0">
        <w:rPr>
          <w:rFonts w:ascii="Times New Roman" w:hAnsi="Times New Roman" w:cs="Times New Roman"/>
          <w:i/>
          <w:iCs/>
          <w:noProof/>
        </w:rPr>
        <w:t>Mol. Ecol. Resour.</w:t>
      </w:r>
      <w:r w:rsidRPr="005974B0">
        <w:rPr>
          <w:rFonts w:ascii="Times New Roman" w:hAnsi="Times New Roman" w:cs="Times New Roman"/>
          <w:noProof/>
        </w:rPr>
        <w:t xml:space="preserve"> </w:t>
      </w:r>
      <w:r w:rsidRPr="005974B0">
        <w:rPr>
          <w:rFonts w:ascii="Times New Roman" w:hAnsi="Times New Roman" w:cs="Times New Roman"/>
          <w:b/>
          <w:bCs/>
          <w:noProof/>
        </w:rPr>
        <w:t>20</w:t>
      </w:r>
      <w:r w:rsidRPr="005974B0">
        <w:rPr>
          <w:rFonts w:ascii="Times New Roman" w:hAnsi="Times New Roman" w:cs="Times New Roman"/>
          <w:noProof/>
        </w:rPr>
        <w:t>, 1171–1181. (doi:10.1111/1755-0998.13009)</w:t>
      </w:r>
    </w:p>
    <w:p w14:paraId="786B68A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24.</w:t>
      </w:r>
      <w:r w:rsidRPr="005974B0">
        <w:rPr>
          <w:rFonts w:ascii="Times New Roman" w:hAnsi="Times New Roman" w:cs="Times New Roman"/>
          <w:noProof/>
        </w:rPr>
        <w:tab/>
        <w:t xml:space="preserve">Sohlström EH, Marian L, Barnes AD, Haneda NF, Scheu S, Rall BC, Brose U, Jochum M. 2018 Applying generalized allometric regressions to predict live body mass of tropical and temperate arthropods.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8</w:t>
      </w:r>
      <w:r w:rsidRPr="005974B0">
        <w:rPr>
          <w:rFonts w:ascii="Times New Roman" w:hAnsi="Times New Roman" w:cs="Times New Roman"/>
          <w:noProof/>
        </w:rPr>
        <w:t>, 12737–12749. (doi:10.1002/ece3.4702)</w:t>
      </w:r>
    </w:p>
    <w:p w14:paraId="4B99A9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25.</w:t>
      </w:r>
      <w:r w:rsidRPr="005974B0">
        <w:rPr>
          <w:rFonts w:ascii="Times New Roman" w:hAnsi="Times New Roman" w:cs="Times New Roman"/>
          <w:noProof/>
        </w:rPr>
        <w:tab/>
        <w:t xml:space="preserve">Su G, Dudley R, Pan T, Zheng M, Peng L, Li Q. 2020 Maximum aerodynamic force production by the wandering glider dragonfly (Pantala flavescens, Libellulidae). </w:t>
      </w:r>
      <w:r w:rsidRPr="005974B0">
        <w:rPr>
          <w:rFonts w:ascii="Times New Roman" w:hAnsi="Times New Roman" w:cs="Times New Roman"/>
          <w:i/>
          <w:iCs/>
          <w:noProof/>
        </w:rPr>
        <w:t>J. Exp. Biol.</w:t>
      </w:r>
      <w:r w:rsidRPr="005974B0">
        <w:rPr>
          <w:rFonts w:ascii="Times New Roman" w:hAnsi="Times New Roman" w:cs="Times New Roman"/>
          <w:noProof/>
        </w:rPr>
        <w:t xml:space="preserve"> </w:t>
      </w:r>
      <w:r w:rsidRPr="005974B0">
        <w:rPr>
          <w:rFonts w:ascii="Times New Roman" w:hAnsi="Times New Roman" w:cs="Times New Roman"/>
          <w:b/>
          <w:bCs/>
          <w:noProof/>
        </w:rPr>
        <w:t>223</w:t>
      </w:r>
      <w:r w:rsidRPr="005974B0">
        <w:rPr>
          <w:rFonts w:ascii="Times New Roman" w:hAnsi="Times New Roman" w:cs="Times New Roman"/>
          <w:noProof/>
        </w:rPr>
        <w:t>. (doi:10.1242/jeb.218552)</w:t>
      </w:r>
    </w:p>
    <w:p w14:paraId="60FB0DB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26.</w:t>
      </w:r>
      <w:r w:rsidRPr="005974B0">
        <w:rPr>
          <w:rFonts w:ascii="Times New Roman" w:hAnsi="Times New Roman" w:cs="Times New Roman"/>
          <w:noProof/>
        </w:rPr>
        <w:tab/>
        <w:t xml:space="preserve">Yaninek JS, Gnanvossou D. 1993 Fresh and dry wei ghts of Mononychellus tanajoa (Acari: Tetranychidae): A functional description of biomass accumulation. </w:t>
      </w:r>
      <w:r w:rsidRPr="005974B0">
        <w:rPr>
          <w:rFonts w:ascii="Times New Roman" w:hAnsi="Times New Roman" w:cs="Times New Roman"/>
          <w:i/>
          <w:iCs/>
          <w:noProof/>
        </w:rPr>
        <w:t>Exp. Appl. Acarol.</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 775–779. (doi:10.1007/BF00051836)</w:t>
      </w:r>
    </w:p>
    <w:p w14:paraId="4973CB48" w14:textId="1A4A0970" w:rsidR="0041424E" w:rsidRPr="0041424E" w:rsidRDefault="0041424E" w:rsidP="005974B0">
      <w:pPr>
        <w:widowControl w:val="0"/>
        <w:autoSpaceDE w:val="0"/>
        <w:autoSpaceDN w:val="0"/>
        <w:adjustRightInd w:val="0"/>
        <w:ind w:left="640" w:hanging="64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A034D"/>
    <w:rsid w:val="0041424E"/>
    <w:rsid w:val="00475103"/>
    <w:rsid w:val="004B1C29"/>
    <w:rsid w:val="004D3657"/>
    <w:rsid w:val="004F2898"/>
    <w:rsid w:val="00556134"/>
    <w:rsid w:val="00596CAC"/>
    <w:rsid w:val="005974B0"/>
    <w:rsid w:val="00627850"/>
    <w:rsid w:val="00717BC5"/>
    <w:rsid w:val="007F1B51"/>
    <w:rsid w:val="00950D74"/>
    <w:rsid w:val="009E74E2"/>
    <w:rsid w:val="00AA63E8"/>
    <w:rsid w:val="00AB5841"/>
    <w:rsid w:val="00B172D5"/>
    <w:rsid w:val="00C20994"/>
    <w:rsid w:val="00C94716"/>
    <w:rsid w:val="00DA3389"/>
    <w:rsid w:val="00DE12A7"/>
    <w:rsid w:val="00EB4B56"/>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12550</Words>
  <Characters>71540</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9</cp:revision>
  <dcterms:created xsi:type="dcterms:W3CDTF">2021-01-20T15:24:00Z</dcterms:created>
  <dcterms:modified xsi:type="dcterms:W3CDTF">2021-03-08T18:18:00Z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http://www.zotero.org/styles/proceedings-of-the-royal-society-b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