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C460" w14:textId="10E53335" w:rsidR="0099288A" w:rsidRDefault="0099288A" w:rsidP="0099288A">
      <w:pPr>
        <w:pStyle w:val="Title"/>
      </w:pPr>
      <w:r>
        <w:rPr>
          <w:b/>
        </w:rPr>
        <w:t>Supporting Information for</w:t>
      </w:r>
      <w:r w:rsidRPr="10F02EB4">
        <w:rPr>
          <w:b/>
        </w:rPr>
        <w:t>:</w:t>
      </w:r>
      <w:r>
        <w:t xml:space="preserve"> </w:t>
      </w:r>
      <w:r w:rsidRPr="10F02EB4">
        <w:rPr>
          <w:bCs w:val="0"/>
          <w:szCs w:val="24"/>
        </w:rPr>
        <w:t xml:space="preserve"> </w:t>
      </w:r>
      <w:r>
        <w:t xml:space="preserve">Caching in: Quantifying the temporal relationships of seed dispersal interactions </w:t>
      </w:r>
    </w:p>
    <w:p w14:paraId="424E919C" w14:textId="77777777" w:rsidR="0099288A" w:rsidRPr="00EB725C" w:rsidRDefault="0099288A" w:rsidP="0099288A">
      <w:pPr>
        <w:pStyle w:val="BodyText"/>
      </w:pPr>
    </w:p>
    <w:p w14:paraId="5B34D560" w14:textId="77777777" w:rsidR="0099288A" w:rsidRDefault="0099288A" w:rsidP="0099288A">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Kiona Ogle</w:t>
      </w:r>
      <w:r w:rsidRPr="5A83A434">
        <w:rPr>
          <w:vertAlign w:val="superscript"/>
        </w:rPr>
        <w:t>1</w:t>
      </w:r>
      <w:r>
        <w:t>, Jamie S. Sanderlin</w:t>
      </w:r>
      <w:r w:rsidRPr="5A83A434">
        <w:rPr>
          <w:vertAlign w:val="superscript"/>
        </w:rPr>
        <w:t>2</w:t>
      </w:r>
    </w:p>
    <w:p w14:paraId="14EABD90" w14:textId="77777777" w:rsidR="0099288A" w:rsidRDefault="0099288A" w:rsidP="0099288A">
      <w:pPr>
        <w:pStyle w:val="BodyText"/>
      </w:pPr>
      <w:r w:rsidRPr="5A83A434">
        <w:rPr>
          <w:b/>
          <w:bCs/>
        </w:rPr>
        <w:t>Author Affiliations</w:t>
      </w:r>
      <w:r>
        <w:t>:</w:t>
      </w:r>
    </w:p>
    <w:p w14:paraId="0C76F031" w14:textId="77777777" w:rsidR="0099288A" w:rsidRDefault="0099288A" w:rsidP="0099288A">
      <w:pPr>
        <w:pStyle w:val="BodyText"/>
      </w:pPr>
      <w:r w:rsidRPr="001F33F2">
        <w:rPr>
          <w:vertAlign w:val="superscript"/>
        </w:rPr>
        <w:t>1</w:t>
      </w:r>
      <w:r>
        <w:t xml:space="preserve"> Northern Arizona University School of Informatics, Computing, and Cyber Systems, Flagstaff, Arizona, USA</w:t>
      </w:r>
    </w:p>
    <w:p w14:paraId="49E94817" w14:textId="77777777" w:rsidR="0099288A" w:rsidRDefault="0099288A" w:rsidP="0099288A">
      <w:pPr>
        <w:pStyle w:val="BodyText"/>
      </w:pPr>
      <w:r w:rsidRPr="001F33F2">
        <w:rPr>
          <w:vertAlign w:val="superscript"/>
        </w:rPr>
        <w:t>2</w:t>
      </w:r>
      <w:r>
        <w:t xml:space="preserve"> USDA Forest Service Rocky Mountain Research Station, Flagstaff, Arizona, USA</w:t>
      </w:r>
    </w:p>
    <w:p w14:paraId="157F6E5A" w14:textId="77777777" w:rsidR="0099288A" w:rsidRDefault="0099288A" w:rsidP="0099288A">
      <w:pPr>
        <w:pStyle w:val="BodyText"/>
      </w:pPr>
      <w:r w:rsidRPr="001F33F2">
        <w:rPr>
          <w:vertAlign w:val="superscript"/>
        </w:rPr>
        <w:t>3</w:t>
      </w:r>
      <w:r>
        <w:t xml:space="preserve"> Forest Stewards Guild, Santa Fe, New Mexico, USA</w:t>
      </w:r>
    </w:p>
    <w:p w14:paraId="54B93DEC" w14:textId="77777777" w:rsidR="0099288A" w:rsidRDefault="0099288A" w:rsidP="0099288A">
      <w:pPr>
        <w:pStyle w:val="BodyText"/>
      </w:pPr>
      <w:r w:rsidRPr="001F33F2">
        <w:rPr>
          <w:vertAlign w:val="superscript"/>
        </w:rPr>
        <w:t>4</w:t>
      </w:r>
      <w:r>
        <w:t xml:space="preserve"> Ecological Restoration Institute, Northern Arizona University, Flagstaff, Arizona, USA</w:t>
      </w:r>
    </w:p>
    <w:p w14:paraId="61896EA8" w14:textId="77777777" w:rsidR="0099288A" w:rsidRDefault="0099288A" w:rsidP="0099288A">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2A0474CD" w14:textId="77777777" w:rsidR="0099288A" w:rsidRPr="0099288A" w:rsidRDefault="0099288A" w:rsidP="0099288A">
      <w:pPr>
        <w:pStyle w:val="BodyText"/>
      </w:pPr>
    </w:p>
    <w:p w14:paraId="479680BE" w14:textId="77777777" w:rsidR="0099288A" w:rsidRDefault="0099288A">
      <w:pPr>
        <w:rPr>
          <w:rFonts w:ascii="Times New Roman" w:eastAsiaTheme="majorEastAsia" w:hAnsi="Times New Roman" w:cstheme="majorBidi"/>
          <w:b/>
          <w:bCs/>
          <w:color w:val="000000" w:themeColor="text1"/>
          <w:szCs w:val="32"/>
        </w:rPr>
      </w:pPr>
      <w:bookmarkStart w:id="0" w:name="si-figures"/>
      <w:r>
        <w:br w:type="page"/>
      </w:r>
    </w:p>
    <w:p w14:paraId="34459852" w14:textId="29AC0708" w:rsidR="00394758" w:rsidRDefault="00394758">
      <w:pPr>
        <w:pStyle w:val="Heading1"/>
      </w:pPr>
      <w:r>
        <w:lastRenderedPageBreak/>
        <w:t>SI Methods</w:t>
      </w:r>
    </w:p>
    <w:p w14:paraId="7F53C540" w14:textId="77777777" w:rsidR="0099288A" w:rsidRDefault="0099288A" w:rsidP="0099288A">
      <w:pPr>
        <w:pStyle w:val="FirstParagraph"/>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We prepared data using the here </w:t>
      </w:r>
      <w:r>
        <w:fldChar w:fldCharType="begin"/>
      </w:r>
      <w:r>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Pr>
          <w:noProof/>
        </w:rPr>
        <w:t>(Muller, 2020, version 1.0.1)</w:t>
      </w:r>
      <w:r>
        <w:fldChar w:fldCharType="end"/>
      </w:r>
      <w:r>
        <w:t xml:space="preserve">, </w:t>
      </w:r>
      <w:proofErr w:type="spellStart"/>
      <w:r>
        <w:t>tidyverse</w:t>
      </w:r>
      <w:proofErr w:type="spellEnd"/>
      <w:r>
        <w:t xml:space="preserve"> </w:t>
      </w:r>
      <w:r>
        <w:fldChar w:fldCharType="begin"/>
      </w:r>
      <w:r>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Pr>
          <w:noProof/>
        </w:rPr>
        <w:t>(Wickham et al., 2019, version 2.0.0)</w:t>
      </w:r>
      <w:r>
        <w:fldChar w:fldCharType="end"/>
      </w:r>
      <w:r>
        <w:t xml:space="preserve">, sf </w:t>
      </w:r>
      <w:r>
        <w:fldChar w:fldCharType="begin"/>
      </w:r>
      <w:r>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Pr>
          <w:noProof/>
        </w:rPr>
        <w:t>(Pebesma &amp; Bivand, 2023, version 1.0.21)</w:t>
      </w:r>
      <w:r>
        <w:fldChar w:fldCharType="end"/>
      </w:r>
      <w:r>
        <w:t xml:space="preserve">, terra </w:t>
      </w:r>
      <w:r>
        <w:fldChar w:fldCharType="begin"/>
      </w:r>
      <w:r>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Pr>
          <w:noProof/>
        </w:rPr>
        <w:t>(Hijmans, 2020, version 1.8.54)</w:t>
      </w:r>
      <w:r>
        <w:fldChar w:fldCharType="end"/>
      </w:r>
      <w:r>
        <w:t xml:space="preserve">, </w:t>
      </w:r>
      <w:proofErr w:type="spellStart"/>
      <w:r>
        <w:t>readxl</w:t>
      </w:r>
      <w:proofErr w:type="spellEnd"/>
      <w:r>
        <w:t xml:space="preserve"> </w:t>
      </w:r>
      <w:r>
        <w:fldChar w:fldCharType="begin"/>
      </w:r>
      <w:r>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Pr>
          <w:noProof/>
        </w:rPr>
        <w:t>(Wickham &amp; Bryan, 2015, version 1.4.5)</w:t>
      </w:r>
      <w:r>
        <w:fldChar w:fldCharType="end"/>
      </w:r>
      <w:r>
        <w:t xml:space="preserve">, </w:t>
      </w:r>
      <w:proofErr w:type="spellStart"/>
      <w:r>
        <w:t>exactextractr</w:t>
      </w:r>
      <w:proofErr w:type="spellEnd"/>
      <w:r>
        <w:t xml:space="preserve"> </w:t>
      </w:r>
      <w:r>
        <w:fldChar w:fldCharType="begin"/>
      </w:r>
      <w:r>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Pr>
          <w:noProof/>
        </w:rPr>
        <w:t>(Daniel Baston, 2019, version 0.10.0)</w:t>
      </w:r>
      <w:r>
        <w:fldChar w:fldCharType="end"/>
      </w:r>
      <w:r>
        <w:t xml:space="preserve">, </w:t>
      </w:r>
      <w:proofErr w:type="spellStart"/>
      <w:r>
        <w:t>spatialEco</w:t>
      </w:r>
      <w:proofErr w:type="spellEnd"/>
      <w:r>
        <w:t xml:space="preserve"> </w:t>
      </w:r>
      <w:r>
        <w:fldChar w:fldCharType="begin"/>
      </w:r>
      <w:r>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Pr>
          <w:noProof/>
        </w:rPr>
        <w:t>(Evans &amp; Murphy, 2023, version 2.0-2)</w:t>
      </w:r>
      <w:r>
        <w:fldChar w:fldCharType="end"/>
      </w:r>
      <w:r>
        <w:t xml:space="preserve">, </w:t>
      </w:r>
      <w:proofErr w:type="spellStart"/>
      <w:r>
        <w:t>nngeo</w:t>
      </w:r>
      <w:proofErr w:type="spellEnd"/>
      <w:r>
        <w:t xml:space="preserve"> </w:t>
      </w:r>
      <w:r>
        <w:fldChar w:fldCharType="begin"/>
      </w:r>
      <w:r>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Pr>
          <w:noProof/>
        </w:rPr>
        <w:t>(Dorman, 2018, version 0.4.8)</w:t>
      </w:r>
      <w:r>
        <w:fldChar w:fldCharType="end"/>
      </w:r>
      <w:r>
        <w:t xml:space="preserve">, auk </w:t>
      </w:r>
      <w:r>
        <w:fldChar w:fldCharType="begin"/>
      </w:r>
      <w:r>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Pr>
          <w:noProof/>
        </w:rPr>
        <w:t>(Strimas-Mackey et al., 2017, version 0.8.2)</w:t>
      </w:r>
      <w:r>
        <w:fldChar w:fldCharType="end"/>
      </w:r>
      <w:r>
        <w:t xml:space="preserve">, </w:t>
      </w:r>
      <w:proofErr w:type="spellStart"/>
      <w:r>
        <w:t>lubridate</w:t>
      </w:r>
      <w:proofErr w:type="spellEnd"/>
      <w:r>
        <w:t xml:space="preserve"> </w:t>
      </w:r>
      <w:r>
        <w:fldChar w:fldCharType="begin"/>
      </w:r>
      <w:r>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Pr>
          <w:noProof/>
        </w:rPr>
        <w:t>(Grolemund &amp; Wickham, 2011, version 1.9.4)</w:t>
      </w:r>
      <w:r>
        <w:fldChar w:fldCharType="end"/>
      </w:r>
      <w:r>
        <w:t xml:space="preserve">, prism </w:t>
      </w:r>
      <w:r>
        <w:fldChar w:fldCharType="begin"/>
      </w:r>
      <w:r>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Pr>
          <w:noProof/>
        </w:rPr>
        <w:t>(Hart &amp; Bell, 2015, version 0.0.6)</w:t>
      </w:r>
      <w:r>
        <w:fldChar w:fldCharType="end"/>
      </w:r>
      <w:r>
        <w:t xml:space="preserve">, FNN </w:t>
      </w:r>
      <w:r>
        <w:fldChar w:fldCharType="begin"/>
      </w:r>
      <w:r>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Pr>
          <w:noProof/>
        </w:rPr>
        <w:t>(Beygelzimer et al., 2010, version 1.1.4.1)</w:t>
      </w:r>
      <w:r>
        <w:fldChar w:fldCharType="end"/>
      </w:r>
      <w:r>
        <w:t xml:space="preserve">, and </w:t>
      </w:r>
      <w:proofErr w:type="spellStart"/>
      <w:r>
        <w:t>data.table</w:t>
      </w:r>
      <w:proofErr w:type="spellEnd"/>
      <w:r>
        <w:t xml:space="preserve"> </w:t>
      </w:r>
      <w:r>
        <w:fldChar w:fldCharType="begin"/>
      </w:r>
      <w:r>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Pr>
          <w:noProof/>
        </w:rPr>
        <w:t>(Barrett et al., 2006, version 1.17.6)</w:t>
      </w:r>
      <w:r>
        <w:fldChar w:fldCharType="end"/>
      </w:r>
      <w:r>
        <w:t xml:space="preserve"> packages.</w:t>
      </w:r>
    </w:p>
    <w:p w14:paraId="38DA062F" w14:textId="408B1F89" w:rsidR="00106EA3" w:rsidRDefault="00AD047E">
      <w:pPr>
        <w:pStyle w:val="Heading1"/>
      </w:pPr>
      <w:r>
        <w:lastRenderedPageBreak/>
        <w:t>SI Figures</w:t>
      </w:r>
    </w:p>
    <w:p w14:paraId="1F2BFC70" w14:textId="7C3024C3" w:rsidR="00106EA3" w:rsidRDefault="00C34A7D" w:rsidP="00B802B4">
      <w:pPr>
        <w:pStyle w:val="CaptionedFigure"/>
        <w:jc w:val="center"/>
      </w:pPr>
      <w:r>
        <w:rPr>
          <w:noProof/>
        </w:rPr>
        <w:drawing>
          <wp:inline distT="0" distB="0" distL="0" distR="0" wp14:anchorId="5CB2D1D1" wp14:editId="5E679C4D">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01FA6F03" wp14:editId="04D79B25">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7CDB2241" wp14:editId="7BE7C0AD">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CBA9B2" wp14:editId="67712D67">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5DFF3477" wp14:editId="1716F993">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75801379" w14:textId="0BC4E8AD" w:rsidR="00106EA3" w:rsidRDefault="00AD047E">
      <w:pPr>
        <w:pStyle w:val="ImageCaption"/>
      </w:pPr>
      <w:r w:rsidRPr="00B802B4">
        <w:rPr>
          <w:b/>
          <w:bCs/>
        </w:rPr>
        <w:t>SI Figure 1</w:t>
      </w:r>
      <w:r w:rsidR="00B802B4" w:rsidRPr="00B802B4">
        <w:rPr>
          <w:b/>
          <w:bCs/>
        </w:rPr>
        <w:t>.</w:t>
      </w:r>
      <w:r>
        <w:t xml:space="preserve"> Validation </w:t>
      </w:r>
      <w:r w:rsidR="00B802B4">
        <w:t>results supporting the</w:t>
      </w:r>
      <w:r>
        <w:t xml:space="preserv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w:t>
      </w:r>
      <w:r w:rsidR="00B802B4">
        <w:t>meet th</w:t>
      </w:r>
      <w:r w:rsidR="00C34A7D">
        <w:t>ese</w:t>
      </w:r>
      <w:r w:rsidR="00B802B4">
        <w:t xml:space="preserve"> criteria</w:t>
      </w:r>
      <w:r w:rsidR="00394758">
        <w:t>. Data represented here are values for all raster grid cells for all years (</w:t>
      </w:r>
      <w:r w:rsidR="00C34A7D">
        <w:t>~1 million grid cells, depending on covariate</w:t>
      </w:r>
      <w:r w:rsidR="00394758">
        <w:t xml:space="preserve">). Thus, </w:t>
      </w:r>
      <w:r>
        <w:t>for the two covariates for which we are missing the upper tails</w:t>
      </w:r>
      <w:r w:rsidR="00B802B4">
        <w:t xml:space="preserve">, (a) </w:t>
      </w:r>
      <w:r>
        <w:t xml:space="preserve">cone availability and </w:t>
      </w:r>
      <w:r w:rsidR="00B802B4">
        <w:t xml:space="preserve">(e) </w:t>
      </w:r>
      <w:r>
        <w:t>pinyon basal area,</w:t>
      </w:r>
      <w:r w:rsidR="00B802B4">
        <w:t xml:space="preserve"> </w:t>
      </w:r>
      <w:r>
        <w:t>these represent extreme outliers (&lt;1% of total values in the dataset</w:t>
      </w:r>
      <w:r w:rsidR="00394758">
        <w:t xml:space="preserve">; </w:t>
      </w:r>
      <w:r w:rsidR="00C34A7D">
        <w:t>22 for cone abundance and 225 for basal area</w:t>
      </w:r>
      <w:r>
        <w:t>).</w:t>
      </w:r>
    </w:p>
    <w:p w14:paraId="3C73F900" w14:textId="77777777" w:rsidR="00B802B4" w:rsidRDefault="00B802B4">
      <w:pPr>
        <w:pStyle w:val="CaptionedFigure"/>
        <w:sectPr w:rsidR="00B802B4" w:rsidSect="00167C71">
          <w:footerReference w:type="even" r:id="rId13"/>
          <w:footerReference w:type="default" r:id="rId14"/>
          <w:pgSz w:w="12240" w:h="15840"/>
          <w:pgMar w:top="1440" w:right="1440" w:bottom="1440" w:left="1440" w:header="720" w:footer="720" w:gutter="0"/>
          <w:lnNumType w:countBy="1" w:restart="continuous"/>
          <w:cols w:space="720"/>
          <w:titlePg/>
          <w:docGrid w:linePitch="326"/>
        </w:sectPr>
      </w:pPr>
    </w:p>
    <w:p w14:paraId="4D781167" w14:textId="2D5A6C53" w:rsidR="00106EA3" w:rsidRDefault="002A3573" w:rsidP="00B802B4">
      <w:pPr>
        <w:pStyle w:val="CaptionedFigure"/>
        <w:jc w:val="center"/>
      </w:pPr>
      <w:r>
        <w:rPr>
          <w:noProof/>
        </w:rPr>
        <w:lastRenderedPageBreak/>
        <w:drawing>
          <wp:inline distT="0" distB="0" distL="0" distR="0" wp14:anchorId="00FA87A5" wp14:editId="510C9D15">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2406D6B" w14:textId="6D881327" w:rsidR="00106EA3" w:rsidRDefault="00AD047E">
      <w:pPr>
        <w:pStyle w:val="ImageCaption"/>
      </w:pPr>
      <w:r w:rsidRPr="00B802B4">
        <w:rPr>
          <w:b/>
          <w:bCs/>
        </w:rPr>
        <w:t>SI Figure 2</w:t>
      </w:r>
      <w:r w:rsidR="00B802B4" w:rsidRPr="00B802B4">
        <w:rPr>
          <w:b/>
          <w:bCs/>
        </w:rPr>
        <w:t>.</w:t>
      </w:r>
      <w:r>
        <w:t xml:space="preserve"> Convergence statistics for </w:t>
      </w:r>
      <w:r w:rsidR="00B802B4">
        <w:t xml:space="preserve">stochastic parameters in the N-mixture for representing </w:t>
      </w:r>
      <w:r>
        <w:t>biological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t>) and detection (</w:t>
      </w:r>
      <m:oMath>
        <m:r>
          <w:rPr>
            <w:rFonts w:ascii="Cambria Math" w:hAnsi="Cambria Math"/>
          </w:rPr>
          <m:t>γ</m:t>
        </m:r>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t>) covariate effects, deviance</w:t>
      </w:r>
      <w:r w:rsidR="00B802B4">
        <w:t xml:space="preserve"> (an overall index of model fit)</w:t>
      </w:r>
      <w:r>
        <w:t>, and the cone and climate weights (w</w:t>
      </w:r>
      <w:r w:rsidR="002A3573" w:rsidRPr="002A3573">
        <w:rPr>
          <w:vertAlign w:val="subscript"/>
        </w:rPr>
        <w:t>1</w:t>
      </w:r>
      <w:r>
        <w:t>, w</w:t>
      </w:r>
      <w:r w:rsidR="002A3573" w:rsidRPr="002A3573">
        <w:rPr>
          <w:vertAlign w:val="subscript"/>
        </w:rPr>
        <w:t>2</w:t>
      </w:r>
      <w:r>
        <w:t>, and w</w:t>
      </w:r>
      <w:r w:rsidR="002A3573" w:rsidRPr="002A3573">
        <w:rPr>
          <w:vertAlign w:val="subscript"/>
        </w:rPr>
        <w:t>3</w:t>
      </w:r>
      <w:r w:rsidR="002A3573">
        <w:t>)</w:t>
      </w:r>
      <w:r>
        <w:t xml:space="preserve">. All parameters converged with </w:t>
      </w:r>
      <w:r w:rsidR="00B802B4">
        <w:t>potential scale reduction (</w:t>
      </w:r>
      <m:oMath>
        <m:acc>
          <m:accPr>
            <m:ctrlPr>
              <w:rPr>
                <w:rFonts w:ascii="Cambria Math" w:hAnsi="Cambria Math"/>
                <w:i/>
              </w:rPr>
            </m:ctrlPr>
          </m:accPr>
          <m:e>
            <m:r>
              <w:rPr>
                <w:rFonts w:ascii="Cambria Math" w:hAnsi="Cambria Math"/>
              </w:rPr>
              <m:t>R</m:t>
            </m:r>
          </m:e>
        </m:acc>
      </m:oMath>
      <w:r w:rsidR="00B802B4">
        <w:t>)</w:t>
      </w:r>
      <w:r>
        <w:t xml:space="preserve"> values </w:t>
      </w:r>
      <w:r w:rsidR="00B802B4" w:rsidRPr="00B802B4">
        <w:rPr>
          <w:u w:val="single"/>
        </w:rPr>
        <w:t>&lt;</w:t>
      </w:r>
      <w:r>
        <w:t xml:space="preserve"> 1.1 (dashed line).</w:t>
      </w:r>
    </w:p>
    <w:p w14:paraId="315F91A9" w14:textId="77777777" w:rsidR="00B802B4" w:rsidRDefault="00B802B4">
      <w:pPr>
        <w:pStyle w:val="CaptionedFigure"/>
        <w:sectPr w:rsidR="00B802B4" w:rsidSect="00167C71">
          <w:pgSz w:w="12240" w:h="15840"/>
          <w:pgMar w:top="1440" w:right="1440" w:bottom="1440" w:left="1440" w:header="720" w:footer="720" w:gutter="0"/>
          <w:lnNumType w:countBy="1" w:restart="continuous"/>
          <w:cols w:space="720"/>
          <w:titlePg/>
          <w:docGrid w:linePitch="326"/>
        </w:sectPr>
      </w:pPr>
    </w:p>
    <w:p w14:paraId="4CB262E9" w14:textId="77777777" w:rsidR="00106EA3" w:rsidRDefault="00AD047E" w:rsidP="00B802B4">
      <w:pPr>
        <w:pStyle w:val="CaptionedFigure"/>
        <w:jc w:val="center"/>
      </w:pPr>
      <w:r>
        <w:rPr>
          <w:noProof/>
        </w:rPr>
        <w:lastRenderedPageBreak/>
        <w:drawing>
          <wp:inline distT="0" distB="0" distL="0" distR="0" wp14:anchorId="7E500030" wp14:editId="030DDDBF">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16"/>
                    <a:stretch>
                      <a:fillRect/>
                    </a:stretch>
                  </pic:blipFill>
                  <pic:spPr bwMode="auto">
                    <a:xfrm>
                      <a:off x="0" y="0"/>
                      <a:ext cx="5029200" cy="3355848"/>
                    </a:xfrm>
                    <a:prstGeom prst="rect">
                      <a:avLst/>
                    </a:prstGeom>
                    <a:noFill/>
                    <a:ln w="9525">
                      <a:noFill/>
                      <a:headEnd/>
                      <a:tailEnd/>
                    </a:ln>
                  </pic:spPr>
                </pic:pic>
              </a:graphicData>
            </a:graphic>
          </wp:inline>
        </w:drawing>
      </w:r>
    </w:p>
    <w:p w14:paraId="72895198" w14:textId="34E03976" w:rsidR="00106EA3" w:rsidRDefault="00AD047E">
      <w:pPr>
        <w:pStyle w:val="ImageCaption"/>
      </w:pPr>
      <w:r w:rsidRPr="00B802B4">
        <w:rPr>
          <w:b/>
          <w:bCs/>
        </w:rPr>
        <w:t>SI Figure 3</w:t>
      </w:r>
      <w:r w:rsidR="00B802B4" w:rsidRPr="00B802B4">
        <w:rPr>
          <w:b/>
          <w:bCs/>
        </w:rPr>
        <w:t>.</w:t>
      </w:r>
      <w:r>
        <w:t xml:space="preserve"> </w:t>
      </w:r>
      <w:r w:rsidR="00136B64">
        <w:t>Posterior estimates (median and 95% CI) for the s</w:t>
      </w:r>
      <w:r>
        <w:t xml:space="preserve">easonal </w:t>
      </w:r>
      <w:r w:rsidR="00136B64">
        <w:t xml:space="preserve">importance </w:t>
      </w:r>
      <w:r>
        <w:t>weights for climate (precipitation and maximum temperature</w:t>
      </w:r>
      <w:r w:rsidR="00136B64">
        <w:t xml:space="preserve">; </w:t>
      </w:r>
      <w:r w:rsidR="00136B64" w:rsidRPr="00136B64">
        <w:rPr>
          <w:i/>
          <w:iCs/>
        </w:rPr>
        <w:t>w</w:t>
      </w:r>
      <w:r w:rsidR="00136B64">
        <w:t xml:space="preserve"> terms, see equation 5)</w:t>
      </w:r>
      <w:r>
        <w:t xml:space="preserve">. The dashed </w:t>
      </w:r>
      <w:r w:rsidR="00136B64">
        <w:t xml:space="preserve">horizontal </w:t>
      </w:r>
      <w:r>
        <w:t xml:space="preserve">line indicates the ‘null’ weight in which all time periods would have equal weights. Any weights that extend clearly above this line </w:t>
      </w:r>
      <w:r w:rsidR="00136B64">
        <w:t xml:space="preserve">suggest </w:t>
      </w:r>
      <w:r>
        <w:t xml:space="preserve">significant importance </w:t>
      </w:r>
      <w:r w:rsidR="00136B64">
        <w:t>of the corresponding</w:t>
      </w:r>
      <w:r>
        <w:t xml:space="preserve"> climate variable</w:t>
      </w:r>
      <w:r w:rsidR="00136B64">
        <w:t xml:space="preserve"> during that season to pinyon jay abundance</w:t>
      </w:r>
      <w:r>
        <w:t xml:space="preserve">. Seasons are based on </w:t>
      </w:r>
      <w:r w:rsidR="00136B64">
        <w:t>pinyon jay</w:t>
      </w:r>
      <w:r>
        <w:t xml:space="preserve"> biology and </w:t>
      </w:r>
      <w:proofErr w:type="gramStart"/>
      <w:r>
        <w:t>include</w:t>
      </w:r>
      <w:r w:rsidR="00136B64">
        <w:t>:</w:t>
      </w:r>
      <w:proofErr w:type="gramEnd"/>
      <w:r>
        <w:t xml:space="preserve"> Br</w:t>
      </w:r>
      <w:r w:rsidR="00136B64">
        <w:t xml:space="preserve"> (</w:t>
      </w:r>
      <w:r>
        <w:t>breeding</w:t>
      </w:r>
      <w:r w:rsidR="00136B64">
        <w:t xml:space="preserve">; </w:t>
      </w:r>
      <w:r>
        <w:t>February - May), Fl</w:t>
      </w:r>
      <w:r w:rsidR="00136B64">
        <w:t xml:space="preserve"> (</w:t>
      </w:r>
      <w:r>
        <w:t>fledging</w:t>
      </w:r>
      <w:r w:rsidR="00136B64">
        <w:t xml:space="preserve">; </w:t>
      </w:r>
      <w:r>
        <w:t>May - June), Su</w:t>
      </w:r>
      <w:r w:rsidR="00136B64">
        <w:t xml:space="preserve"> (</w:t>
      </w:r>
      <w:r>
        <w:t>summer localized foraging</w:t>
      </w:r>
      <w:r w:rsidR="00136B64">
        <w:t xml:space="preserve">; </w:t>
      </w:r>
      <w:r>
        <w:t xml:space="preserve">July), </w:t>
      </w:r>
      <w:r w:rsidR="00136B64">
        <w:t xml:space="preserve">and </w:t>
      </w:r>
      <w:r>
        <w:t>SW</w:t>
      </w:r>
      <w:r w:rsidR="00136B64">
        <w:t xml:space="preserve"> (s</w:t>
      </w:r>
      <w:r>
        <w:t xml:space="preserve">ummer and winter dispersed foraging </w:t>
      </w:r>
      <w:r w:rsidR="00136B64">
        <w:t xml:space="preserve">or </w:t>
      </w:r>
      <w:r>
        <w:t>‘irruption’</w:t>
      </w:r>
      <w:r w:rsidR="00136B64">
        <w:t xml:space="preserve"> period</w:t>
      </w:r>
      <w:r>
        <w:t>; August - January).</w:t>
      </w:r>
    </w:p>
    <w:p w14:paraId="7C83F2B5" w14:textId="77777777" w:rsidR="00136B64" w:rsidRDefault="00136B64">
      <w:pPr>
        <w:pStyle w:val="CaptionedFigure"/>
        <w:sectPr w:rsidR="00136B64" w:rsidSect="00167C71">
          <w:pgSz w:w="12240" w:h="15840"/>
          <w:pgMar w:top="1440" w:right="1440" w:bottom="1440" w:left="1440" w:header="720" w:footer="720" w:gutter="0"/>
          <w:lnNumType w:countBy="1" w:restart="continuous"/>
          <w:cols w:space="720"/>
          <w:titlePg/>
          <w:docGrid w:linePitch="326"/>
        </w:sectPr>
      </w:pPr>
    </w:p>
    <w:p w14:paraId="190C22F7" w14:textId="77777777" w:rsidR="00106EA3" w:rsidRDefault="00AD047E" w:rsidP="00136B64">
      <w:pPr>
        <w:pStyle w:val="CaptionedFigure"/>
        <w:jc w:val="center"/>
      </w:pPr>
      <w:r>
        <w:rPr>
          <w:noProof/>
        </w:rPr>
        <w:lastRenderedPageBreak/>
        <w:drawing>
          <wp:inline distT="0" distB="0" distL="0" distR="0" wp14:anchorId="2DD62F39" wp14:editId="46836654">
            <wp:extent cx="5029200" cy="2542032"/>
            <wp:effectExtent l="0" t="0" r="0" b="0"/>
            <wp:docPr id="30" name="Picture" descr="SI Figure 4: As an evaluation of goodness-of-fit, we examined a) the relationship between observed pinyon jay counts and counts predicted from the model (median and 95% Bayesian Credible Interval) and b) the R2 of this relationship from ~1000 posterior samples. In a), the dashed line represents the 1:1 line where predictions exactly match. In b) the dashed vertical line represents the mean R2."/>
            <wp:cNvGraphicFramePr/>
            <a:graphic xmlns:a="http://schemas.openxmlformats.org/drawingml/2006/main">
              <a:graphicData uri="http://schemas.openxmlformats.org/drawingml/2006/picture">
                <pic:pic xmlns:pic="http://schemas.openxmlformats.org/drawingml/2006/picture">
                  <pic:nvPicPr>
                    <pic:cNvPr id="31" name="Picture" descr="../pictures/final/y_yrep_linearr2.jpg"/>
                    <pic:cNvPicPr>
                      <a:picLocks noChangeAspect="1" noChangeArrowheads="1"/>
                    </pic:cNvPicPr>
                  </pic:nvPicPr>
                  <pic:blipFill>
                    <a:blip r:embed="rId17"/>
                    <a:stretch>
                      <a:fillRect/>
                    </a:stretch>
                  </pic:blipFill>
                  <pic:spPr bwMode="auto">
                    <a:xfrm>
                      <a:off x="0" y="0"/>
                      <a:ext cx="5029200" cy="2542032"/>
                    </a:xfrm>
                    <a:prstGeom prst="rect">
                      <a:avLst/>
                    </a:prstGeom>
                    <a:noFill/>
                    <a:ln w="9525">
                      <a:noFill/>
                      <a:headEnd/>
                      <a:tailEnd/>
                    </a:ln>
                  </pic:spPr>
                </pic:pic>
              </a:graphicData>
            </a:graphic>
          </wp:inline>
        </w:drawing>
      </w:r>
    </w:p>
    <w:p w14:paraId="01A62331" w14:textId="3F59D8A4" w:rsidR="00106EA3" w:rsidRDefault="00AD047E">
      <w:pPr>
        <w:pStyle w:val="ImageCaption"/>
      </w:pPr>
      <w:r w:rsidRPr="00136B64">
        <w:rPr>
          <w:b/>
          <w:bCs/>
        </w:rPr>
        <w:t>SI Figure 4</w:t>
      </w:r>
      <w:r w:rsidR="00136B64" w:rsidRPr="00136B64">
        <w:rPr>
          <w:b/>
          <w:bCs/>
        </w:rPr>
        <w:t>.</w:t>
      </w:r>
      <w:r>
        <w:t xml:space="preserve"> As an evaluation of goodness-of-fit, we examined a) the relationship between observed pinyon jay counts and counts predicted from the model (median and 95% Bayesian Credible Interval) and b) the R2 of this relationship from ~1000 posterior samples. In a), the dashed line represents the 1:1 line where predictions exactly match. In b) the dashed vertical line represents the mean R2.</w:t>
      </w:r>
    </w:p>
    <w:p w14:paraId="2AF82EAF" w14:textId="77777777" w:rsidR="00136B64" w:rsidRDefault="00136B64">
      <w:pPr>
        <w:pStyle w:val="CaptionedFigure"/>
        <w:sectPr w:rsidR="00136B64" w:rsidSect="00167C71">
          <w:pgSz w:w="12240" w:h="15840"/>
          <w:pgMar w:top="1440" w:right="1440" w:bottom="1440" w:left="1440" w:header="720" w:footer="720" w:gutter="0"/>
          <w:lnNumType w:countBy="1" w:restart="continuous"/>
          <w:cols w:space="720"/>
          <w:titlePg/>
          <w:docGrid w:linePitch="326"/>
        </w:sectPr>
      </w:pPr>
    </w:p>
    <w:p w14:paraId="5DA0D0E3" w14:textId="7AD1BD36" w:rsidR="00106EA3" w:rsidRDefault="00C70E13" w:rsidP="00136B64">
      <w:pPr>
        <w:pStyle w:val="CaptionedFigure"/>
        <w:jc w:val="center"/>
      </w:pPr>
      <w:r>
        <w:rPr>
          <w:noProof/>
        </w:rPr>
        <w:lastRenderedPageBreak/>
        <w:drawing>
          <wp:inline distT="0" distB="0" distL="0" distR="0" wp14:anchorId="5B54BC79" wp14:editId="683B8C36">
            <wp:extent cx="5943600" cy="5943600"/>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D7A763E" w14:textId="4AF15932" w:rsidR="00106EA3" w:rsidRDefault="00AD047E">
      <w:pPr>
        <w:pStyle w:val="ImageCaption"/>
      </w:pPr>
      <w:r w:rsidRPr="00136B64">
        <w:rPr>
          <w:b/>
          <w:bCs/>
        </w:rPr>
        <w:t>SI Figure 5</w:t>
      </w:r>
      <w:r w:rsidR="00136B64" w:rsidRPr="00136B64">
        <w:rPr>
          <w:b/>
          <w:bCs/>
        </w:rPr>
        <w:t>.</w:t>
      </w:r>
      <w:r>
        <w:t xml:space="preserve"> </w:t>
      </w:r>
      <w:r w:rsidR="00136B64">
        <w:t>Root mean squared error (</w:t>
      </w:r>
      <w:r>
        <w:t>RMSE</w:t>
      </w:r>
      <w:r w:rsidR="00136B64">
        <w:t>)</w:t>
      </w:r>
      <w:r>
        <w:t xml:space="preserve"> </w:t>
      </w:r>
      <w:r w:rsidR="00E578B9">
        <w:t>to evaluate the predictive ability of the model applied to the</w:t>
      </w:r>
      <w:r w:rsidR="00394758">
        <w:t xml:space="preserve"> in-sample</w:t>
      </w:r>
      <w:r>
        <w:t xml:space="preserve"> </w:t>
      </w:r>
      <w:r w:rsidR="00394758">
        <w:t>(“</w:t>
      </w:r>
      <w:r>
        <w:t>test</w:t>
      </w:r>
      <w:r w:rsidR="00394758">
        <w:t>”)</w:t>
      </w:r>
      <w:r>
        <w:t xml:space="preserve"> and out</w:t>
      </w:r>
      <w:r w:rsidR="00E578B9">
        <w:t>-</w:t>
      </w:r>
      <w:r>
        <w:t>of</w:t>
      </w:r>
      <w:r w:rsidR="00E578B9">
        <w:t>-</w:t>
      </w:r>
      <w:r>
        <w:t>sample datasets. Values for RMSE are on the scale of the data (counts of pinyon jays</w:t>
      </w:r>
      <w:r w:rsidR="00E578B9">
        <w:t xml:space="preserve"> per </w:t>
      </w:r>
      <w:r w:rsidR="00394758">
        <w:t>square kilometer</w:t>
      </w:r>
      <w:r>
        <w:t xml:space="preserve">). </w:t>
      </w:r>
      <w:r w:rsidR="00E578B9">
        <w:t>The RMSE values</w:t>
      </w:r>
      <w:r>
        <w:t xml:space="preserve"> are relatively small compared to the range of possible counts in a checklist (0 </w:t>
      </w:r>
      <w:r w:rsidR="00E578B9">
        <w:t>to</w:t>
      </w:r>
      <w:r>
        <w:t xml:space="preserve"> 350 birds</w:t>
      </w:r>
      <w:r w:rsidR="00E578B9">
        <w:t xml:space="preserve"> per hectare</w:t>
      </w:r>
      <w:r>
        <w:t xml:space="preserve"> in our test dataset).</w:t>
      </w:r>
    </w:p>
    <w:p w14:paraId="5E1735C3" w14:textId="137C4D99" w:rsidR="00106EA3" w:rsidRDefault="00C21220">
      <w:pPr>
        <w:pStyle w:val="CaptionedFigure"/>
      </w:pPr>
      <w:r>
        <w:rPr>
          <w:noProof/>
        </w:rPr>
        <w:lastRenderedPageBreak/>
        <w:drawing>
          <wp:inline distT="0" distB="0" distL="0" distR="0" wp14:anchorId="0A32CFE7" wp14:editId="0FAF314C">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EFA28F" wp14:editId="6F5F75AF">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EE4D82" wp14:editId="05F7D9B6">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r w:rsidR="00AD047E">
        <w:rPr>
          <w:noProof/>
        </w:rPr>
        <w:lastRenderedPageBreak/>
        <w:drawing>
          <wp:inline distT="0" distB="0" distL="0" distR="0" wp14:anchorId="4B0176F5" wp14:editId="43C5CB67">
            <wp:extent cx="6056026" cy="2745287"/>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l="32116" t="20514" b="59934"/>
                    <a:stretch>
                      <a:fillRect/>
                    </a:stretch>
                  </pic:blipFill>
                  <pic:spPr bwMode="auto">
                    <a:xfrm>
                      <a:off x="0" y="0"/>
                      <a:ext cx="6114106" cy="2771616"/>
                    </a:xfrm>
                    <a:prstGeom prst="rect">
                      <a:avLst/>
                    </a:prstGeom>
                    <a:noFill/>
                    <a:ln>
                      <a:noFill/>
                    </a:ln>
                    <a:extLst>
                      <a:ext uri="{53640926-AAD7-44D8-BBD7-CCE9431645EC}">
                        <a14:shadowObscured xmlns:a14="http://schemas.microsoft.com/office/drawing/2010/main"/>
                      </a:ext>
                    </a:extLst>
                  </pic:spPr>
                </pic:pic>
              </a:graphicData>
            </a:graphic>
          </wp:inline>
        </w:drawing>
      </w:r>
    </w:p>
    <w:p w14:paraId="268E40C5" w14:textId="77777777" w:rsidR="00C21220" w:rsidRDefault="00C21220">
      <w:pPr>
        <w:pStyle w:val="CaptionedFigure"/>
      </w:pPr>
    </w:p>
    <w:p w14:paraId="185352B9" w14:textId="77777777" w:rsidR="00C21220" w:rsidRDefault="00C21220">
      <w:pPr>
        <w:pStyle w:val="CaptionedFigure"/>
      </w:pPr>
      <w:r>
        <w:rPr>
          <w:noProof/>
        </w:rPr>
        <w:drawing>
          <wp:inline distT="0" distB="0" distL="0" distR="0" wp14:anchorId="3011E069" wp14:editId="2B11080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p>
    <w:p w14:paraId="6E7CEC82" w14:textId="77777777" w:rsidR="00C21220" w:rsidRDefault="00C21220">
      <w:pPr>
        <w:pStyle w:val="CaptionedFigure"/>
      </w:pPr>
    </w:p>
    <w:p w14:paraId="78C5FC67" w14:textId="139741DF" w:rsidR="00C21220" w:rsidRDefault="00C21220">
      <w:pPr>
        <w:pStyle w:val="CaptionedFigure"/>
      </w:pPr>
      <w:r>
        <w:rPr>
          <w:noProof/>
        </w:rPr>
        <w:lastRenderedPageBreak/>
        <w:drawing>
          <wp:inline distT="0" distB="0" distL="0" distR="0" wp14:anchorId="7BE0AB3E" wp14:editId="4A136532">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C6CB39" wp14:editId="65DE7BE4">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p>
    <w:p w14:paraId="0872820F" w14:textId="3EAA26AE" w:rsidR="00C21220" w:rsidRDefault="00C21220">
      <w:pPr>
        <w:pStyle w:val="CaptionedFigure"/>
      </w:pPr>
      <w:r>
        <w:rPr>
          <w:noProof/>
        </w:rPr>
        <w:drawing>
          <wp:inline distT="0" distB="0" distL="0" distR="0" wp14:anchorId="209AC52B" wp14:editId="3AAF8FF3">
            <wp:extent cx="6063521" cy="3000649"/>
            <wp:effectExtent l="0" t="0" r="0" b="0"/>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l="32451" t="59740" r="1290" b="19426"/>
                    <a:stretch>
                      <a:fillRect/>
                    </a:stretch>
                  </pic:blipFill>
                  <pic:spPr bwMode="auto">
                    <a:xfrm>
                      <a:off x="0" y="0"/>
                      <a:ext cx="6126665" cy="3031897"/>
                    </a:xfrm>
                    <a:prstGeom prst="rect">
                      <a:avLst/>
                    </a:prstGeom>
                    <a:noFill/>
                    <a:ln>
                      <a:noFill/>
                    </a:ln>
                    <a:extLst>
                      <a:ext uri="{53640926-AAD7-44D8-BBD7-CCE9431645EC}">
                        <a14:shadowObscured xmlns:a14="http://schemas.microsoft.com/office/drawing/2010/main"/>
                      </a:ext>
                    </a:extLst>
                  </pic:spPr>
                </pic:pic>
              </a:graphicData>
            </a:graphic>
          </wp:inline>
        </w:drawing>
      </w:r>
    </w:p>
    <w:p w14:paraId="71181B23" w14:textId="77777777" w:rsidR="00C21220" w:rsidRDefault="00C21220">
      <w:pPr>
        <w:pStyle w:val="CaptionedFigure"/>
      </w:pPr>
    </w:p>
    <w:p w14:paraId="59098FB9" w14:textId="3D6020DA" w:rsidR="00C21220" w:rsidRDefault="00C21220">
      <w:pPr>
        <w:pStyle w:val="CaptionedFigure"/>
      </w:pPr>
      <w:r>
        <w:rPr>
          <w:noProof/>
        </w:rPr>
        <w:lastRenderedPageBreak/>
        <w:drawing>
          <wp:inline distT="0" distB="0" distL="0" distR="0" wp14:anchorId="513C18BC" wp14:editId="1D0AE5AF">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9"/>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3B7662D1" w14:textId="0DD51AA2" w:rsidR="00106EA3" w:rsidRDefault="00AD047E">
      <w:pPr>
        <w:pStyle w:val="ImageCaption"/>
      </w:pPr>
      <w:r w:rsidRPr="00E578B9">
        <w:rPr>
          <w:b/>
          <w:bCs/>
        </w:rPr>
        <w:t>SI Figure 6</w:t>
      </w:r>
      <w:r w:rsidR="00E578B9" w:rsidRPr="00E578B9">
        <w:rPr>
          <w:b/>
          <w:bCs/>
        </w:rPr>
        <w:t>.</w:t>
      </w:r>
      <w:r>
        <w:t xml:space="preserve"> Evaluation of spatial autocorrelation (Pearson correlation on the y-axis) for residuals in each year (</w:t>
      </w:r>
      <w:r w:rsidR="00E578B9">
        <w:t xml:space="preserve">year indices are indicated above each figure panel, where </w:t>
      </w:r>
      <w:r>
        <w:t>1 = 2010</w:t>
      </w:r>
      <w:r w:rsidR="00E578B9">
        <w:t>, 2 = 2011, …,</w:t>
      </w:r>
      <w:r>
        <w:t xml:space="preserve"> 13 = 2022). There was no consistent evidence of spatial autocorrelation of residuals.</w:t>
      </w:r>
      <w:bookmarkEnd w:id="0"/>
      <w:r w:rsidR="00C21220" w:rsidRPr="00C21220">
        <w:rPr>
          <w:noProof/>
        </w:rPr>
        <w:t xml:space="preserve"> </w:t>
      </w:r>
    </w:p>
    <w:sectPr w:rsidR="00106EA3" w:rsidSect="00167C71">
      <w:pgSz w:w="12240" w:h="15840"/>
      <w:pgMar w:top="1440" w:right="1440" w:bottom="1440" w:left="1440"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ED53" w14:textId="77777777" w:rsidR="008F1B4F" w:rsidRDefault="008F1B4F">
      <w:pPr>
        <w:spacing w:after="0"/>
      </w:pPr>
      <w:r>
        <w:separator/>
      </w:r>
    </w:p>
  </w:endnote>
  <w:endnote w:type="continuationSeparator" w:id="0">
    <w:p w14:paraId="6DFC7DF5" w14:textId="77777777" w:rsidR="008F1B4F" w:rsidRDefault="008F1B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3371F9AC"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841660" w14:textId="77777777" w:rsidR="00167C71" w:rsidRDefault="00167C71" w:rsidP="00167C71">
    <w:pPr>
      <w:pStyle w:val="Footer"/>
      <w:ind w:right="360"/>
    </w:pPr>
  </w:p>
  <w:p w14:paraId="045B2105"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CFFE10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69E3A0" w14:textId="77777777" w:rsidR="00167C71" w:rsidRDefault="00167C71" w:rsidP="00167C71">
    <w:pPr>
      <w:pStyle w:val="Footer"/>
      <w:ind w:right="360"/>
    </w:pPr>
  </w:p>
  <w:p w14:paraId="5C4E4F89"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7B41" w14:textId="77777777" w:rsidR="008F1B4F" w:rsidRDefault="008F1B4F">
      <w:pPr>
        <w:spacing w:after="0"/>
      </w:pPr>
      <w:r>
        <w:separator/>
      </w:r>
    </w:p>
  </w:footnote>
  <w:footnote w:type="continuationSeparator" w:id="0">
    <w:p w14:paraId="6E86EC79" w14:textId="77777777" w:rsidR="008F1B4F" w:rsidRDefault="008F1B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BEC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51514795">
    <w:abstractNumId w:val="1"/>
  </w:num>
  <w:num w:numId="2" w16cid:durableId="145532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50D8"/>
    <w:rsid w:val="0008670E"/>
    <w:rsid w:val="000E0454"/>
    <w:rsid w:val="00106EA3"/>
    <w:rsid w:val="00136B64"/>
    <w:rsid w:val="001533AB"/>
    <w:rsid w:val="00167C71"/>
    <w:rsid w:val="002A3573"/>
    <w:rsid w:val="0030190A"/>
    <w:rsid w:val="003215D9"/>
    <w:rsid w:val="00394758"/>
    <w:rsid w:val="003971A1"/>
    <w:rsid w:val="003B444C"/>
    <w:rsid w:val="00457DDC"/>
    <w:rsid w:val="004F1543"/>
    <w:rsid w:val="006561E7"/>
    <w:rsid w:val="00711C3E"/>
    <w:rsid w:val="007545A8"/>
    <w:rsid w:val="007F3879"/>
    <w:rsid w:val="008F1B4F"/>
    <w:rsid w:val="0099288A"/>
    <w:rsid w:val="00AD047E"/>
    <w:rsid w:val="00B802B4"/>
    <w:rsid w:val="00BB28EF"/>
    <w:rsid w:val="00C21220"/>
    <w:rsid w:val="00C34A7D"/>
    <w:rsid w:val="00C70E13"/>
    <w:rsid w:val="00CA7281"/>
    <w:rsid w:val="00D373F1"/>
    <w:rsid w:val="00DB2382"/>
    <w:rsid w:val="00E578B9"/>
    <w:rsid w:val="00EC50D8"/>
    <w:rsid w:val="00EC5970"/>
    <w:rsid w:val="00ED4EEA"/>
    <w:rsid w:val="00EF3AC6"/>
    <w:rsid w:val="00F20DD5"/>
    <w:rsid w:val="00F713D7"/>
    <w:rsid w:val="00F927A3"/>
    <w:rsid w:val="00FA047F"/>
    <w:rsid w:val="00FE1E5C"/>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34DD"/>
  <w15:docId w15:val="{BEADF31D-6043-4302-8F16-BAC78A15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FE4A42"/>
    <w:rPr>
      <w:sz w:val="16"/>
      <w:szCs w:val="16"/>
    </w:rPr>
  </w:style>
  <w:style w:type="paragraph" w:styleId="CommentText">
    <w:name w:val="annotation text"/>
    <w:basedOn w:val="Normal"/>
    <w:link w:val="CommentTextChar"/>
    <w:rsid w:val="00FE4A42"/>
    <w:rPr>
      <w:sz w:val="20"/>
      <w:szCs w:val="20"/>
    </w:rPr>
  </w:style>
  <w:style w:type="character" w:customStyle="1" w:styleId="CommentTextChar">
    <w:name w:val="Comment Text Char"/>
    <w:basedOn w:val="DefaultParagraphFont"/>
    <w:link w:val="CommentText"/>
    <w:rsid w:val="00FE4A42"/>
    <w:rPr>
      <w:sz w:val="20"/>
      <w:szCs w:val="20"/>
    </w:rPr>
  </w:style>
  <w:style w:type="paragraph" w:styleId="CommentSubject">
    <w:name w:val="annotation subject"/>
    <w:basedOn w:val="CommentText"/>
    <w:next w:val="CommentText"/>
    <w:link w:val="CommentSubjectChar"/>
    <w:rsid w:val="00FE4A42"/>
    <w:rPr>
      <w:b/>
      <w:bCs/>
    </w:rPr>
  </w:style>
  <w:style w:type="character" w:customStyle="1" w:styleId="CommentSubjectChar">
    <w:name w:val="Comment Subject Char"/>
    <w:basedOn w:val="CommentTextChar"/>
    <w:link w:val="CommentSubject"/>
    <w:rsid w:val="00FE4A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3A97A-6423-4340-940D-8123D6EC6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11</Pages>
  <Words>2870</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Supporting Information for: The relationship between an avian seed disperser and seed availability in the Southwest USA is lagged and dependent on climate and habitat context</vt:lpstr>
    </vt:vector>
  </TitlesOfParts>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The relationship between an avian seed disperser and seed availability in the Southwest USA is lagged and dependent on climate and habitat context</dc:title>
  <dc:creator/>
  <cp:keywords/>
  <cp:lastModifiedBy>Ana Miller-ter Kuile</cp:lastModifiedBy>
  <cp:revision>12</cp:revision>
  <dcterms:created xsi:type="dcterms:W3CDTF">2025-09-18T21:25:00Z</dcterms:created>
  <dcterms:modified xsi:type="dcterms:W3CDTF">2025-10-22T21:56:00Z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