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3EA27" w14:textId="44AC428E" w:rsidR="004C1B7B" w:rsidRPr="008F3C99" w:rsidRDefault="2E9D8CDE">
      <w:pPr>
        <w:pStyle w:val="Title"/>
        <w:rPr>
          <w:rFonts w:cs="Times New Roman"/>
        </w:rPr>
      </w:pPr>
      <w:bookmarkStart w:id="0" w:name="materials-and-methods"/>
      <w:r w:rsidRPr="008F3C99">
        <w:rPr>
          <w:rFonts w:cs="Times New Roman"/>
          <w:b/>
        </w:rPr>
        <w:t>Title:</w:t>
      </w:r>
      <w:r w:rsidRPr="008F3C99">
        <w:rPr>
          <w:rFonts w:cs="Times New Roman"/>
        </w:rPr>
        <w:t xml:space="preserve"> </w:t>
      </w:r>
      <w:r w:rsidR="46AE285C" w:rsidRPr="008F3C99">
        <w:rPr>
          <w:rFonts w:cs="Times New Roman"/>
          <w:bCs w:val="0"/>
          <w:szCs w:val="24"/>
        </w:rPr>
        <w:t xml:space="preserve"> </w:t>
      </w:r>
      <w:r w:rsidR="00164413" w:rsidRPr="008F3C99">
        <w:rPr>
          <w:rFonts w:cs="Times New Roman"/>
        </w:rPr>
        <w:t xml:space="preserve">Caching in: </w:t>
      </w:r>
      <w:r w:rsidR="00611FF5" w:rsidRPr="008F3C99">
        <w:rPr>
          <w:rFonts w:cs="Times New Roman"/>
        </w:rPr>
        <w:t>A s</w:t>
      </w:r>
      <w:r w:rsidR="004E592D" w:rsidRPr="008F3C99">
        <w:rPr>
          <w:rFonts w:cs="Times New Roman"/>
        </w:rPr>
        <w:t>eed</w:t>
      </w:r>
      <w:r w:rsidR="00A328DE" w:rsidRPr="008F3C99">
        <w:rPr>
          <w:rFonts w:cs="Times New Roman"/>
        </w:rPr>
        <w:t xml:space="preserve"> dispersal mutualism </w:t>
      </w:r>
      <w:r w:rsidR="00A776D5" w:rsidRPr="008F3C99">
        <w:rPr>
          <w:rFonts w:cs="Times New Roman"/>
        </w:rPr>
        <w:t xml:space="preserve">portends the decline </w:t>
      </w:r>
      <w:r w:rsidR="004E592D" w:rsidRPr="008F3C99">
        <w:rPr>
          <w:rFonts w:cs="Times New Roman"/>
        </w:rPr>
        <w:t>of an imperiled songbird-pine system</w:t>
      </w:r>
    </w:p>
    <w:p w14:paraId="3959516C" w14:textId="77777777" w:rsidR="004E592D" w:rsidRPr="008F3C99" w:rsidRDefault="004E592D" w:rsidP="004E592D">
      <w:pPr>
        <w:rPr>
          <w:rFonts w:ascii="Times New Roman" w:hAnsi="Times New Roman" w:cs="Times New Roman"/>
          <w:b/>
          <w:bCs/>
        </w:rPr>
      </w:pPr>
    </w:p>
    <w:p w14:paraId="12ECABA7" w14:textId="7ECDD460" w:rsidR="00A63129" w:rsidRPr="008F3C99" w:rsidRDefault="2E9D8CDE" w:rsidP="002F4A30">
      <w:pPr>
        <w:rPr>
          <w:rFonts w:ascii="Times New Roman" w:hAnsi="Times New Roman" w:cs="Times New Roman"/>
        </w:rPr>
      </w:pPr>
      <w:r w:rsidRPr="008F3C99">
        <w:rPr>
          <w:rFonts w:ascii="Times New Roman" w:hAnsi="Times New Roman" w:cs="Times New Roman"/>
          <w:b/>
          <w:bCs/>
        </w:rPr>
        <w:t xml:space="preserve">Author </w:t>
      </w:r>
      <w:r w:rsidR="7C2EC806" w:rsidRPr="008F3C99">
        <w:rPr>
          <w:rFonts w:ascii="Times New Roman" w:hAnsi="Times New Roman" w:cs="Times New Roman"/>
          <w:b/>
          <w:bCs/>
        </w:rPr>
        <w:t>L</w:t>
      </w:r>
      <w:r w:rsidRPr="008F3C99">
        <w:rPr>
          <w:rFonts w:ascii="Times New Roman" w:hAnsi="Times New Roman" w:cs="Times New Roman"/>
          <w:b/>
          <w:bCs/>
        </w:rPr>
        <w:t>ist</w:t>
      </w:r>
      <w:r w:rsidRPr="008F3C99">
        <w:rPr>
          <w:rFonts w:ascii="Times New Roman" w:hAnsi="Times New Roman" w:cs="Times New Roman"/>
        </w:rPr>
        <w:t>: Ana Miller-ter Kuile</w:t>
      </w:r>
      <w:r w:rsidRPr="008F3C99">
        <w:rPr>
          <w:rFonts w:ascii="Times New Roman" w:hAnsi="Times New Roman" w:cs="Times New Roman"/>
          <w:vertAlign w:val="superscript"/>
        </w:rPr>
        <w:t>1,2</w:t>
      </w:r>
      <w:r w:rsidRPr="008F3C99">
        <w:rPr>
          <w:rFonts w:ascii="Times New Roman" w:hAnsi="Times New Roman" w:cs="Times New Roman"/>
        </w:rPr>
        <w:t>, Andreas</w:t>
      </w:r>
      <w:r w:rsidR="0AB545A8" w:rsidRPr="008F3C99">
        <w:rPr>
          <w:rFonts w:ascii="Times New Roman" w:hAnsi="Times New Roman" w:cs="Times New Roman"/>
        </w:rPr>
        <w:t xml:space="preserve"> P.</w:t>
      </w:r>
      <w:r w:rsidRPr="008F3C99">
        <w:rPr>
          <w:rFonts w:ascii="Times New Roman" w:hAnsi="Times New Roman" w:cs="Times New Roman"/>
        </w:rPr>
        <w:t xml:space="preserve"> Wion</w:t>
      </w:r>
      <w:r w:rsidRPr="008F3C99">
        <w:rPr>
          <w:rFonts w:ascii="Times New Roman" w:hAnsi="Times New Roman" w:cs="Times New Roman"/>
          <w:vertAlign w:val="superscript"/>
        </w:rPr>
        <w:t>3</w:t>
      </w:r>
      <w:r w:rsidRPr="008F3C99">
        <w:rPr>
          <w:rFonts w:ascii="Times New Roman" w:hAnsi="Times New Roman" w:cs="Times New Roman"/>
        </w:rPr>
        <w:t xml:space="preserve">, Kyle </w:t>
      </w:r>
      <w:r w:rsidR="64ECA29E" w:rsidRPr="008F3C99">
        <w:rPr>
          <w:rFonts w:ascii="Times New Roman" w:hAnsi="Times New Roman" w:cs="Times New Roman"/>
        </w:rPr>
        <w:t xml:space="preserve">C. </w:t>
      </w:r>
      <w:r w:rsidRPr="008F3C99">
        <w:rPr>
          <w:rFonts w:ascii="Times New Roman" w:hAnsi="Times New Roman" w:cs="Times New Roman"/>
        </w:rPr>
        <w:t>Rodman</w:t>
      </w:r>
      <w:r w:rsidRPr="008F3C99">
        <w:rPr>
          <w:rFonts w:ascii="Times New Roman" w:hAnsi="Times New Roman" w:cs="Times New Roman"/>
          <w:vertAlign w:val="superscript"/>
        </w:rPr>
        <w:t>4</w:t>
      </w:r>
      <w:r w:rsidRPr="008F3C99">
        <w:rPr>
          <w:rFonts w:ascii="Times New Roman" w:hAnsi="Times New Roman" w:cs="Times New Roman"/>
        </w:rPr>
        <w:t>, Jamie S. Sanderlin</w:t>
      </w:r>
      <w:r w:rsidRPr="008F3C99">
        <w:rPr>
          <w:rFonts w:ascii="Times New Roman" w:hAnsi="Times New Roman" w:cs="Times New Roman"/>
          <w:vertAlign w:val="superscript"/>
        </w:rPr>
        <w:t>2</w:t>
      </w:r>
      <w:r w:rsidR="00F44FB3" w:rsidRPr="008F3C99">
        <w:rPr>
          <w:rFonts w:ascii="Times New Roman" w:hAnsi="Times New Roman" w:cs="Times New Roman"/>
        </w:rPr>
        <w:t>, Kiona Ogle</w:t>
      </w:r>
      <w:r w:rsidR="00F44FB3" w:rsidRPr="008F3C99">
        <w:rPr>
          <w:rFonts w:ascii="Times New Roman" w:hAnsi="Times New Roman" w:cs="Times New Roman"/>
          <w:vertAlign w:val="superscript"/>
        </w:rPr>
        <w:t>1</w:t>
      </w:r>
    </w:p>
    <w:p w14:paraId="1C81DFAA" w14:textId="6DCE129C" w:rsidR="00A63129" w:rsidRPr="008F3C99" w:rsidRDefault="2E9D8CDE" w:rsidP="00A63129">
      <w:pPr>
        <w:pStyle w:val="BodyText"/>
        <w:rPr>
          <w:rFonts w:cs="Times New Roman"/>
        </w:rPr>
      </w:pPr>
      <w:r w:rsidRPr="008F3C99">
        <w:rPr>
          <w:rFonts w:cs="Times New Roman"/>
          <w:b/>
          <w:bCs/>
        </w:rPr>
        <w:t xml:space="preserve">Author </w:t>
      </w:r>
      <w:r w:rsidR="64604529" w:rsidRPr="008F3C99">
        <w:rPr>
          <w:rFonts w:cs="Times New Roman"/>
          <w:b/>
          <w:bCs/>
        </w:rPr>
        <w:t>A</w:t>
      </w:r>
      <w:r w:rsidRPr="008F3C99">
        <w:rPr>
          <w:rFonts w:cs="Times New Roman"/>
          <w:b/>
          <w:bCs/>
        </w:rPr>
        <w:t>ffiliations</w:t>
      </w:r>
      <w:r w:rsidRPr="008F3C99">
        <w:rPr>
          <w:rFonts w:cs="Times New Roman"/>
        </w:rPr>
        <w:t>:</w:t>
      </w:r>
    </w:p>
    <w:p w14:paraId="3D6E46DD" w14:textId="3875B64B" w:rsidR="00A63129" w:rsidRPr="008F3C99" w:rsidRDefault="2E9D8CDE" w:rsidP="00A63129">
      <w:pPr>
        <w:pStyle w:val="BodyText"/>
        <w:rPr>
          <w:rFonts w:cs="Times New Roman"/>
        </w:rPr>
      </w:pPr>
      <w:r w:rsidRPr="008F3C99">
        <w:rPr>
          <w:rFonts w:cs="Times New Roman"/>
          <w:vertAlign w:val="superscript"/>
        </w:rPr>
        <w:t>1</w:t>
      </w:r>
      <w:r w:rsidRPr="008F3C99">
        <w:rPr>
          <w:rFonts w:cs="Times New Roman"/>
        </w:rPr>
        <w:t xml:space="preserve"> School of Informatics, Computing, and Cyber Systems, </w:t>
      </w:r>
      <w:r w:rsidR="00562D45" w:rsidRPr="008F3C99">
        <w:rPr>
          <w:rFonts w:cs="Times New Roman"/>
        </w:rPr>
        <w:t xml:space="preserve">Northern Arizona University, </w:t>
      </w:r>
      <w:r w:rsidRPr="008F3C99">
        <w:rPr>
          <w:rFonts w:cs="Times New Roman"/>
        </w:rPr>
        <w:t>Flagstaff, Arizona, USA</w:t>
      </w:r>
    </w:p>
    <w:p w14:paraId="4AA15869" w14:textId="07176A4D" w:rsidR="00A63129" w:rsidRDefault="2E9D8CDE" w:rsidP="00A63129">
      <w:pPr>
        <w:pStyle w:val="BodyText"/>
      </w:pPr>
      <w:r w:rsidRPr="008F3C99">
        <w:rPr>
          <w:rFonts w:cs="Times New Roman"/>
          <w:vertAlign w:val="superscript"/>
        </w:rPr>
        <w:t>2</w:t>
      </w:r>
      <w:r w:rsidRPr="008F3C99">
        <w:rPr>
          <w:rFonts w:cs="Times New Roman"/>
        </w:rPr>
        <w:t xml:space="preserve"> USDA Forest Service</w:t>
      </w:r>
      <w:r w:rsidR="00562D45" w:rsidRPr="008F3C99">
        <w:rPr>
          <w:rFonts w:cs="Times New Roman"/>
        </w:rPr>
        <w:t>,</w:t>
      </w:r>
      <w:r w:rsidRPr="008F3C99">
        <w:rPr>
          <w:rFonts w:cs="Times New Roman"/>
        </w:rPr>
        <w:t xml:space="preserve"> Rocky Mountain Research</w:t>
      </w:r>
      <w:r>
        <w:t xml:space="preserve"> Station, Flagstaff, Arizona, USA</w:t>
      </w:r>
    </w:p>
    <w:p w14:paraId="2AC9A2F7" w14:textId="15ACCA95" w:rsidR="00A63129" w:rsidRDefault="2E9D8CDE" w:rsidP="00A63129">
      <w:pPr>
        <w:pStyle w:val="BodyText"/>
      </w:pPr>
      <w:r w:rsidRPr="001F33F2">
        <w:rPr>
          <w:vertAlign w:val="superscript"/>
        </w:rPr>
        <w:t>3</w:t>
      </w:r>
      <w:r>
        <w:t xml:space="preserve"> </w:t>
      </w:r>
      <w:r w:rsidR="2F7B8CAB">
        <w:t>Forest Stewards Guild, Santa Fe, New Mexico, USA</w:t>
      </w:r>
    </w:p>
    <w:p w14:paraId="147DAA03" w14:textId="77777777" w:rsidR="00A63129" w:rsidRDefault="2E9D8CDE" w:rsidP="00A63129">
      <w:pPr>
        <w:pStyle w:val="BodyText"/>
      </w:pPr>
      <w:r w:rsidRPr="001F33F2">
        <w:rPr>
          <w:vertAlign w:val="superscript"/>
        </w:rPr>
        <w:t>4</w:t>
      </w:r>
      <w:r>
        <w:t xml:space="preserve"> Ecological Restoration Institute, Northern Arizona University, Flagstaff, Arizona, USA</w:t>
      </w:r>
    </w:p>
    <w:p w14:paraId="33EFE51F" w14:textId="77777777" w:rsidR="00A63129" w:rsidRDefault="00A63129" w:rsidP="00A63129">
      <w:pPr>
        <w:pStyle w:val="BodyText"/>
      </w:pPr>
      <w:r>
        <w:rPr>
          <w:b/>
          <w:bCs/>
        </w:rPr>
        <w:t>Corresponding author:</w:t>
      </w:r>
      <w:r>
        <w:t xml:space="preserve"> Ana Miller-ter Kuile, ana.miller-ter-kuile@nau.edu, Northern Arizona University School of Informatics, Computing, and Cyber Systems, 1295 Knoles Drive, Flagstaff, Arizona 86011</w:t>
      </w:r>
    </w:p>
    <w:p w14:paraId="66C7214E" w14:textId="29F17A78" w:rsidR="00464FBB" w:rsidRPr="00410EEF" w:rsidRDefault="00464FBB" w:rsidP="00A63129">
      <w:pPr>
        <w:pStyle w:val="BodyText"/>
      </w:pPr>
      <w:r w:rsidRPr="006103F0">
        <w:rPr>
          <w:b/>
          <w:bCs/>
        </w:rPr>
        <w:t>Target journal:</w:t>
      </w:r>
      <w:r>
        <w:t xml:space="preserve"> </w:t>
      </w:r>
      <w:r w:rsidRPr="006103F0">
        <w:rPr>
          <w:i/>
          <w:iCs/>
        </w:rPr>
        <w:t>PNAS</w:t>
      </w:r>
      <w:r>
        <w:t xml:space="preserve"> </w:t>
      </w:r>
      <w:r w:rsidR="00410EEF">
        <w:t xml:space="preserve">(4000-8000 words, 4 figures) </w:t>
      </w:r>
      <w:r>
        <w:t xml:space="preserve">or </w:t>
      </w:r>
      <w:r w:rsidRPr="006103F0">
        <w:rPr>
          <w:i/>
          <w:iCs/>
        </w:rPr>
        <w:t>Ecology Letters</w:t>
      </w:r>
      <w:r w:rsidR="00410EEF">
        <w:rPr>
          <w:i/>
          <w:iCs/>
        </w:rPr>
        <w:t xml:space="preserve"> </w:t>
      </w:r>
      <w:r w:rsidR="00410EEF">
        <w:t>(5000 words, 6 figures)</w:t>
      </w:r>
    </w:p>
    <w:p w14:paraId="15359A4D" w14:textId="77777777" w:rsidR="00A63129" w:rsidRDefault="00A63129" w:rsidP="00A63129">
      <w:pPr>
        <w:pStyle w:val="Heading1"/>
      </w:pPr>
      <w:bookmarkStart w:id="1" w:name="conflict-of-interest"/>
      <w:r>
        <w:t>Conflict of Interest</w:t>
      </w:r>
    </w:p>
    <w:p w14:paraId="446D2CC0" w14:textId="77777777" w:rsidR="00A63129" w:rsidRDefault="00A63129" w:rsidP="00A63129">
      <w:pPr>
        <w:pStyle w:val="FirstParagraph"/>
      </w:pPr>
      <w:r>
        <w:t>The authors declare no conflicts of interest.</w:t>
      </w:r>
    </w:p>
    <w:p w14:paraId="2B5AA51B" w14:textId="77777777" w:rsidR="00A63129" w:rsidRDefault="00A63129" w:rsidP="00A63129">
      <w:pPr>
        <w:pStyle w:val="Heading1"/>
      </w:pPr>
      <w:bookmarkStart w:id="2" w:name="author-contributions"/>
      <w:bookmarkEnd w:id="1"/>
      <w:r>
        <w:t>Author Contributions</w:t>
      </w:r>
    </w:p>
    <w:p w14:paraId="009A3C9E" w14:textId="0F5A5250" w:rsidR="00A63129" w:rsidRDefault="36D71A88" w:rsidP="00A63129">
      <w:pPr>
        <w:pStyle w:val="FirstParagraph"/>
      </w:pPr>
      <w:r>
        <w:t>AM</w:t>
      </w:r>
      <w:r w:rsidR="001F33F2">
        <w:t>-tK</w:t>
      </w:r>
      <w:r w:rsidR="2E9D8CDE">
        <w:t xml:space="preserve">, </w:t>
      </w:r>
      <w:r w:rsidR="1E2F72F7">
        <w:t>APW</w:t>
      </w:r>
      <w:r w:rsidR="2E9D8CDE">
        <w:t xml:space="preserve">, and </w:t>
      </w:r>
      <w:r w:rsidR="6B69974F">
        <w:t>KCR</w:t>
      </w:r>
      <w:r w:rsidR="2E9D8CDE">
        <w:t xml:space="preserve"> conceived the ideas; </w:t>
      </w:r>
      <w:r w:rsidR="223D30B8">
        <w:t>A</w:t>
      </w:r>
      <w:r w:rsidR="001F33F2">
        <w:t>M-tK</w:t>
      </w:r>
      <w:r w:rsidR="2E9D8CDE">
        <w:t xml:space="preserve">, </w:t>
      </w:r>
      <w:r w:rsidR="57FE482E">
        <w:t>KO</w:t>
      </w:r>
      <w:r w:rsidR="2E9D8CDE">
        <w:t xml:space="preserve">, and </w:t>
      </w:r>
      <w:r w:rsidR="69906047">
        <w:t>JSS</w:t>
      </w:r>
      <w:r w:rsidR="2E9D8CDE">
        <w:t xml:space="preserve"> developed statistical methods; </w:t>
      </w:r>
      <w:r w:rsidR="0B65BD00">
        <w:t>A</w:t>
      </w:r>
      <w:r w:rsidR="001F33F2">
        <w:t>M-tK</w:t>
      </w:r>
      <w:r w:rsidR="2E9D8CDE">
        <w:t xml:space="preserve"> and </w:t>
      </w:r>
      <w:r w:rsidR="600759E7">
        <w:t>KCR</w:t>
      </w:r>
      <w:r w:rsidR="2E9D8CDE">
        <w:t xml:space="preserve"> developed novel data layers and ran statistical models; </w:t>
      </w:r>
      <w:r w:rsidR="14F1C26D">
        <w:t>AM</w:t>
      </w:r>
      <w:r w:rsidR="001F33F2">
        <w:t>-tK</w:t>
      </w:r>
      <w:r w:rsidR="2E9D8CDE">
        <w:t xml:space="preserve"> led </w:t>
      </w:r>
      <w:r w:rsidR="2E9D8CDE">
        <w:lastRenderedPageBreak/>
        <w:t xml:space="preserve">the writing of the manuscript with support from </w:t>
      </w:r>
      <w:r w:rsidR="6DB3B361">
        <w:t>APW</w:t>
      </w:r>
      <w:r w:rsidR="00785908">
        <w:t xml:space="preserve">, </w:t>
      </w:r>
      <w:r w:rsidR="7CE31ED8">
        <w:t>KCR</w:t>
      </w:r>
      <w:r w:rsidR="00785908">
        <w:t>, and KO</w:t>
      </w:r>
      <w:r w:rsidR="2E9D8CDE">
        <w:t xml:space="preserve">. All authors contributed to the drafts and gave final approval for publication. </w:t>
      </w:r>
    </w:p>
    <w:p w14:paraId="026EB98D" w14:textId="26D558F8" w:rsidR="00A63129" w:rsidRDefault="2E9D8CDE" w:rsidP="00A63129">
      <w:pPr>
        <w:pStyle w:val="Heading1"/>
      </w:pPr>
      <w:bookmarkStart w:id="3" w:name="data-availability"/>
      <w:bookmarkEnd w:id="2"/>
      <w:r>
        <w:t xml:space="preserve">Data </w:t>
      </w:r>
      <w:r w:rsidR="1635E2D6">
        <w:t>A</w:t>
      </w:r>
      <w:r>
        <w:t>vailability</w:t>
      </w:r>
    </w:p>
    <w:p w14:paraId="2A11EDD7" w14:textId="649ADBF8" w:rsidR="00A63129" w:rsidRDefault="00A63129" w:rsidP="000E6782">
      <w:pPr>
        <w:pStyle w:val="FirstParagraph"/>
      </w:pPr>
      <w:r>
        <w:t>Data and code for this paper are available on Zenodo (</w:t>
      </w:r>
      <w:commentRangeStart w:id="4"/>
      <w:r>
        <w:t>get up there!</w:t>
      </w:r>
      <w:commentRangeEnd w:id="4"/>
      <w:r>
        <w:rPr>
          <w:rStyle w:val="CommentReference"/>
          <w:sz w:val="24"/>
          <w:szCs w:val="24"/>
        </w:rPr>
        <w:commentReference w:id="4"/>
      </w:r>
      <w:r>
        <w:t>)</w:t>
      </w:r>
      <w:r>
        <w:br w:type="page"/>
      </w:r>
    </w:p>
    <w:p w14:paraId="0CDE2BD9" w14:textId="0D6FA525" w:rsidR="00A63129" w:rsidRDefault="00A63129" w:rsidP="00A63129">
      <w:pPr>
        <w:pStyle w:val="Heading1"/>
      </w:pPr>
      <w:bookmarkStart w:id="5" w:name="abstract"/>
      <w:bookmarkEnd w:id="3"/>
      <w:r>
        <w:lastRenderedPageBreak/>
        <w:t>Abstract</w:t>
      </w:r>
      <w:r w:rsidR="00055DC4">
        <w:t xml:space="preserve"> (250 words max)</w:t>
      </w:r>
    </w:p>
    <w:p w14:paraId="5BC6D4B2" w14:textId="303A319D" w:rsidR="00A63129" w:rsidRDefault="00553CD4" w:rsidP="00BA25C1">
      <w:pPr>
        <w:pStyle w:val="Compact"/>
      </w:pPr>
      <w:r>
        <w:t xml:space="preserve">Populations of many species are declining across the globe due to a suite of anthropogenic drivers. </w:t>
      </w:r>
      <w:r w:rsidR="00DD276E">
        <w:t>While habitat conversion</w:t>
      </w:r>
      <w:r w:rsidR="00BA25C1">
        <w:t xml:space="preserve"> is </w:t>
      </w:r>
      <w:r w:rsidR="00923997">
        <w:t>the</w:t>
      </w:r>
      <w:r w:rsidR="00BA25C1">
        <w:t xml:space="preserve"> main global threat</w:t>
      </w:r>
      <w:r w:rsidR="00DD276E">
        <w:t xml:space="preserve">, species may also be impacted by changes in their biotic interactions </w:t>
      </w:r>
      <w:r w:rsidR="00923997">
        <w:t>and declines in</w:t>
      </w:r>
      <w:r w:rsidR="00DD276E">
        <w:t xml:space="preserve"> their interaction partners. This latter </w:t>
      </w:r>
      <w:r w:rsidR="00923997">
        <w:t xml:space="preserve">is not as commonly incorporated to </w:t>
      </w:r>
      <w:r w:rsidR="008F3C99">
        <w:t xml:space="preserve">evaluate </w:t>
      </w:r>
      <w:r w:rsidR="00DD276E">
        <w:t>population status.</w:t>
      </w:r>
      <w:r w:rsidR="00BA25C1">
        <w:t xml:space="preserve"> </w:t>
      </w:r>
      <w:r w:rsidR="00236C22">
        <w:t>Here</w:t>
      </w:r>
      <w:r w:rsidR="00BD6793">
        <w:t xml:space="preserve">, we </w:t>
      </w:r>
      <w:r w:rsidR="00923997">
        <w:t>explored</w:t>
      </w:r>
      <w:r w:rsidR="00BD6793">
        <w:t xml:space="preserve"> </w:t>
      </w:r>
      <w:r w:rsidR="000A515F">
        <w:t>interactions</w:t>
      </w:r>
      <w:r w:rsidR="00BD6793">
        <w:t xml:space="preserve"> between a </w:t>
      </w:r>
      <w:r w:rsidR="00FB105D">
        <w:t>declining</w:t>
      </w:r>
      <w:r w:rsidR="00BD6793">
        <w:t xml:space="preserve"> seed disperser (pinyon jay; </w:t>
      </w:r>
      <w:r w:rsidR="00BD6793" w:rsidRPr="00AC0442">
        <w:rPr>
          <w:i/>
          <w:iCs/>
        </w:rPr>
        <w:t>Gymnorhinus cyanocephalus</w:t>
      </w:r>
      <w:r w:rsidR="00BD6793">
        <w:t>) and</w:t>
      </w:r>
      <w:r w:rsidR="0067010F">
        <w:t xml:space="preserve"> </w:t>
      </w:r>
      <w:r w:rsidR="00BD6793">
        <w:t xml:space="preserve">tree species (two-needle pinyon pine; </w:t>
      </w:r>
      <w:r w:rsidR="00BD6793">
        <w:rPr>
          <w:i/>
          <w:iCs/>
        </w:rPr>
        <w:t>Pinus edulis</w:t>
      </w:r>
      <w:r w:rsidR="00BD6793">
        <w:t xml:space="preserve">) in the </w:t>
      </w:r>
      <w:r w:rsidR="00236C22">
        <w:t xml:space="preserve">southwestern </w:t>
      </w:r>
      <w:r w:rsidR="00BD6793">
        <w:t>USA. We leveraged</w:t>
      </w:r>
      <w:r>
        <w:t xml:space="preserve"> large-scale (~800,000 observations over 55% of the pinyon jay range) and long-term </w:t>
      </w:r>
      <w:r w:rsidR="00BD6793">
        <w:t xml:space="preserve">(2010-2022) eBird </w:t>
      </w:r>
      <w:r w:rsidR="00EC52D0">
        <w:t xml:space="preserve">citizen </w:t>
      </w:r>
      <w:r w:rsidR="002C51E3">
        <w:t xml:space="preserve">science </w:t>
      </w:r>
      <w:r w:rsidR="00BD6793">
        <w:t>data on pinyon jay abundance</w:t>
      </w:r>
      <w:r w:rsidR="00923997">
        <w:t>,</w:t>
      </w:r>
      <w:r w:rsidR="002C51E3">
        <w:t xml:space="preserve"> </w:t>
      </w:r>
      <w:r w:rsidR="00BA25C1">
        <w:t xml:space="preserve">along with </w:t>
      </w:r>
      <w:r w:rsidR="008D0154">
        <w:t>s</w:t>
      </w:r>
      <w:r w:rsidR="002C51E3" w:rsidRPr="002C51E3">
        <w:t>patiotemporal</w:t>
      </w:r>
      <w:r w:rsidR="00746793" w:rsidRPr="00746793">
        <w:t xml:space="preserve"> reconstructions of </w:t>
      </w:r>
      <w:r w:rsidR="00796BA8">
        <w:t xml:space="preserve">yearly </w:t>
      </w:r>
      <w:r w:rsidR="00746793" w:rsidRPr="00746793">
        <w:t>pin</w:t>
      </w:r>
      <w:r w:rsidR="00746793">
        <w:t>yo</w:t>
      </w:r>
      <w:r w:rsidR="00746793" w:rsidRPr="00746793">
        <w:t xml:space="preserve">n seed </w:t>
      </w:r>
      <w:r w:rsidR="00746793">
        <w:t xml:space="preserve">cone </w:t>
      </w:r>
      <w:r w:rsidR="00746793" w:rsidRPr="00746793">
        <w:t>production</w:t>
      </w:r>
      <w:r w:rsidR="00923997">
        <w:t xml:space="preserve">, </w:t>
      </w:r>
      <w:r w:rsidR="00BD6793">
        <w:t xml:space="preserve">to evaluate </w:t>
      </w:r>
      <w:r>
        <w:t xml:space="preserve">the effects of seed availability across space and time on pinyon jay abundance. </w:t>
      </w:r>
      <w:r w:rsidR="00F44600">
        <w:t>We</w:t>
      </w:r>
      <w:r w:rsidR="00DD276E">
        <w:t xml:space="preserve"> explicitly</w:t>
      </w:r>
      <w:r w:rsidR="00F44600">
        <w:t xml:space="preserve"> </w:t>
      </w:r>
      <w:r w:rsidR="005125CA">
        <w:t>tested</w:t>
      </w:r>
      <w:r w:rsidR="00BD6793">
        <w:t xml:space="preserve"> </w:t>
      </w:r>
      <w:r w:rsidR="00DD276E">
        <w:t xml:space="preserve">the potential temporal legacies of cone production </w:t>
      </w:r>
      <w:r w:rsidR="008F3C99">
        <w:t xml:space="preserve">on </w:t>
      </w:r>
      <w:r w:rsidR="00DD276E">
        <w:t xml:space="preserve">pinyon jay abundance. </w:t>
      </w:r>
      <w:r w:rsidR="00BD6793">
        <w:t xml:space="preserve">Pinyon jays were most abundant </w:t>
      </w:r>
      <w:r w:rsidR="00F44600">
        <w:t xml:space="preserve">in </w:t>
      </w:r>
      <w:r w:rsidR="00BD6793">
        <w:t xml:space="preserve">the spring following </w:t>
      </w:r>
      <w:r w:rsidR="00925DBD">
        <w:t xml:space="preserve">years of </w:t>
      </w:r>
      <w:r w:rsidR="00BD6793">
        <w:t>high cone production</w:t>
      </w:r>
      <w:r w:rsidR="00055DC4">
        <w:t xml:space="preserve"> (64% relative importance)</w:t>
      </w:r>
      <w:r w:rsidR="00BD6793">
        <w:t xml:space="preserve">, likely because they nested near areas where they cached seeds. </w:t>
      </w:r>
      <w:r w:rsidR="00F44600">
        <w:t>There was also a legacy effect of high seed years</w:t>
      </w:r>
      <w:r w:rsidR="00055DC4">
        <w:t xml:space="preserve"> (</w:t>
      </w:r>
      <w:r w:rsidR="00F44600">
        <w:t xml:space="preserve">34% </w:t>
      </w:r>
      <w:r w:rsidR="00055DC4">
        <w:t xml:space="preserve">relative </w:t>
      </w:r>
      <w:r w:rsidR="008C01AB">
        <w:t>importance</w:t>
      </w:r>
      <w:r w:rsidR="008F3C99">
        <w:t xml:space="preserve">) </w:t>
      </w:r>
      <w:r w:rsidR="000062B8">
        <w:t xml:space="preserve">likely due to </w:t>
      </w:r>
      <w:r w:rsidR="00F44600">
        <w:t xml:space="preserve">delayed </w:t>
      </w:r>
      <w:r w:rsidR="000062B8">
        <w:t>population increases</w:t>
      </w:r>
      <w:r w:rsidR="00F44600">
        <w:t xml:space="preserve"> following increased resource availability</w:t>
      </w:r>
      <w:r w:rsidR="00BD6793">
        <w:t>.</w:t>
      </w:r>
      <w:r w:rsidR="00A8291E">
        <w:t xml:space="preserve"> </w:t>
      </w:r>
      <w:r w:rsidR="00BA25C1">
        <w:t xml:space="preserve">These relationships varied across the range of the species due to spatiotemporal </w:t>
      </w:r>
      <w:r w:rsidR="00923997">
        <w:t xml:space="preserve">variation in </w:t>
      </w:r>
      <w:r w:rsidR="00BA25C1">
        <w:t>habitat an</w:t>
      </w:r>
      <w:r w:rsidR="00923997">
        <w:t>d</w:t>
      </w:r>
      <w:r w:rsidR="00BA25C1">
        <w:t xml:space="preserve"> climate. </w:t>
      </w:r>
      <w:r w:rsidR="00BD6793">
        <w:t xml:space="preserve">This study provides insight into </w:t>
      </w:r>
      <w:r w:rsidR="00DB75D3">
        <w:t>a</w:t>
      </w:r>
      <w:r w:rsidR="00661C27" w:rsidRPr="00661C27">
        <w:t xml:space="preserve"> potential driver</w:t>
      </w:r>
      <w:r w:rsidR="00BD6793">
        <w:t xml:space="preserve"> of pinyon jay</w:t>
      </w:r>
      <w:r w:rsidR="00F44600">
        <w:t xml:space="preserve"> decline</w:t>
      </w:r>
      <w:r w:rsidR="00813DB2">
        <w:t xml:space="preserve"> - </w:t>
      </w:r>
      <w:r w:rsidR="00E45F5A">
        <w:t xml:space="preserve">climate-driven declines in </w:t>
      </w:r>
      <w:r w:rsidR="00F44600">
        <w:t>seed producti</w:t>
      </w:r>
      <w:r w:rsidR="00E45F5A">
        <w:t>on</w:t>
      </w:r>
      <w:r w:rsidR="003541EC">
        <w:t xml:space="preserve"> </w:t>
      </w:r>
      <w:r w:rsidR="00A31A62">
        <w:t>a</w:t>
      </w:r>
      <w:r w:rsidR="003541EC" w:rsidRPr="003541EC">
        <w:t xml:space="preserve">nd the </w:t>
      </w:r>
      <w:r w:rsidR="00FB2E09">
        <w:t>w</w:t>
      </w:r>
      <w:r w:rsidR="00FB2E09" w:rsidRPr="00FB2E09">
        <w:t>idespread mortality</w:t>
      </w:r>
      <w:r w:rsidR="00FB2E09">
        <w:t xml:space="preserve"> </w:t>
      </w:r>
      <w:r w:rsidR="003541EC" w:rsidRPr="003541EC">
        <w:t>of pin</w:t>
      </w:r>
      <w:r w:rsidR="003541EC">
        <w:t>yo</w:t>
      </w:r>
      <w:r w:rsidR="003541EC" w:rsidRPr="003541EC">
        <w:t>n pine</w:t>
      </w:r>
      <w:r w:rsidR="00BD6793">
        <w:t xml:space="preserve">. </w:t>
      </w:r>
      <w:r>
        <w:t>Importantly, we demonstrate the</w:t>
      </w:r>
      <w:r w:rsidR="008F3C99">
        <w:t xml:space="preserve"> vital</w:t>
      </w:r>
      <w:r>
        <w:t xml:space="preserve"> influence biotic interactions can have on </w:t>
      </w:r>
      <w:r w:rsidR="00923997">
        <w:t xml:space="preserve">the </w:t>
      </w:r>
      <w:r>
        <w:t>population status of declining species.</w:t>
      </w:r>
    </w:p>
    <w:p w14:paraId="182108E5" w14:textId="270AB30D" w:rsidR="00055DC4" w:rsidRDefault="00055DC4" w:rsidP="00A63129">
      <w:pPr>
        <w:pStyle w:val="Heading1"/>
      </w:pPr>
      <w:bookmarkStart w:id="6" w:name="keywords"/>
      <w:bookmarkEnd w:id="5"/>
      <w:r>
        <w:t>Significance Statement (120 words max)</w:t>
      </w:r>
    </w:p>
    <w:p w14:paraId="53847A8D" w14:textId="18453F27" w:rsidR="00553CD4" w:rsidRPr="00553CD4" w:rsidRDefault="00B36AD7" w:rsidP="00553CD4">
      <w:pPr>
        <w:pStyle w:val="BodyText"/>
      </w:pPr>
      <w:r>
        <w:t>In the current global biodiversity crisis</w:t>
      </w:r>
      <w:r w:rsidR="00553CD4">
        <w:t xml:space="preserve">, it is imperative to understand why species are declining. </w:t>
      </w:r>
      <w:r>
        <w:t>There are</w:t>
      </w:r>
      <w:r w:rsidR="00553CD4">
        <w:t xml:space="preserve"> proximate drivers like habitat and climate change</w:t>
      </w:r>
      <w:r>
        <w:t xml:space="preserve">; however, </w:t>
      </w:r>
      <w:r w:rsidR="00553CD4">
        <w:t xml:space="preserve">species declines </w:t>
      </w:r>
      <w:r>
        <w:t xml:space="preserve">are also </w:t>
      </w:r>
      <w:r>
        <w:lastRenderedPageBreak/>
        <w:t>l</w:t>
      </w:r>
      <w:r w:rsidR="00553CD4">
        <w:t xml:space="preserve">inked to </w:t>
      </w:r>
      <w:r>
        <w:t xml:space="preserve">shifts </w:t>
      </w:r>
      <w:r w:rsidR="00553CD4">
        <w:t xml:space="preserve">in interaction partners. We examine the effects of the seed dispersal mutualism between a declining avian seed disperser (pinyon jay - </w:t>
      </w:r>
      <w:r w:rsidR="00553CD4" w:rsidRPr="00AC0442">
        <w:rPr>
          <w:i/>
          <w:iCs/>
        </w:rPr>
        <w:t>Gymnorhinus cyanocephalus</w:t>
      </w:r>
      <w:r w:rsidR="00553CD4">
        <w:t xml:space="preserve">) and its primary seed tree (pinyon pine - </w:t>
      </w:r>
      <w:r w:rsidR="00553CD4" w:rsidRPr="5A83A434">
        <w:rPr>
          <w:i/>
          <w:iCs/>
        </w:rPr>
        <w:t>Pinus edulis</w:t>
      </w:r>
      <w:r w:rsidR="00553CD4">
        <w:t>) using broad-scale, long-term data to explore the temporal legacies of seed availability on seed disperser abundance</w:t>
      </w:r>
      <w:r>
        <w:t xml:space="preserve">. </w:t>
      </w:r>
      <w:r w:rsidR="00923997">
        <w:t>Our study demonstrates that b</w:t>
      </w:r>
      <w:r>
        <w:t xml:space="preserve">iotic interactions are, themselves, a regulating force </w:t>
      </w:r>
      <w:r w:rsidR="00923997">
        <w:t>in this system. For populations</w:t>
      </w:r>
      <w:r>
        <w:t xml:space="preserve"> across the world</w:t>
      </w:r>
      <w:r w:rsidR="00923997">
        <w:t>,</w:t>
      </w:r>
      <w:r>
        <w:t xml:space="preserve"> the reshuffling of interaction networks is likely an important driver of population declines.   </w:t>
      </w:r>
    </w:p>
    <w:p w14:paraId="75DA91EB" w14:textId="2442220D" w:rsidR="00A63129" w:rsidRDefault="00A63129" w:rsidP="00A63129">
      <w:pPr>
        <w:pStyle w:val="Heading1"/>
      </w:pPr>
      <w:r>
        <w:t>Keywords</w:t>
      </w:r>
    </w:p>
    <w:p w14:paraId="2F8FCE68" w14:textId="2C029430" w:rsidR="00E83628" w:rsidRDefault="00562D45" w:rsidP="002B4F02">
      <w:pPr>
        <w:pStyle w:val="FirstParagraph"/>
        <w:spacing w:before="0"/>
        <w:sectPr w:rsidR="00E83628" w:rsidSect="00167C71">
          <w:footerReference w:type="even" r:id="rId12"/>
          <w:footerReference w:type="default" r:id="rId13"/>
          <w:pgSz w:w="12240" w:h="15840"/>
          <w:pgMar w:top="1440" w:right="1440" w:bottom="1440" w:left="1440" w:header="720" w:footer="720" w:gutter="0"/>
          <w:lnNumType w:countBy="1" w:restart="continuous"/>
          <w:cols w:space="720"/>
          <w:titlePg/>
          <w:docGrid w:linePitch="326"/>
        </w:sectPr>
      </w:pPr>
      <w:r w:rsidRPr="00AC0442">
        <w:rPr>
          <w:i/>
          <w:iCs/>
        </w:rPr>
        <w:t>Gymnorhinus cyanocephalus</w:t>
      </w:r>
      <w:r w:rsidR="2E9D8CDE">
        <w:t xml:space="preserve">, </w:t>
      </w:r>
      <w:r w:rsidR="05058B66" w:rsidRPr="5A83A434">
        <w:rPr>
          <w:i/>
          <w:iCs/>
        </w:rPr>
        <w:t>Pinus edulis</w:t>
      </w:r>
      <w:r w:rsidR="2E9D8CDE">
        <w:t xml:space="preserve">, </w:t>
      </w:r>
      <w:r w:rsidR="1B2E6539">
        <w:t xml:space="preserve">resource availability, </w:t>
      </w:r>
      <w:r>
        <w:t xml:space="preserve">seed production, </w:t>
      </w:r>
      <w:r w:rsidR="2E9D8CDE">
        <w:t xml:space="preserve">species </w:t>
      </w:r>
      <w:r w:rsidR="00E635D0">
        <w:t>interactio</w:t>
      </w:r>
      <w:r w:rsidR="2E9D8CDE">
        <w:t>n</w:t>
      </w:r>
      <w:bookmarkStart w:id="7" w:name="introduction"/>
      <w:bookmarkEnd w:id="6"/>
      <w:r w:rsidR="00E635D0">
        <w:t>s, temporal legacies</w:t>
      </w:r>
      <w:r w:rsidR="00282005">
        <w:t>, time lags</w:t>
      </w:r>
    </w:p>
    <w:p w14:paraId="1456D4F7" w14:textId="77777777" w:rsidR="006C55E4" w:rsidRDefault="006C55E4" w:rsidP="002B4F02">
      <w:pPr>
        <w:pStyle w:val="paragraph"/>
        <w:spacing w:before="0" w:beforeAutospacing="0" w:after="0" w:afterAutospacing="0" w:line="480" w:lineRule="auto"/>
        <w:textAlignment w:val="baseline"/>
        <w:rPr>
          <w:rFonts w:ascii="Segoe UI" w:hAnsi="Segoe UI" w:cs="Segoe UI"/>
          <w:sz w:val="18"/>
          <w:szCs w:val="18"/>
        </w:rPr>
      </w:pPr>
      <w:r>
        <w:rPr>
          <w:rStyle w:val="normaltextrun"/>
          <w:b/>
          <w:bCs/>
        </w:rPr>
        <w:lastRenderedPageBreak/>
        <w:t>1 Introduction</w:t>
      </w:r>
      <w:r>
        <w:rPr>
          <w:rStyle w:val="eop"/>
        </w:rPr>
        <w:t> </w:t>
      </w:r>
    </w:p>
    <w:p w14:paraId="52704786" w14:textId="66DB5497" w:rsidR="009C1715" w:rsidRDefault="00476451" w:rsidP="002B4F02">
      <w:pPr>
        <w:pStyle w:val="paragraph"/>
        <w:spacing w:before="0" w:beforeAutospacing="0" w:after="0" w:afterAutospacing="0" w:line="480" w:lineRule="auto"/>
        <w:textAlignment w:val="baseline"/>
        <w:rPr>
          <w:rStyle w:val="normaltextrun"/>
        </w:rPr>
      </w:pPr>
      <w:r>
        <w:rPr>
          <w:rStyle w:val="normaltextrun"/>
        </w:rPr>
        <w:t>Populations of countless species are declining across the globe due to anthropogenic</w:t>
      </w:r>
      <w:r w:rsidR="00611FF5">
        <w:rPr>
          <w:rStyle w:val="normaltextrun"/>
        </w:rPr>
        <w:t xml:space="preserve"> forces </w:t>
      </w:r>
      <w:r w:rsidR="008504FC">
        <w:rPr>
          <w:rStyle w:val="normaltextrun"/>
        </w:rPr>
        <w:fldChar w:fldCharType="begin"/>
      </w:r>
      <w:r w:rsidR="00611FF5">
        <w:rPr>
          <w:rStyle w:val="normaltextrun"/>
        </w:rPr>
        <w:instrText xml:space="preserve"> ADDIN ZOTERO_ITEM CSL_CITATION {"citationID":"8D7GAR4u","properties":{"formattedCitation":"(Finn et al., 2023; Hogue &amp; Breon, 2022)","plainCitation":"(Finn et al., 2023; Hogue &amp; Breon, 2022)","noteIndex":0},"citationItems":[{"id":3122,"uris":["http://zotero.org/groups/5634119/items/PK2349JU"],"itemData":{"id":3122,"type":"article-journal","abstract":"ABSTRACT\n            \n              The global‐scale decline of animal biodiversity (‘defaunation’) represents one of the most alarming consequences of human impacts on the planet. The quantification of this extinction crisis has traditionally relied on the use of IUCN\n              Red List\n              conservation categories assigned to each assessed species. This approach reveals that a quarter of the world's animal species are currently threatened with extinction, and ~1% have been declared extinct. However, extinctions are preceded by progressive population declines through time that leave demographic ‘footprints’ that can alert us about the trajectories of species towards extinction. Therefore, an exclusive focus on IUCN conservation categories, without consideration of dynamic population trends, may underestimate the true extent of the processes of ongoing extinctions across nature. In fact, emerging evidence (e.g. the\n              Living Planet Report\n              ), reveals a widespread tendency for sustained demographic declines (an average 69% decline in population abundances) of species globally. Yet, animal species are not only declining. Many species worldwide exhibit stable populations, while others are even thriving. Here, using population trend data for &gt;71,000 animal species spanning all five groups of vertebrates (mammals, birds, reptiles, amphibians and fishes) and insects, we provide a comprehensive global‐scale assessment of the diversity of population trends across species undergoing not only declines, but also population stability and increases. We show a widespread global erosion of species, with 48% undergoing declines, while 49% and 3% of species currently remain stable or are increasing, respectively. Geographically, we reveal an intriguing pattern similar to that of threatened species, whereby declines tend to concentrate around tropical regions, whereas stability and increases show a tendency to expand towards temperate climates. Importantly, we find that for species currently classed by the IUCN\n              Red List\n              as ‘non‐threatened’, 33% are declining. Critically, in contrast with previous mass extinction events, our assessment shows that the Anthropocene extinction crisis is undergoing a rapid biodiversity imbalance, with levels of declines (a symptom of extinction) greatly exceeding levels of increases (a symptom of ecological expansion and potentially of evolution) for all groups. Our study contributes a further signal indicating that global biodiversity is entering a mass extinction, with ecosystem heterogeneity and functioning, biodiversity persistence, and human well‐being under increasing threat.","container-title":"Biological Reviews","DOI":"10.1111/brv.12974","ISSN":"1464-7931, 1469-185X","issue":"5","journalAbbreviation":"Biological Reviews","language":"en","page":"1732-1748","source":"DOI.org (Crossref)","title":"More losers than winners: investigating Anthropocene defaunation through the diversity of population trends","title-short":"More losers than winners","volume":"98","author":[{"family":"Finn","given":"Catherine"},{"family":"Grattarola","given":"Florencia"},{"family":"Pincheira‐Donoso","given":"Daniel"}],"issued":{"date-parts":[["2023",10]]}}},{"id":3120,"uris":["http://zotero.org/groups/5634119/items/MHQNTYB4"],"itemData":{"id":3120,"type":"article-journal","abstract":"Abstract\n            The growing human population is responsible for a massive decline in species, biodiversity, and ecosystems across the globe. If we are to significantly slow these losses, the attention and resources devoted to individual causes should be commensurate with the magnitude of their contribution to the problem. The purpose of this study was to determine the relative magnitude of five major threats to species identified by the International Union for Conservation of Nature (IUCN) as threatened with extinction. Specifically, we analyzed the entire IUCN Red List database to determine the percentage of threatened species affected by overexploitation, climate change, pollution, habitat destruction, and invasive species, diseases, and genes. We also randomly sampled a portion of the database to estimate the percentage of species for which each threat was the dominant threat placing them at risk of extinction. Of the 20,784 species for which data were available, 88.3% were impacted by habitat destruction, 26.6% by overexploitation, 25% by invasives, 18.2% by pollution, and 16.8% by climate change and weather. Focusing on dominant threats, the percentage of species for which a given threat was the main factor pushing them toward extinction was as follows: habitat destruction 71.3%, overexploitation 7.4%, invasives 6.8%, pollution 4.7%, climate change, and weather 1.8%. Regardless of how percentages are calculated, habitat destruction threatens more species than all other categories combined, climate change the fewest. From the perspective of species and biodiversity conservation, these data suggest that a significant change in global environmental priorities is needed. Habitat destruction should become a greater focus of global environmental efforts and receive the attention and resources appropriate to the extraordinary magnitude of its impact. Moreover, while it is important to address all environmental problems, given the disproportionate impact habitat destruction has on species, care should be taken to avoid solutions to other problems that exacerbate this destruction.","container-title":"Conservation Science and Practice","DOI":"10.1111/csp2.12670","ISSN":"2578-4854, 2578-4854","issue":"5","journalAbbreviation":"Conservat Sci and Prac","language":"en","page":"e12670","source":"DOI.org (Crossref)","title":"The greatest threats to species","volume":"4","author":[{"family":"Hogue","given":"Aaron S."},{"family":"Breon","given":"Kathryn"}],"issued":{"date-parts":[["2022",5]]}}}],"schema":"https://github.com/citation-style-language/schema/raw/master/csl-citation.json"} </w:instrText>
      </w:r>
      <w:r w:rsidR="008504FC">
        <w:rPr>
          <w:rStyle w:val="normaltextrun"/>
        </w:rPr>
        <w:fldChar w:fldCharType="separate"/>
      </w:r>
      <w:r w:rsidR="00611FF5">
        <w:rPr>
          <w:rStyle w:val="normaltextrun"/>
          <w:noProof/>
        </w:rPr>
        <w:t>(Finn et al., 2023; Hogue &amp; Breon, 2022)</w:t>
      </w:r>
      <w:r w:rsidR="008504FC">
        <w:rPr>
          <w:rStyle w:val="normaltextrun"/>
        </w:rPr>
        <w:fldChar w:fldCharType="end"/>
      </w:r>
      <w:r>
        <w:rPr>
          <w:rStyle w:val="normaltextrun"/>
        </w:rPr>
        <w:t>. While habitat conversion is the most influential proxima</w:t>
      </w:r>
      <w:r w:rsidR="00F97BBF">
        <w:rPr>
          <w:rStyle w:val="normaltextrun"/>
        </w:rPr>
        <w:t xml:space="preserve">te </w:t>
      </w:r>
      <w:r>
        <w:rPr>
          <w:rStyle w:val="normaltextrun"/>
        </w:rPr>
        <w:t>driver of global species decline</w:t>
      </w:r>
      <w:r w:rsidR="008504FC">
        <w:rPr>
          <w:rStyle w:val="normaltextrun"/>
        </w:rPr>
        <w:t xml:space="preserve"> </w:t>
      </w:r>
      <w:r w:rsidR="008504FC">
        <w:rPr>
          <w:rStyle w:val="normaltextrun"/>
        </w:rPr>
        <w:fldChar w:fldCharType="begin"/>
      </w:r>
      <w:r w:rsidR="008504FC">
        <w:rPr>
          <w:rStyle w:val="normaltextrun"/>
        </w:rPr>
        <w:instrText xml:space="preserve"> ADDIN ZOTERO_ITEM CSL_CITATION {"citationID":"y84JhkxL","properties":{"formattedCitation":"(Jaureguiberry et al., 2022)","plainCitation":"(Jaureguiberry et al., 2022)","noteIndex":0},"citationItems":[{"id":3118,"uris":["http://zotero.org/groups/5634119/items/C9TX6L7S"],"itemData":{"id":3118,"type":"article-journal","abstract":"Effective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isolation.\n          , \n            Land-use change and direct exploitation are the dominant drivers of recent global biodiversity loss.","container-title":"Science Advances","DOI":"10.1126/sciadv.abm9982","ISSN":"2375-2548","issue":"45","journalAbbreviation":"Sci. Adv.","language":"en","page":"eabm9982","source":"DOI.org (Crossref)","title":"The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11,11]]}}}],"schema":"https://github.com/citation-style-language/schema/raw/master/csl-citation.json"} </w:instrText>
      </w:r>
      <w:r w:rsidR="008504FC">
        <w:rPr>
          <w:rStyle w:val="normaltextrun"/>
        </w:rPr>
        <w:fldChar w:fldCharType="separate"/>
      </w:r>
      <w:r w:rsidR="008504FC">
        <w:rPr>
          <w:rStyle w:val="normaltextrun"/>
          <w:noProof/>
        </w:rPr>
        <w:t>(Jaureguiberry et al., 2022)</w:t>
      </w:r>
      <w:r w:rsidR="008504FC">
        <w:rPr>
          <w:rStyle w:val="normaltextrun"/>
        </w:rPr>
        <w:fldChar w:fldCharType="end"/>
      </w:r>
      <w:r w:rsidR="00A2318C">
        <w:rPr>
          <w:rStyle w:val="normaltextrun"/>
        </w:rPr>
        <w:t>, a</w:t>
      </w:r>
      <w:r w:rsidR="00424DD0">
        <w:rPr>
          <w:rStyle w:val="normaltextrun"/>
        </w:rPr>
        <w:t xml:space="preserve">n indirect </w:t>
      </w:r>
      <w:r w:rsidR="00A2318C">
        <w:rPr>
          <w:rStyle w:val="normaltextrun"/>
        </w:rPr>
        <w:t>cause of loss comes from the consequences of reshuffling</w:t>
      </w:r>
      <w:r w:rsidR="004A572E">
        <w:rPr>
          <w:rStyle w:val="normaltextrun"/>
        </w:rPr>
        <w:t xml:space="preserve"> (‘rewiring’)</w:t>
      </w:r>
      <w:r w:rsidR="00A2318C">
        <w:rPr>
          <w:rStyle w:val="normaltextrun"/>
        </w:rPr>
        <w:t xml:space="preserve"> species interaction networks</w:t>
      </w:r>
      <w:r w:rsidR="008504FC">
        <w:rPr>
          <w:rStyle w:val="normaltextrun"/>
        </w:rPr>
        <w:t xml:space="preserve"> </w:t>
      </w:r>
      <w:r w:rsidR="008504FC">
        <w:rPr>
          <w:rStyle w:val="normaltextrun"/>
        </w:rPr>
        <w:fldChar w:fldCharType="begin"/>
      </w:r>
      <w:r w:rsidR="00CA63FB">
        <w:rPr>
          <w:rStyle w:val="normaltextrun"/>
        </w:rPr>
        <w:instrText xml:space="preserve"> ADDIN ZOTERO_ITEM CSL_CITATION {"citationID":"fwlY90Vn","properties":{"formattedCitation":"(D\\uc0\\u8217{}Alelio et al., 2019; Srinivasan et al., 2007)","plainCitation":"(D’Alelio et al., 2019; Srinivasan et al., 2007)","noteIndex":0},"citationItems":[{"id":3129,"uris":["http://zotero.org/groups/5634119/items/PLWVNED8"],"itemData":{"id":3129,"type":"article-journal","abstract":"Abstract\n            Species are characterized by physiological and behavioral plasticity, which is part of their response to environmental shifts. Nonetheless, the collective response of ecological communities to environmental shifts cannot be predicted from the simple sum of individual species responses, since co‐existing species are deeply entangled in interaction networks, such as food webs. For these reasons, the relation between environmental forcing and the structure of food webs is an open problem in ecology. To this respect, one of the main problems in community ecology is defining the role each species plays in shaping community structure, such as by promoting the subdivision of food webs in modules—that is, aggregates composed of species that more frequently interact—which are reported as community stabilizers.\n            In this study, we investigated the relationship between species roles and network modularity under environmental shifts in a highly resolved food web, that is, a “weighted” ecological network reproducing carbon flows among marine planktonic species. Measuring network properties and estimating weighted modularity, we show that species have distinct roles, which differentially affect modularity and mediate structural modifications, such as modules reconfiguration, induced by environmental shifts.\n            Specifically, short‐term environmental changes impact the abundance of planktonic primary producers; this affects their consumers’ behavior and cascades into the overall rearrangement of trophic links. Food web re‐adjustments are both direct, through the rewiring of trophic‐interaction networks, and indirect, with the reconfiguration of trophic cascades. Through such “systemic behavior,” that is, the way the food web acts as a whole, defined by the interactions among its parts, the planktonic food web undergoes a substantial rewiring while keeping almost the same global flow to upper trophic levels, and energetic hierarchy is maintained despite environmental shifts. This behavior suggests the potentially high resilience of plankton networks, such as food webs, to dramatic environmental changes, such as those provoked by global change.","container-title":"Ecology and Evolution","DOI":"10.1002/ece3.5641","ISSN":"2045-7758, 2045-7758","issue":"20","journalAbbreviation":"Ecology and Evolution","language":"en","page":"11631-11646","source":"DOI.org (Crossref)","title":"Rewiring and indirect effects underpin modularity reshuffling in a marine food web under environmental shifts","volume":"9","author":[{"family":"D'Alelio","given":"Domenico"},{"family":"Hay Mele","given":"Bruno"},{"family":"Libralato","given":"Simone"},{"family":"Ribera d'Alcalà","given":"Maurizio"},{"family":"Jordán","given":"Ferenc"}],"issued":{"date-parts":[["2019",10]]}}},{"id":3127,"uris":["http://zotero.org/groups/5634119/items/JSIYSWAR"],"itemData":{"id":3127,"type":"article-journal","container-title":"Ecology","DOI":"10.1890/06-0971","ISSN":"0012-9658","issue":"3","journalAbbreviation":"Ecology","language":"en","license":"http://doi.wiley.com/10.1002/tdm_license_1.1","page":"671-682","source":"DOI.org (Crossref)","title":"RESPONSE OF COMPLEX FOOD WEBS TO REALISTIC EXTINCTION SEQUENCES","volume":"88","author":[{"family":"Srinivasan","given":"U. Thara"},{"family":"Dunne","given":"Jennifer A."},{"family":"Harte","given":"John"},{"family":"Martinez","given":"Neo D."}],"issued":{"date-parts":[["2007",3]]}}}],"schema":"https://github.com/citation-style-language/schema/raw/master/csl-citation.json"} </w:instrText>
      </w:r>
      <w:r w:rsidR="008504FC">
        <w:rPr>
          <w:rStyle w:val="normaltextrun"/>
        </w:rPr>
        <w:fldChar w:fldCharType="separate"/>
      </w:r>
      <w:r w:rsidR="00CA63FB" w:rsidRPr="00CA63FB">
        <w:t>(D’Alelio et al., 2019; Srinivasan et al., 2007)</w:t>
      </w:r>
      <w:r w:rsidR="008504FC">
        <w:rPr>
          <w:rStyle w:val="normaltextrun"/>
        </w:rPr>
        <w:fldChar w:fldCharType="end"/>
      </w:r>
      <w:r w:rsidR="00A2318C">
        <w:rPr>
          <w:rStyle w:val="normaltextrun"/>
        </w:rPr>
        <w:t xml:space="preserve">. </w:t>
      </w:r>
      <w:r w:rsidR="008504FC">
        <w:rPr>
          <w:rStyle w:val="normaltextrun"/>
        </w:rPr>
        <w:t>Losses</w:t>
      </w:r>
      <w:r w:rsidR="00A2318C">
        <w:rPr>
          <w:rStyle w:val="normaltextrun"/>
        </w:rPr>
        <w:t xml:space="preserve"> and declines of species in interaction networks can lead to co-extinctions</w:t>
      </w:r>
      <w:r w:rsidR="008504FC">
        <w:rPr>
          <w:rStyle w:val="normaltextrun"/>
        </w:rPr>
        <w:t xml:space="preserve"> </w:t>
      </w:r>
      <w:r w:rsidR="008504FC">
        <w:rPr>
          <w:rStyle w:val="normaltextrun"/>
        </w:rPr>
        <w:fldChar w:fldCharType="begin"/>
      </w:r>
      <w:r w:rsidR="008504FC">
        <w:rPr>
          <w:rStyle w:val="normaltextrun"/>
        </w:rPr>
        <w:instrText xml:space="preserve"> ADDIN ZOTERO_ITEM CSL_CITATION {"citationID":"A0FBCdw3","properties":{"formattedCitation":"(Roopnarine, 2006)","plainCitation":"(Roopnarine, 2006)","noteIndex":0},"citationItems":[{"id":3128,"uris":["http://zotero.org/groups/5634119/items/MXYFBHGM"],"itemData":{"id":3128,"type":"article-journal","container-title":"Paleobiology","DOI":"10.1666/05008.1","ISSN":"0094-8373, 1938-5331","issue":"1","journalAbbreviation":"Paleobiology","language":"en","page":"1-19","source":"DOI.org (Crossref)","title":"Extinction cascades and catastrophe in ancient food webs","volume":"32","author":[{"family":"Roopnarine","given":"Peter D."}],"issued":{"date-parts":[["2006",1]]}}}],"schema":"https://github.com/citation-style-language/schema/raw/master/csl-citation.json"} </w:instrText>
      </w:r>
      <w:r w:rsidR="008504FC">
        <w:rPr>
          <w:rStyle w:val="normaltextrun"/>
        </w:rPr>
        <w:fldChar w:fldCharType="separate"/>
      </w:r>
      <w:r w:rsidR="008504FC">
        <w:rPr>
          <w:rStyle w:val="normaltextrun"/>
          <w:noProof/>
        </w:rPr>
        <w:t>(Roopnarine, 2006)</w:t>
      </w:r>
      <w:r w:rsidR="008504FC">
        <w:rPr>
          <w:rStyle w:val="normaltextrun"/>
        </w:rPr>
        <w:fldChar w:fldCharType="end"/>
      </w:r>
      <w:r w:rsidR="008504FC">
        <w:rPr>
          <w:rStyle w:val="normaltextrun"/>
        </w:rPr>
        <w:t xml:space="preserve">, </w:t>
      </w:r>
      <w:r w:rsidR="00A2318C">
        <w:rPr>
          <w:rStyle w:val="normaltextrun"/>
        </w:rPr>
        <w:t>extinction cascades</w:t>
      </w:r>
      <w:r w:rsidR="008504FC">
        <w:rPr>
          <w:rStyle w:val="normaltextrun"/>
        </w:rPr>
        <w:t xml:space="preserve"> </w:t>
      </w:r>
      <w:r w:rsidR="008504FC">
        <w:rPr>
          <w:rStyle w:val="normaltextrun"/>
        </w:rPr>
        <w:fldChar w:fldCharType="begin"/>
      </w:r>
      <w:r w:rsidR="00CA63FB">
        <w:rPr>
          <w:rStyle w:val="normaltextrun"/>
        </w:rPr>
        <w:instrText xml:space="preserve"> ADDIN ZOTERO_ITEM CSL_CITATION {"citationID":"6Q6Q0Ok1","properties":{"formattedCitation":"(Kehoe et al., 2021)","plainCitation":"(Kehoe et al., 2021)","noteIndex":0},"citationItems":[{"id":3124,"uris":["http://zotero.org/groups/5634119/items/GZAN58IC"],"itemData":{"id":3124,"type":"article-journal","abstract":"1. The decline in insect abundance and diversity observed in many ecosystems is of major concern because of the long‐term consequences for ecosystem function and stability.\n            2. Species in ecological communities are connected through interactions forming complex networks. Therefore, initial extinctions can cause further species losses through co‐extinctions and extinction cascades, where single extinctions can lead to waves of secondary extinctions. Such knock‐on effects can multiply the initial impact of disturbances, thereby largely adding to the erosion of biodiversity. However, our knowledge of their importance for the current insect decline is hampered because secondary extinctions are challenging to both detect and predict.\n            3. In this review, we bring together theory and knowledge about secondary extinctions in the light of the main drivers of insect decline. We evaluate potential and evidence for cascading extinction for the different drivers and identify major pathways. By providing selected examples we discuss how habitat loss, pollution, species invasions, climate change and overexploitation can cause cascading extinctions. We argue that habitat loss and pollution in particular have the largest potential for such extinctions by changing community structure, the physical environment, and community robustness.\n            4. Overall, cascading extinction are part of an ecosystems' response to anthropogenic drivers but are so far not explicitly measured in their contribution when evaluating biodiversity loss. This knowledge is necessary to predict biodiversity loss and find strategies to buffer against the devastating long‐term impact of habitat loss, pollution, species invasions, and climate change.","container-title":"Ecological Entomology","DOI":"10.1111/een.12985","ISSN":"0307-6946, 1365-2311","issue":"4","journalAbbreviation":"Ecological Entomology","language":"en","page":"743-756","source":"DOI.org (Crossref)","title":"Cascading extinctions as a hidden driver of insect decline","volume":"46","author":[{"family":"Kehoe","given":"Rachel"},{"family":"Frago","given":"Enric"},{"family":"Sanders","given":"Dirk"}],"issued":{"date-parts":[["2021",8]]}}}],"schema":"https://github.com/citation-style-language/schema/raw/master/csl-citation.json"} </w:instrText>
      </w:r>
      <w:r w:rsidR="008504FC">
        <w:rPr>
          <w:rStyle w:val="normaltextrun"/>
        </w:rPr>
        <w:fldChar w:fldCharType="separate"/>
      </w:r>
      <w:r w:rsidR="00CA63FB">
        <w:rPr>
          <w:rStyle w:val="normaltextrun"/>
          <w:noProof/>
        </w:rPr>
        <w:t>(Kehoe et al., 2021)</w:t>
      </w:r>
      <w:r w:rsidR="008504FC">
        <w:rPr>
          <w:rStyle w:val="normaltextrun"/>
        </w:rPr>
        <w:fldChar w:fldCharType="end"/>
      </w:r>
      <w:r w:rsidR="00A2318C">
        <w:rPr>
          <w:rStyle w:val="normaltextrun"/>
        </w:rPr>
        <w:t>, and the loss of important ecosystem functions performed by those species and interactions (e.g., pollination;</w:t>
      </w:r>
      <w:r w:rsidR="00B20446">
        <w:rPr>
          <w:rStyle w:val="normaltextrun"/>
        </w:rPr>
        <w:t xml:space="preserve"> </w:t>
      </w:r>
      <w:r w:rsidR="00B20446">
        <w:rPr>
          <w:rStyle w:val="normaltextrun"/>
        </w:rPr>
        <w:fldChar w:fldCharType="begin"/>
      </w:r>
      <w:r w:rsidR="00B332AB">
        <w:rPr>
          <w:rStyle w:val="normaltextrun"/>
        </w:rPr>
        <w:instrText xml:space="preserve"> ADDIN ZOTERO_ITEM CSL_CITATION {"citationID":"q4Gjm5qD","properties":{"formattedCitation":"(Valiente\\uc0\\u8208{}Banuet et al., 2015)","plainCitation":"(Valiente‐Banuet et al., 2015)","dontUpdate":true,"noteIndex":0},"citationItems":[{"id":134,"uris":["http://zotero.org/users/6391447/items/VWMS2D8E"],"itemData":{"id":134,"type":"article-journal","container-title":"Functional Ecology","DOI":"10.1111/1365-2435.12356","ISSN":"0269-8463, 1365-2435","issue":"3","journalAbbreviation":"Funct Ecol","language":"en","page":"299-307","source":"DOI.org (Crossref)","title":"Beyond species loss: the extinction of ecological interactions in a changing world","title-short":"Beyond species loss","volume":"29","author":[{"family":"Valiente‐Banuet","given":"Alfonso"},{"family":"Aizen","given":"Marcelo A."},{"family":"Alcántara","given":"Julio M."},{"family":"Arroyo","given":"Juan"},{"family":"Cocucci","given":"Andrea"},{"family":"Galetti","given":"Mauro"},{"family":"García","given":"María B."},{"family":"García","given":"Daniel"},{"family":"Gómez","given":"José M."},{"family":"Jordano","given":"Pedro"},{"family":"Medel","given":"Rodrigo"},{"family":"Navarro","given":"Luis"},{"family":"Obeso","given":"José R."},{"family":"Oviedo","given":"Ramona"},{"family":"Ramírez","given":"Nelson"},{"family":"Rey","given":"Pedro J."},{"family":"Traveset","given":"Anna"},{"family":"Verdú","given":"Miguel"},{"family":"Zamora","given":"Regino"}],"editor":[{"family":"Johnson","given":"Marc"}],"issued":{"date-parts":[["2015",3]]}}}],"schema":"https://github.com/citation-style-language/schema/raw/master/csl-citation.json"} </w:instrText>
      </w:r>
      <w:r w:rsidR="00B20446">
        <w:rPr>
          <w:rStyle w:val="normaltextrun"/>
        </w:rPr>
        <w:fldChar w:fldCharType="separate"/>
      </w:r>
      <w:r w:rsidR="00B3041B" w:rsidRPr="00B3041B">
        <w:t>Valiente‐Banuet et al., 2015)</w:t>
      </w:r>
      <w:r w:rsidR="00B20446">
        <w:rPr>
          <w:rStyle w:val="normaltextrun"/>
        </w:rPr>
        <w:fldChar w:fldCharType="end"/>
      </w:r>
      <w:r w:rsidR="00A2318C">
        <w:rPr>
          <w:rStyle w:val="normaltextrun"/>
        </w:rPr>
        <w:t xml:space="preserve">. </w:t>
      </w:r>
      <w:r w:rsidR="003E060B">
        <w:rPr>
          <w:rStyle w:val="normaltextrun"/>
        </w:rPr>
        <w:t xml:space="preserve">Thus, </w:t>
      </w:r>
      <w:r w:rsidR="009C1715">
        <w:rPr>
          <w:rStyle w:val="normaltextrun"/>
        </w:rPr>
        <w:t>explicitly measuring the impacts of species interactions on population trends will be crucial for predicting future biodiversity patterns</w:t>
      </w:r>
      <w:r w:rsidR="00B20446">
        <w:rPr>
          <w:rStyle w:val="normaltextrun"/>
        </w:rPr>
        <w:t xml:space="preserve"> </w:t>
      </w:r>
      <w:r w:rsidR="00B20446">
        <w:rPr>
          <w:rStyle w:val="normaltextrun"/>
        </w:rPr>
        <w:fldChar w:fldCharType="begin"/>
      </w:r>
      <w:r w:rsidR="00B20446">
        <w:rPr>
          <w:rStyle w:val="normaltextrun"/>
        </w:rPr>
        <w:instrText xml:space="preserve"> ADDIN ZOTERO_ITEM CSL_CITATION {"citationID":"XlBrJ6WK","properties":{"formattedCitation":"(Ockendon et al., 2014)","plainCitation":"(Ockendon et al., 2014)","noteIndex":0},"citationItems":[{"id":3133,"uris":["http://zotero.org/groups/5634119/items/CLHR7P24"],"itemData":{"id":3133,"type":"article-journal","abstract":"Abstract\n            Shifts in species' distribution and abundance in response to climate change have been well documented, but the underpinning processes are still poorly understood. We present the results of a systematic literature review and meta‐analysis investigating the frequency and importance of different mechanisms by which climate has impacted natural populations. Most studies were from temperate latitudes of North America and Europe; almost half investigated bird populations. We found significantly greater support for indirect, biotic mechanisms than direct, abiotic mechanisms as mediators of the impact of climate on populations. In addition, biotic effects tended to have greater support than abiotic factors in studies of species from higher trophic levels. For primary consumers, the impact of climate was equally mediated by biotic and abiotic mechanisms, whereas for higher level consumers the mechanisms were most frequently biotic, such as predation or food availability. Biotic mechanisms were more frequently supported in studies that reported a directional trend in climate than in studies with no such climatic change, although sample sizes for this comparison were small. We call for more mechanistic studies of climate change impacts on populations, particularly in tropical systems.","container-title":"Global Change Biology","DOI":"10.1111/gcb.12559","ISSN":"1354-1013, 1365-2486","issue":"7","journalAbbreviation":"Global Change Biology","language":"en","license":"http://onlinelibrary.wiley.com/termsAndConditions#vor","page":"2221-2229","source":"DOI.org (Crossref)","title":"Mechanisms underpinning climatic impacts on natural populations: altered species interactions are more important than direct effects","title-short":"Mechanisms underpinning climatic impacts on natural populations","volume":"20","author":[{"family":"Ockendon","given":"Nancy"},{"family":"Baker","given":"David J."},{"family":"Carr","given":"Jamie A."},{"family":"White","given":"Elizabeth C."},{"family":"Almond","given":"Rosamunde E. A."},{"family":"Amano","given":"Tatsuya"},{"family":"Bertram","given":"Esther"},{"family":"Bradbury","given":"Richard B."},{"family":"Bradley","given":"Cassie"},{"family":"Butchart","given":"Stuart H. M."},{"family":"Doswald","given":"Nathalie"},{"family":"Foden","given":"Wendy"},{"family":"Gill","given":"David J. C."},{"family":"Green","given":"Rhys E."},{"family":"Sutherland","given":"William J."},{"family":"Tanner","given":"Edmund V. J."},{"family":"Pearce‐Higgins","given":"James W."}],"issued":{"date-parts":[["2014",7]]}}}],"schema":"https://github.com/citation-style-language/schema/raw/master/csl-citation.json"} </w:instrText>
      </w:r>
      <w:r w:rsidR="00B20446">
        <w:rPr>
          <w:rStyle w:val="normaltextrun"/>
        </w:rPr>
        <w:fldChar w:fldCharType="separate"/>
      </w:r>
      <w:r w:rsidR="00B20446">
        <w:rPr>
          <w:rStyle w:val="normaltextrun"/>
          <w:noProof/>
        </w:rPr>
        <w:t>(Ockendon et al., 2014)</w:t>
      </w:r>
      <w:r w:rsidR="00B20446">
        <w:rPr>
          <w:rStyle w:val="normaltextrun"/>
        </w:rPr>
        <w:fldChar w:fldCharType="end"/>
      </w:r>
      <w:r w:rsidR="009C1715">
        <w:rPr>
          <w:rStyle w:val="normaltextrun"/>
        </w:rPr>
        <w:t xml:space="preserve">. </w:t>
      </w:r>
    </w:p>
    <w:p w14:paraId="617814A2" w14:textId="4CFEDC70" w:rsidR="002B4F02" w:rsidRDefault="00611FF5" w:rsidP="002B4F02">
      <w:pPr>
        <w:pStyle w:val="paragraph"/>
        <w:spacing w:before="0" w:beforeAutospacing="0" w:after="0" w:afterAutospacing="0" w:line="480" w:lineRule="auto"/>
        <w:ind w:firstLine="720"/>
        <w:textAlignment w:val="baseline"/>
      </w:pPr>
      <w:r>
        <w:t xml:space="preserve">Including biotic interactions between species </w:t>
      </w:r>
      <w:r w:rsidR="00041FCB">
        <w:t xml:space="preserve">in population assessments </w:t>
      </w:r>
      <w:r>
        <w:t xml:space="preserve">may give many common approaches more predictive power </w:t>
      </w:r>
      <w:r w:rsidR="00C1265F">
        <w:t>(e.g., climate envelope, habitat</w:t>
      </w:r>
      <w:r w:rsidR="00AC06F3">
        <w:t xml:space="preserve"> suitability, and species distribution</w:t>
      </w:r>
      <w:r w:rsidR="00C1265F">
        <w:t xml:space="preserve"> models</w:t>
      </w:r>
      <w:r w:rsidR="00AC06F3">
        <w:t>;</w:t>
      </w:r>
      <w:r w:rsidR="00B20446">
        <w:t xml:space="preserve"> </w:t>
      </w:r>
      <w:r w:rsidR="00B20446">
        <w:fldChar w:fldCharType="begin"/>
      </w:r>
      <w:r w:rsidR="00B332AB">
        <w:instrText xml:space="preserve"> ADDIN ZOTERO_ITEM CSL_CITATION {"citationID":"JVSkgjng","properties":{"formattedCitation":"(Elith &amp; Leathwick, 2009; Hijmans &amp; Graham, 2006; Hirzel &amp; Le Lay, 2008)","plainCitation":"(Elith &amp; Leathwick, 2009; Hijmans &amp; Graham, 2006; Hirzel &amp; Le Lay, 2008)","dontUpdate":true,"noteIndex":0},"citationItems":[{"id":3135,"uris":["http://zotero.org/groups/5634119/items/GGBP3SFD"],"itemData":{"id":3135,"type":"article-journal","abstract":"Species distribution models (SDMs) are numerical tools that combine observations of species occurrence or abundance with environmental estimates. They are used to gain ecological and evolutionary insights and to predict distributions across landscapes, sometimes requiring extrapolation in space and time. SDMs are now widely used across terrestrial, freshwater, and marine realms. Differences in methods between disciplines reflect both differences in species mobility and in “established use.” Model realism and robustness is influenced by selection of relevant predictors and modeling method, consideration of scale, how the interplay between environmental and geographic factors is handled, and the extent of extrapolation. Current linkages between SDM practice and ecological theory are often weak, hindering progress. Remaining challenges include: improvement of methods for modeling presence-only data and for model selection and evaluation; accounting for biotic interactions; and assessing model uncertainty.","container-title":"Annual Review of Ecology, Evolution, and Systematics","DOI":"10.1146/annurev.ecolsys.110308.120159","ISSN":"1543-592X, 1545-2069","issue":"1","journalAbbreviation":"Annu. Rev. Ecol. Evol. Syst.","language":"en","page":"677-697","source":"DOI.org (Crossref)","title":"Species Distribution Models: Ecological Explanation and Prediction Across Space and Time","title-short":"Species Distribution Models","volume":"40","author":[{"family":"Elith","given":"Jane"},{"family":"Leathwick","given":"John R."}],"issued":{"date-parts":[["2009",12,1]]}}},{"id":3134,"uris":["http://zotero.org/groups/5634119/items/LAA3YX9I"],"itemData":{"id":3134,"type":"article-journal","abstract":"Abstract\n            \n              Climate envelope models (CEMs) have been used to predict the distribution of species under current, past, and future climatic conditions by inferring a species' environmental requirements from localities where it is currently known to occur. CEMs can be evaluated for their ability to predict current species distributions but it is unclear whether models that are successful in predicting current distributions are equally successful in predicting distributions under different climates (i.e. different regions or time periods). We evaluated the ability of CEMs to predict species distributions under different climates by comparing their predictions with those obtained with a mechanistic model (MM). In an MM the distribution of a species is modeled based on knowledge of a species' physiology. The potential distributions of 100 plant species were modeled with an MM for current conditions, a past climate reconstruction (21 000 years before present) and a future climate projection (double preindustrial CO\n              2\n              conditions). Point localities extracted from the currently suitable area according to the MM were used to predict current, future, and past distributions with four CEMs covering a broad range of statistical approaches: Bioclim (percentile distributions), Domain (distance metric), GAM (general additive modeling), and Maxent (maximum entropy). Domain performed very poorly, strongly underestimating range sizes for past or future conditions. Maxent and GAM performed as well under current climates as under past and future climates. Bioclim slightly underestimated range sizes but the predicted ranges overlapped more with the ranges predicted with the MM than those predicted with GAM did. Ranges predicted with Maxent overlapped most with those produced with the MMs, but compared with the ranges predicted with GAM they were more variable and sometimes much too large. Our results suggest that some CEMs can indeed be used to predict species distributions under climate change, but individual modeling approaches should be validated for this purpose, and model choice could be made dependent on the purpose of a particular study.","container-title":"Global Change Biology","DOI":"10.1111/j.1365-2486.2006.01256.x","ISSN":"1354-1013, 1365-2486","issue":"12","journalAbbreviation":"Global Change Biology","language":"en","license":"http://onlinelibrary.wiley.com/termsAndConditions#vor","page":"2272-2281","source":"DOI.org (Crossref)","title":"The ability of climate envelope models to predict the effect of climate change on species distributions","volume":"12","author":[{"family":"Hijmans","given":"Robert J."},{"family":"Graham","given":"Catherine H."}],"issued":{"date-parts":[["2006",12]]}}},{"id":3136,"uris":["http://zotero.org/groups/5634119/items/5Q9NEEKJ"],"itemData":{"id":3136,"type":"article-journal","container-title":"Journal of Applied Ecology","DOI":"10.1111/j.1365-2664.2008.01524.x","ISSN":"0021-8901, 1365-2664","issue":"5","journalAbbreviation":"Journal of Applied Ecology","language":"en","license":"http://onlinelibrary.wiley.com/termsAndConditions#vor","page":"1372-1381","source":"DOI.org (Crossref)","title":"Habitat suitability modelling and niche theory","volume":"45","author":[{"family":"Hirzel","given":"Alexandre H."},{"family":"Le Lay","given":"Gwenaëlle"}],"issued":{"date-parts":[["2008",10]]}}}],"schema":"https://github.com/citation-style-language/schema/raw/master/csl-citation.json"} </w:instrText>
      </w:r>
      <w:r w:rsidR="00B20446">
        <w:fldChar w:fldCharType="separate"/>
      </w:r>
      <w:r w:rsidR="00B20446">
        <w:rPr>
          <w:noProof/>
        </w:rPr>
        <w:t>Elith &amp; Leathwick, 2009; Hijmans &amp; Graham, 2006; Hirzel &amp; Le Lay, 2008)</w:t>
      </w:r>
      <w:r w:rsidR="00B20446">
        <w:fldChar w:fldCharType="end"/>
      </w:r>
      <w:r w:rsidR="00C1265F">
        <w:t xml:space="preserve">. </w:t>
      </w:r>
      <w:r>
        <w:t xml:space="preserve">In their traditional application, these models can fail to </w:t>
      </w:r>
      <w:r w:rsidR="00060FDD" w:rsidRPr="00060FDD">
        <w:t xml:space="preserve">predict actual </w:t>
      </w:r>
      <w:r w:rsidR="005D1761">
        <w:t>population</w:t>
      </w:r>
      <w:r w:rsidR="00060FDD" w:rsidRPr="00060FDD">
        <w:t xml:space="preserve"> </w:t>
      </w:r>
      <w:r w:rsidR="00C1265F">
        <w:t>patterns</w:t>
      </w:r>
      <w:r w:rsidR="00B20446">
        <w:t xml:space="preserve"> </w:t>
      </w:r>
      <w:r w:rsidR="00B20446">
        <w:fldChar w:fldCharType="begin"/>
      </w:r>
      <w:r w:rsidR="00D94289">
        <w:instrText xml:space="preserve"> ADDIN ZOTERO_ITEM CSL_CITATION {"citationID":"GdNg2jq8","properties":{"formattedCitation":"(Evans et al., 2024; Lee\\uc0\\u8208{}Yaw et al., 2022)","plainCitation":"(Evans et al., 2024; Lee‐Yaw et al., 2022)","noteIndex":0},"citationItems":[{"id":3138,"uris":["http://zotero.org/groups/5634119/items/MBRWAK2J"],"itemData":{"id":3138,"type":"article-journal","abstract":"Given the importance of climate in shaping species’ geographic distributions, climate change poses an existential threat to biodiversity. Climate envelope modeling, the predominant approach used to quantify this threat, presumes that individuals in populations respond to climate variability and change according to species-level responses inferred from spatial occurrence data—such that individuals at the cool edge of a species’ distribution should benefit from warming (the “leading edge”), whereas individuals at the warm edge should suffer (the “trailing edge”). Using 1,558 tree-ring time series of an aridland pine (\n              Pinus edulis\n              ) collected at 977 locations across the species’ distribution, we found that trees everywhere grow less in warmer-than-average and drier-than-average years. Ubiquitous negative temperature sensitivity indicates that individuals across the entire distribution should suffer with warming—the entire distribution is a trailing edge. Species-level responses to spatial climate variation are opposite in sign to individual-scale responses to time-varying climate for approximately half the species’ distribution with respect to temperature and the majority of the species’ distribution with respect to precipitation. These findings, added to evidence from the literature for scale-dependent climate responses in hundreds of species, suggest that correlative, equilibrium-based range forecasts may fail to accurately represent how individuals in populations will be impacted by changing climate. A scale-dependent view of the impact of climate change on biodiversity highlights the transient risk of extinction hidden inside climate envelope forecasts and the importance of evolution in rescuing species from extinction whenever local climate variability and change exceeds individual-scale climate tolerances.","container-title":"Proceedings of the National Academy of Sciences","DOI":"10.1073/pnas.2315700121","ISSN":"0027-8424, 1091-6490","issue":"24","journalAbbreviation":"Proc. Natl. Acad. Sci. U.S.A.","language":"en","page":"e2315700121","source":"DOI.org (Crossref)","title":"Tree rings reveal the transient risk of extinction hidden inside climate envelope forecasts","volume":"121","author":[{"family":"Evans","given":"Margaret E. K."},{"family":"Dey","given":"Sharmila M. N."},{"family":"Heilman","given":"Kelly A."},{"family":"Tipton","given":"John R."},{"family":"DeRose","given":"R. Justin"},{"family":"Klesse","given":"Stefan"},{"family":"Schultz","given":"Emily L."},{"family":"Shaw","given":"John D."}],"issued":{"date-parts":[["2024",6,11]]}}},{"id":3140,"uris":["http://zotero.org/groups/5634119/items/QGZFIRV9"],"itemData":{"id":3140,"type":"article-journal","container-title":"Ecography","DOI":"10.1111/ecog.05877","ISSN":"0906-7590, 1600-0587","issue":"6","journalAbbreviation":"Ecography","language":"en","source":"DOI.org (Crossref)","title":"Species distribution models rarely predict the biology of real populations","URL":"https://onlinelibrary.wiley.com/doi/10.1111/ecog.05877","volume":"2022","author":[{"family":"Lee‐Yaw","given":"Julie A."},{"family":"McCune","given":"Jenny L."},{"family":"Pironon","given":"Samuel"},{"family":"Sheth","given":"Seema N"}],"accessed":{"date-parts":[["2023",3,27]]},"issued":{"date-parts":[["2022",6]]}}}],"schema":"https://github.com/citation-style-language/schema/raw/master/csl-citation.json"} </w:instrText>
      </w:r>
      <w:r w:rsidR="00B20446">
        <w:fldChar w:fldCharType="separate"/>
      </w:r>
      <w:r w:rsidR="00D94289" w:rsidRPr="00D94289">
        <w:t>(Evans et al., 2024; Lee‐Yaw et al., 2022)</w:t>
      </w:r>
      <w:r w:rsidR="00B20446">
        <w:fldChar w:fldCharType="end"/>
      </w:r>
      <w:r w:rsidR="00AC06F3">
        <w:t>.</w:t>
      </w:r>
      <w:r w:rsidR="00075183">
        <w:t xml:space="preserve"> </w:t>
      </w:r>
      <w:r>
        <w:t xml:space="preserve">However, including species interactions into these or similar models is challenging given the dynamic nature of these interactions </w:t>
      </w:r>
      <w:r w:rsidR="00B20446">
        <w:fldChar w:fldCharType="begin"/>
      </w:r>
      <w:r w:rsidR="00B20446">
        <w:instrText xml:space="preserve"> ADDIN ZOTERO_ITEM CSL_CITATION {"citationID":"w83mJUIh","properties":{"formattedCitation":"(CaraDonna et al., 2017; Poisot et al., 2015)","plainCitation":"(CaraDonna et al., 2017; Poisot et al., 2015)","noteIndex":0},"citationItems":[{"id":3131,"uris":["http://zotero.org/groups/5634119/items/P2MBW9S8"],"itemData":{"id":3131,"type":"article-journal","abstract":"Abstract\n            Whether species interactions are static or change over time has wide‐reaching ecological and evolutionary consequences. However, species interaction networks are typically constructed from temporally aggregated interaction data, thereby implicitly assuming that interactions are fixed. This approach has advanced our understanding of communities, but it obscures the timescale at which interactions form (or dissolve) and the drivers and consequences of such dynamics. We address this knowledge gap by quantifying the within‐season turnover of plant–pollinator interactions from weekly censuses across 3 years in a subalpine ecosystem. Week‐to‐week turnover of interactions (1) was high, (2) followed a consistent seasonal progression in all years of study and (3) was dominated by interaction rewiring (the reassembly of interactions among species). Simulation models revealed that species’ phenologies and relative abundances constrained both total interaction turnover and rewiring. Our findings reveal the diversity of species interactions that may be missed when the temporal dynamics of networks are ignored.","container-title":"Ecology Letters","DOI":"10.1111/ele.12740","ISSN":"1461-023X, 1461-0248","issue":"3","journalAbbreviation":"Ecology Letters","language":"en","page":"385-394","source":"DOI.org (Crossref)","title":"Interaction rewiring and the rapid turnover of plant–pollinator networks","volume":"20","author":[{"family":"CaraDonna","given":"Paul J."},{"family":"Petry","given":"William K."},{"family":"Brennan","given":"Ross M."},{"family":"Cunningham","given":"James L."},{"family":"Bronstein","given":"Judith L."},{"family":"Waser","given":"Nickolas M."},{"family":"Sanders","given":"Nathan J."}],"editor":[{"family":"Jordan","given":"Ferenc"}],"issued":{"date-parts":[["2017",3]]}}},{"id":2996,"uris":["http://zotero.org/groups/5634119/items/98XVULPE"],"itemData":{"id":2996,"type":"article-journal","abstract":"Community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rsidR="00B20446">
        <w:fldChar w:fldCharType="separate"/>
      </w:r>
      <w:r w:rsidR="00B20446">
        <w:rPr>
          <w:noProof/>
        </w:rPr>
        <w:t>(CaraDonna et al., 2017; Poisot et al., 2015)</w:t>
      </w:r>
      <w:r w:rsidR="00B20446">
        <w:fldChar w:fldCharType="end"/>
      </w:r>
      <w:r w:rsidR="00B20446">
        <w:t xml:space="preserve">. </w:t>
      </w:r>
      <w:r w:rsidR="005D1761">
        <w:rPr>
          <w:rStyle w:val="eop"/>
        </w:rPr>
        <w:t>I</w:t>
      </w:r>
      <w:r w:rsidR="00060FDD">
        <w:rPr>
          <w:rStyle w:val="eop"/>
        </w:rPr>
        <w:t>nteractions</w:t>
      </w:r>
      <w:r w:rsidR="005D1761">
        <w:rPr>
          <w:rStyle w:val="eop"/>
        </w:rPr>
        <w:t xml:space="preserve"> </w:t>
      </w:r>
      <w:r w:rsidR="00060FDD">
        <w:rPr>
          <w:rStyle w:val="eop"/>
        </w:rPr>
        <w:t xml:space="preserve">are shaped by past population and community dynamics, reflecting ecological memory and biological legacies </w:t>
      </w:r>
      <w:r w:rsidR="00060FDD">
        <w:rPr>
          <w:rStyle w:val="eop"/>
        </w:rPr>
        <w:fldChar w:fldCharType="begin"/>
      </w:r>
      <w:r w:rsidR="00B20446">
        <w:rPr>
          <w:rStyle w:val="eop"/>
        </w:rPr>
        <w:instrText xml:space="preserve"> ADDIN ZOTERO_ITEM CSL_CITATION {"citationID":"BE2Ccb0e","properties":{"formattedCitation":"(Essl et al., 2015; Ogle et al., 2015; Padisak, 1992)","plainCitation":"(Essl et al., 2015; Ogle et al., 2015; Padisak, 1992)","noteIndex":0},"citationItems":[{"id":2537,"uris":["http://zotero.org/users/6391447/items/9YYMRAVA"],"itemData":{"id":2537,"type":"article-journal","abstract":"Abstract\n            \n              Aim\n              Biodiversity responses to changing environmental forcing on species are often characterized by considerable time‐lags (= relaxation times). Although changes to the occurrence and abundance of species likely have cascading effects (e.g. on species of other trophic levels, genes, community structure and ecosystem processes), current concepts addressing lagged biodiversity responses are limited to single drivers affecting a few biodiversity components (e.g. extinction debt in terms of species numbers or population size). Little attention has been paid to the interacting and cumulative nature of time‐lag phenomena. Here, we synthesize current knowledge, mechanisms and implications of delayed biodiversity responses and propose a ‘cumulative biodiversity lags‐framework’ which aims to integrate lagged responses of various components of biological organization.\n            \n            \n              Location\n              Global.\n            \n            \n              Results\n              Effects of change in environmental forcing are transmitted along a series of linked cause–effect relationships which act on different biodiversity components (e.g. individuals, populations, species, communities). We show that lagged responses to environmental forcing are caused by different mechanisms (e.g. metapopulation dynamics, dispersal limitation, successional dynamics), which operate sequentially on these intermediary links. Lags manifest themselves on the respective biodiversity component which changes over time; the full relaxation time of a focal system will therefore depend on the aggregate length of different lags. We elucidate key mechanisms and circumstances which are likely to cause cumulative lagged responses, and propose research avenues to improve understanding of cumulative biodiversity lags.\n            \n            \n              Main conclusions\n              The failure to give adequate consideration to widespread cumulative time‐lags often masks the full extent of biodiversity changes that have already been triggered. Effects that are particularly relevant for human livelihoods (e.g. changes in the provision of ecosystem services) may emerge with the most pronounced delay. Accordingly, the consideration of appropriate temporal scales should become a key topic in future work at the science–policy interface.","container-title":"Diversity and Distributions","DOI":"10.1111/ddi.12312","ISSN":"1366-9516, 1472-4642","issue":"5","journalAbbreviation":"Diversity and Distributions","language":"en","page":"534-547","source":"DOI.org (Crossref)","title":"Historical legacies accumulate to shape future biodiversity in an era of rapid global change","volume":"21","author":[{"family":"Essl","given":"Franz"},{"family":"Dullinger","given":"Stefan"},{"family":"Rabitsch","given":"Wolfgang"},{"family":"Hulme","given":"Philip E."},{"family":"Pyšek","given":"Petr"},{"family":"Wilson","given":"John R. U."},{"family":"Richardson","given":"David M."}],"editor":[{"family":"Kueffer","given":"Christoph"}],"issued":{"date-parts":[["2015",5]]}}},{"id":67,"uris":["http://zotero.org/users/6391447/items/HCIC6RJW"],"itemData":{"id":67,"type":"article-journal","abstract":"The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T."}],"editor":[{"family":"Cleland","given":"Elsa"}],"issued":{"date-parts":[["2015",3]]}}},{"id":3029,"uris":["http://zotero.org/users/6391447/items/JYXAPBIR"],"itemData":{"id":3029,"type":"article-journal","container-title":"The Journal of Ecology","DOI":"10.2307/2261008","ISSN":"00220477","issue":"2","journalAbbreviation":"The Journal of Ecology","page":"217","source":"DOI.org (Crossref)","title":"Seasonal Succession of Phytoplankton in a Large Shallow Lake (Balaton, Hungary)--A Dynamic Approach to Ecological Memory, Its Possible Role and Mechanisms","volume":"80","author":[{"family":"Padisak","given":"Judit"}],"issued":{"date-parts":[["1992",6]]}}}],"schema":"https://github.com/citation-style-language/schema/raw/master/csl-citation.json"} </w:instrText>
      </w:r>
      <w:r w:rsidR="00060FDD">
        <w:rPr>
          <w:rStyle w:val="eop"/>
        </w:rPr>
        <w:fldChar w:fldCharType="separate"/>
      </w:r>
      <w:r w:rsidR="00B20446">
        <w:rPr>
          <w:rStyle w:val="eop"/>
          <w:noProof/>
        </w:rPr>
        <w:t>(Essl et al., 2015; Ogle et al., 2015; Padisak, 1992)</w:t>
      </w:r>
      <w:r w:rsidR="00060FDD">
        <w:rPr>
          <w:rStyle w:val="eop"/>
        </w:rPr>
        <w:fldChar w:fldCharType="end"/>
      </w:r>
      <w:r w:rsidR="00060FDD">
        <w:rPr>
          <w:rStyle w:val="eop"/>
        </w:rPr>
        <w:t xml:space="preserve">. </w:t>
      </w:r>
      <w:r>
        <w:rPr>
          <w:rStyle w:val="eop"/>
        </w:rPr>
        <w:t>Interactions</w:t>
      </w:r>
      <w:r w:rsidR="00060FDD">
        <w:rPr>
          <w:rStyle w:val="eop"/>
        </w:rPr>
        <w:t xml:space="preserve"> vary across space due to variation in individual-fitness, resource availability, and competitive interactions </w:t>
      </w:r>
      <w:r w:rsidR="00060FDD">
        <w:rPr>
          <w:rStyle w:val="eop"/>
        </w:rPr>
        <w:fldChar w:fldCharType="begin"/>
      </w:r>
      <w:r w:rsidR="00060FDD">
        <w:rPr>
          <w:rStyle w:val="eop"/>
        </w:rPr>
        <w:instrText xml:space="preserve"> ADDIN ZOTERO_ITEM CSL_CITATION {"citationID":"m9fREqfa","properties":{"formattedCitation":"(Langendorf et al., 2025; Liu &amp; Gaines, 2022)","plainCitation":"(Langendorf et al., 2025; Liu &amp; Gaines, 2022)","noteIndex":0},"citationItems":[{"id":3018,"uris":["http://zotero.org/groups/5634119/items/RR75FX8C"],"itemData":{"id":3018,"type":"article-journal","abstract":"Sea otters are an iconic keystone predator that can maintain kelp forests by preying on grazing invertebrates such as sea urchins. However, the effects of sea otters on kelp forests vary over their geographic range. Here, we analyze two 30-y datasets on kelp forest communities during the reintroduction of sea otters along the west coast of Vancouver Island, BC, Canada, and around San Nicolas Island, CA. We developed a community model to estimate species interactions as dynamic rates, varying with community state. We find evidence of a classic trophic cascade off Vancouver Island; the arrival of otters quickly led to depletion of urchins and recovery of kelp. However, this cascade was muted around San Nicolas Island, with otters, urchins, and kelp all coexisting at intermediate densities for multiple years. Our models show that this difference came from a pulse of strong otter impacts on urchins following recolonization off Vancouver Island, but not off San Nicolas Island. The mean effects of otters on urchins and urchins on kelp were not stronger in the north, indicating that interaction dynamics and not average interaction strength are key to explaining differences in community trajectories. We also find stronger multistep interaction chains in the south, arising from competitive interactions that indirectly buffered otter effects. These findings shed light on long-standing hypotheses about how interspecific interactions can alter the function of keystone species across community contexts. More broadly, we show how community change can be more accurately predicted by considering dynamic interaction strengths.","container-title":"Proceedings of the National Academy of Sciences","DOI":"10.1073/pnas.2413360122","ISSN":"0027-8424, 1091-6490","issue":"10","journalAbbreviation":"Proc. Natl. Acad. Sci. U.S.A.","language":"en","page":"e2413360122","source":"DOI.org (Crossref)","title":"Dynamic and context-dependent keystone species effects in kelp forests","volume":"122","author":[{"family":"Langendorf","given":"Ryan E."},{"family":"Estes","given":"James A."},{"family":"Watson","given":"Jane C."},{"family":"Kenner","given":"Michael C."},{"family":"Hatfield","given":"Brian B."},{"family":"Tinker","given":"M. Tim"},{"family":"Waddle","given":"Ellen"},{"family":"DeMarche","given":"Megan L."},{"family":"Doak","given":"Daniel F."}],"issued":{"date-parts":[["2025",3,11]]}}},{"id":3001,"uris":["http://zotero.org/groups/5634119/items/LW73UBXP"],"itemData":{"id":3001,"type":"article-journal","abstract":"Ecological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00060FDD">
        <w:rPr>
          <w:rStyle w:val="eop"/>
        </w:rPr>
        <w:fldChar w:fldCharType="separate"/>
      </w:r>
      <w:r w:rsidR="00060FDD">
        <w:rPr>
          <w:rStyle w:val="eop"/>
          <w:noProof/>
        </w:rPr>
        <w:t>(Langendorf et al., 2025; Liu &amp; Gaines, 2022)</w:t>
      </w:r>
      <w:r w:rsidR="00060FDD">
        <w:rPr>
          <w:rStyle w:val="eop"/>
        </w:rPr>
        <w:fldChar w:fldCharType="end"/>
      </w:r>
      <w:r w:rsidR="00060FDD">
        <w:rPr>
          <w:rStyle w:val="normaltextrun"/>
        </w:rPr>
        <w:t xml:space="preserve">. </w:t>
      </w:r>
      <w:r>
        <w:rPr>
          <w:rStyle w:val="normaltextrun"/>
        </w:rPr>
        <w:t xml:space="preserve">Given this spatiotemporal variation, interactions vary widely in strength and, sometimes, </w:t>
      </w:r>
      <w:r>
        <w:rPr>
          <w:rStyle w:val="normaltextrun"/>
        </w:rPr>
        <w:lastRenderedPageBreak/>
        <w:t>direction</w:t>
      </w:r>
      <w:r w:rsidR="00060FDD">
        <w:rPr>
          <w:rStyle w:val="normaltextrun"/>
        </w:rPr>
        <w:t xml:space="preserve"> </w:t>
      </w:r>
      <w:r w:rsidR="00060FDD">
        <w:rPr>
          <w:rStyle w:val="normaltextrun"/>
        </w:rPr>
        <w:fldChar w:fldCharType="begin"/>
      </w:r>
      <w:r w:rsidR="00B332AB">
        <w:rPr>
          <w:rStyle w:val="normaltextrun"/>
        </w:rPr>
        <w:instrText xml:space="preserve"> ADDIN ZOTERO_ITEM CSL_CITATION {"citationID":"KjFjW6XI","properties":{"formattedCitation":"(Bogdziewicz et al., 2020; Moore &amp; Dittel, 2020; Sawaya et al., 2018)","plainCitation":"(Bogdziewicz et al., 2020; Moore &amp; Dittel, 2020; Sawaya et al., 2018)","dontUpdate":true,"noteIndex":0},"citationItems":[{"id":2854,"uris":["http://zotero.org/groups/5634119/items/MJABSAQ9"],"itemData":{"id":2854,"type":"article-journal","abstract":"AbstractNumerous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1365-2745","issue":"3","language":"en","license":"http://onlinelibrary.wiley.com/termsAndConditions#vor","note":"publisher: Wiley","page":"1009-1018","source":"Crossref","title":"Do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1365-2745","issue":"5","language":"en","license":"http://creativecommons.org/licenses/by/4.0/","note":"publisher: Wiley","page":"1775-1783","source":"Crossref","title":"On mutualism, models, and masting: The effects of seed‐dispersing animals on the plants they disperse","title-short":"On mutualism, models, and masting","volume":"108","author":[{"family":"Moore","given":"Christopher M."},{"family":"Dittel","given":"Jacob W."}],"editor":[{"family":"Shefferson","given":"Richard"}],"issued":{"date-parts":[["2020",9]]}}},{"id":2839,"uris":["http://zotero.org/groups/5634119/items/4S5TLTGP"],"itemData":{"id":2839,"type":"article-journal","abstract":"ABSTRACTThe conditional mutualism between scatterhoarders and trees varies on a continuum from mutualism to antagonism and can change across time and space, and among species. We examined 4 tree species (red oak [Quercus rubra], white oak [Quercus alba], American chestnut [Castanea dentata] and hybrid chestnut [C. dentata × Castanea mollissima) across 5 sites and 3 years to quantify the variability in this conditional mutualism. We used a published model to compare the rates of seed emergence with and without burial to the probability that seeds will be cached and left uneaten by scatterhoarders to quantify variation in the conditional mutualism that can be explained by environmental variation among sites, years, species, and seed provenance within species. All species tested had increased emergence when buried. However, comparing benefits of burial to the probability of caching by scatterhoarders indicated a mutualism in red oak, while white oak was nearly always antagonistic. Chestnut was variable around the boundary between mutualism and antagonism, indicating a high degree of context dependence in the relationship with scatterhoarders. We found that different seed provenances did not vary in their potential for mutualism. Temperature did not explain microsite differences in seed emergence in any of the species tested. In hybrid chestnut only, emergence on the surface declined with soil moisture in the fall. By quantifying the variation in the conditional mutualism that was not caused by changes in scatterhoarder behavior, we show that environmental conditions and seed traits are an important and underappreciated component of the variation in the relationship between trees and scatterhoarders.","container-title":"Integrative Zoology","DOI":"10.1111/1749-4877.12311","ISSN":"1749-4877, 1749-4877","issue":"3","language":"en","license":"http://onlinelibrary.wiley.com/termsAndConditions#vor","note":"publisher: Wiley","page":"319-330","source":"Crossref","title":"Environmental variation shifts the relationship between trees and scatterhoarders along the continuum from mutualism to antagonism","volume":"13","author":[{"family":"Sawaya","given":"Gina M."},{"family":"Goldberg","given":"Adam S."},{"family":"Steele","given":"Michael A."},{"family":"Dalgleish","given":"Harmony J."}],"issued":{"date-parts":[["2018",5]]}}}],"schema":"https://github.com/citation-style-language/schema/raw/master/csl-citation.json"} </w:instrText>
      </w:r>
      <w:r w:rsidR="00060FDD">
        <w:rPr>
          <w:rStyle w:val="normaltextrun"/>
        </w:rPr>
        <w:fldChar w:fldCharType="separate"/>
      </w:r>
      <w:r w:rsidR="00060FDD">
        <w:rPr>
          <w:rStyle w:val="normaltextrun"/>
          <w:noProof/>
        </w:rPr>
        <w:t>(</w:t>
      </w:r>
      <w:r w:rsidR="00570A7A">
        <w:rPr>
          <w:rStyle w:val="normaltextrun"/>
          <w:noProof/>
        </w:rPr>
        <w:t xml:space="preserve">e.g., mutualisms become consumptive; </w:t>
      </w:r>
      <w:r w:rsidR="00060FDD">
        <w:rPr>
          <w:rStyle w:val="normaltextrun"/>
          <w:noProof/>
        </w:rPr>
        <w:t>Bogdziewicz et al., 2020; Moore &amp; Dittel, 2020; Sawaya et al., 2018)</w:t>
      </w:r>
      <w:r w:rsidR="00060FDD">
        <w:rPr>
          <w:rStyle w:val="normaltextrun"/>
        </w:rPr>
        <w:fldChar w:fldCharType="end"/>
      </w:r>
      <w:r w:rsidR="00060FDD">
        <w:rPr>
          <w:rStyle w:val="normaltextrun"/>
        </w:rPr>
        <w:t>.</w:t>
      </w:r>
      <w:r w:rsidR="00C1265F">
        <w:rPr>
          <w:rStyle w:val="normaltextrun"/>
        </w:rPr>
        <w:t xml:space="preserve"> </w:t>
      </w:r>
    </w:p>
    <w:p w14:paraId="0CC16F66" w14:textId="76E5D2C1" w:rsidR="002B4F02" w:rsidRDefault="00120D0B" w:rsidP="002B4F02">
      <w:pPr>
        <w:pStyle w:val="paragraph"/>
        <w:spacing w:before="0" w:beforeAutospacing="0" w:after="0" w:afterAutospacing="0" w:line="480" w:lineRule="auto"/>
        <w:ind w:firstLine="720"/>
        <w:textAlignment w:val="baseline"/>
        <w:rPr>
          <w:rStyle w:val="normaltextrun"/>
        </w:rPr>
      </w:pPr>
      <w:r>
        <w:rPr>
          <w:rStyle w:val="normaltextrun"/>
        </w:rPr>
        <w:t xml:space="preserve">Seed dispersal interactions are an </w:t>
      </w:r>
      <w:r w:rsidR="00495C69">
        <w:rPr>
          <w:rStyle w:val="normaltextrun"/>
        </w:rPr>
        <w:t>important</w:t>
      </w:r>
      <w:r>
        <w:rPr>
          <w:rStyle w:val="normaltextrun"/>
        </w:rPr>
        <w:t xml:space="preserve"> </w:t>
      </w:r>
      <w:r w:rsidR="006366C7">
        <w:rPr>
          <w:rStyle w:val="normaltextrun"/>
        </w:rPr>
        <w:t>species interaction</w:t>
      </w:r>
      <w:r>
        <w:rPr>
          <w:rStyle w:val="normaltextrun"/>
        </w:rPr>
        <w:t xml:space="preserve"> that shapes the structure and function of ecosystems across the globe</w:t>
      </w:r>
      <w:r w:rsidR="002B4F02">
        <w:rPr>
          <w:rStyle w:val="normaltextrun"/>
        </w:rPr>
        <w:t xml:space="preserve"> </w:t>
      </w:r>
      <w:r w:rsidR="002B4F02">
        <w:rPr>
          <w:rStyle w:val="normaltextrun"/>
        </w:rPr>
        <w:fldChar w:fldCharType="begin"/>
      </w:r>
      <w:r w:rsidR="00B332AB">
        <w:rPr>
          <w:rStyle w:val="normaltextrun"/>
        </w:rPr>
        <w:instrText xml:space="preserve"> ADDIN ZOTERO_ITEM CSL_CITATION {"citationID":"NmafX1tK","properties":{"formattedCitation":"(Bello et al., 2015; Brodie et al., 2025)","plainCitation":"(Bello et al., 2015; Brodie et al., 2025)","dontUpdate":true,"noteIndex":0},"citationItems":[{"id":3071,"uris":["http://zotero.org/users/6391447/items/43JIZCNB"],"itemData":{"id":3071,"type":"article-journal","abstract":"Populations of large frugivores are declining in tropical rainforests with potential consequences for carbon storage and climate.\n          , \n            Carbon storage is widely acknowledged as one of the most valuable forest ecosystem services. Deforestation, logging, fragmentation, fire, and climate change have significant effects on tropical carbon stocks; however, an elusive and yet undetected decrease in carbon storage may be due to defaunation of large seed dispersers. Many large tropical trees with sizeable contributions to carbon stock rely on large vertebrates for seed dispersal and regeneration, however many of these frugivores are threatened by hunting, illegal trade, and habitat loss. We used a large data set on tree species composition and abundance, seed, fruit, and carbon-related traits, and plant-animal interactions to estimate the loss of carbon storage capacity of tropical forests in defaunated scenarios. By simulating the local extinction of trees that depend on large frugivores in 31 Atlantic Forest communities, we found that defaunation has the potential to significantly erode carbon storage even when only a small proportion of large-seeded trees are extirpated. Although intergovernmental policies to reduce carbon emissions and reforestation programs have been mostly focused on deforestation, our results demonstrate that defaunation, and the loss of key ecological interactions, also poses a serious risk for the maintenance of tropical forest carbon storage.","container-title":"Science Advances","DOI":"10.1126/sciadv.1501105","ISSN":"2375-2548","issue":"11","journalAbbreviation":"Sci. Adv.","language":"en","page":"e1501105","source":"DOI.org (Crossref)","title":"Defaunation affects carbon storage in tropical forests","volume":"1","author":[{"family":"Bello","given":"Carolina"},{"family":"Galetti","given":"Mauro"},{"family":"Pizo","given":"Marco A."},{"family":"Magnago","given":"Luiz Fernando S."},{"family":"Rocha","given":"Mariana F."},{"family":"Lima","given":"Renato A. F."},{"family":"Peres","given":"Carlos A."},{"family":"Ovaskainen","given":"Otso"},{"family":"Jordano","given":"Pedro"}],"issued":{"date-parts":[["2015",12,4]]}}},{"id":2959,"uris":["http://zotero.org/users/6391447/items/XHTXUPAK"],"itemData":{"id":2959,"type":"article-journal","abstract":"Abstract\n            \n              The urgent need to mitigate and adapt to climate change necessitates a comprehensive understanding of carbon cycling dynamics. Traditionally, global carbon cycle models have focused on vegetation, but recent research suggests that animals can play a significant role in carbon dynamics under some circumstances, potentially enhancing the effectiveness of nature‐based solutions to mitigate climate change. However, links between animals, plants, and carbon remain unclear. We explored the complex interactions between defaunation and ecosystem carbon in Earth's most biodiverse and carbon‐rich biome, tropical rainforests. Defaunation can change patterns of seed dispersal, granivory, and herbivory in ways that alter tree species composition and, therefore, forest carbon above‐ and belowground. Most studies we reviewed show that defaunation reduces carbon storage 0−26% in the Neo‐ and Afrotropics, primarily via population declines in large‐seeded, animal‐dispersed trees. However, Asian forests are not predicted to experience changes because their high‐carbon trees are wind dispersed. Extrapolating these local effects to entire ecosystems implies losses of </w:instrText>
      </w:r>
      <w:r w:rsidR="00B332AB">
        <w:rPr>
          <w:rStyle w:val="normaltextrun"/>
          <w:rFonts w:ascii="Cambria Math" w:hAnsi="Cambria Math" w:cs="Cambria Math"/>
        </w:rPr>
        <w:instrText>∼</w:instrText>
      </w:r>
      <w:r w:rsidR="00B332AB">
        <w:rPr>
          <w:rStyle w:val="normaltextrun"/>
        </w:rPr>
        <w:instrText xml:space="preserve">1.6 Pg CO\n              2\n              equivalent across the Brazilian Atlantic Forest and 4−9.2 Pg across the Amazon over 100 years and of </w:instrText>
      </w:r>
      <w:r w:rsidR="00B332AB">
        <w:rPr>
          <w:rStyle w:val="normaltextrun"/>
          <w:rFonts w:ascii="Cambria Math" w:hAnsi="Cambria Math" w:cs="Cambria Math"/>
        </w:rPr>
        <w:instrText>∼</w:instrText>
      </w:r>
      <w:r w:rsidR="00B332AB">
        <w:rPr>
          <w:rStyle w:val="normaltextrun"/>
        </w:rPr>
        <w:instrText xml:space="preserve">14.7−26.3 Pg across the Congo basin over 250 years. In addition to being hard to quantify with precision, the effects of defaunation on ecosystem carbon are highly context dependent; outcomes varied based on the balance between antagonist and mutualist species interactions, abiotic conditions, human pressure, and numerous other factors. A combination of experiments, large‐scale comparative studies, and mechanistic models could help disentangle the effects of defaunation from other anthropogenic forces in the face of the incredible complexity of tropical forest systems. Overall, our synthesis emphasizes the importance of—and inconsistent results when—integrating animal dynamics into carbon cycle models, which is crucial for developing climate change mitigation strategies and effective policies.\n            \n          , \n            \n              \n              Impactos de la defaunación sobre el balance de carbono en los bosques tropicales\n              \n                \n                La urgencia por mitigar y adaptarse al cambio climático requiere que se entiendan las dinámicas del ciclo del carbono. Es común que los modelos del ciclo del carbono se enfoquen en la vegetación, pero estudios recientes sugieren que los animales pueden tener un papel significativo en las dinámicas del carbono bajo ciertas circunstancias, lo que tiene el potencial para mejorar la efectividad de las soluciones basadas en la naturaleza para mitigar el cambio climático. Sin embargo, todavía no está clara la relación entre los animales, las plantas y el carbono. Exploramos las interacciones complejas entre la defaunación y el carbono ambiental en el bioma más biodiverso y más rico en carbono de la Tierra: los bosques tropicales. La defaunación puede cambiar los patrones de dispersión de semillas, granivoría y herbivoría de manera que alteran la composición de especies de árboles y, por lo tanto, el carbono boscoso encima y debajo de la tierra.\n                \n                  La mayoría de los estudios que revisamos muestran que la defaunación reduce el almacenamiento de carbono 0‐26% en las zonas neotropical y afrotropical, principalmente por medio de las declinaciones poblacionales de los árboles con semillas grandes dispersadas por animales. Sin embargo, no hay pronósticos de que los bosques asiáticos sufran cambios porque sus árboles de carbono alto tienen dispersión por viento. Si extrapolamos estos efectos locales a ecosistemas completos, hay una pérdida explícita equivalente de </w:instrText>
      </w:r>
      <w:r w:rsidR="00B332AB">
        <w:rPr>
          <w:rStyle w:val="normaltextrun"/>
          <w:rFonts w:ascii="Cambria Math" w:hAnsi="Cambria Math" w:cs="Cambria Math"/>
        </w:rPr>
        <w:instrText>∼</w:instrText>
      </w:r>
      <w:r w:rsidR="00B332AB">
        <w:rPr>
          <w:rStyle w:val="normaltextrun"/>
        </w:rPr>
        <w:instrText xml:space="preserve">1.6 Pg CO\n                  2\n                  en el Bosque Atlántico Brasileño y de 4 ‐ 9.2 Pg en la Amazonia a lo largo de cien años; la pérdida es de </w:instrText>
      </w:r>
      <w:r w:rsidR="00B332AB">
        <w:rPr>
          <w:rStyle w:val="normaltextrun"/>
          <w:rFonts w:ascii="Cambria Math" w:hAnsi="Cambria Math" w:cs="Cambria Math"/>
        </w:rPr>
        <w:instrText>∼</w:instrText>
      </w:r>
      <w:r w:rsidR="00B332AB">
        <w:rPr>
          <w:rStyle w:val="normaltextrun"/>
        </w:rPr>
        <w:instrText xml:space="preserve">14.7 ‐ 26.3 Pg en la cuenca del Congo a lo largo de 250 años. Además de que son difíciles de cuantificar con precisión, los efectos de la defaunación sobre el carbono ambiental dependen en gran parte del contexto; los resultados variaron con base en el balance entra las interacciones de las especies mutualistas y antagonistas, las condiciones abióticas, la presión antropogénica y muchos factores más. Una combinación de experimentos, estudios comparativos a gran escala y modelos mecánicos podrían ayudar a comprender los efectos de la defaunación causada por otras fuerzas antropogénicas de frente a la increíble complejidad de los sistemas de bosques tropicales. En general, nuestra síntesis resalta la importancia de – y los resultados inconstantes cuando – la integración de las dinámicas animales en los modelos del ciclo del carbono, lo cual es importante para desarrollar estrategias de mitigación del cambio climático y políticas efectivas.","container-title":"Conservation Biology","DOI":"10.1111/cobi.14414","ISSN":"0888-8892, 1523-1739","issue":"1","journalAbbreviation":"Conservation Biology","language":"en","page":"e14414","source":"DOI.org (Crossref)","title":"Defaunation impacts on the carbon balance of tropical forests","volume":"39","author":[{"family":"Brodie","given":"Jedediah F."},{"family":"Bello","given":"Carolina"},{"family":"Emer","given":"Carine"},{"family":"Galetti","given":"Mauro"},{"family":"Luskin","given":"Matthew S."},{"family":"Osuri","given":"Anand"},{"family":"Peres","given":"Carlos A."},{"family":"Stoll","given":"Annina"},{"family":"Villar","given":"Nacho"},{"family":"López","given":"Ana‐Benítez"}],"issued":{"date-parts":[["2025",2]]}}}],"schema":"https://github.com/citation-style-language/schema/raw/master/csl-citation.json"} </w:instrText>
      </w:r>
      <w:r w:rsidR="002B4F02">
        <w:rPr>
          <w:rStyle w:val="normaltextrun"/>
        </w:rPr>
        <w:fldChar w:fldCharType="separate"/>
      </w:r>
      <w:r w:rsidR="002B4F02">
        <w:rPr>
          <w:rStyle w:val="normaltextrun"/>
          <w:noProof/>
        </w:rPr>
        <w:t>(e.g., Bello et al., 2015; Brodie et al., 2025)</w:t>
      </w:r>
      <w:r w:rsidR="002B4F02">
        <w:rPr>
          <w:rStyle w:val="normaltextrun"/>
        </w:rPr>
        <w:fldChar w:fldCharType="end"/>
      </w:r>
      <w:r>
        <w:rPr>
          <w:rStyle w:val="normaltextrun"/>
        </w:rPr>
        <w:t>. Seed resources are often unreliable throughout the year and even across years, especially in systems where plants</w:t>
      </w:r>
      <w:r w:rsidR="002B4F02">
        <w:rPr>
          <w:rStyle w:val="normaltextrun"/>
        </w:rPr>
        <w:t xml:space="preserve"> mast, or have</w:t>
      </w:r>
      <w:r>
        <w:rPr>
          <w:rStyle w:val="normaltextrun"/>
        </w:rPr>
        <w:t xml:space="preserve"> episodic and synchronous seed production at the community or population level </w:t>
      </w:r>
      <w:r w:rsidR="002B4F02">
        <w:rPr>
          <w:rStyle w:val="normaltextrun"/>
        </w:rPr>
        <w:fldChar w:fldCharType="begin"/>
      </w:r>
      <w:r w:rsidR="002B4F02">
        <w:rPr>
          <w:rStyle w:val="normaltextrun"/>
        </w:rPr>
        <w:instrText xml:space="preserve"> ADDIN ZOTERO_ITEM CSL_CITATION {"citationID":"NsJQPr15","properties":{"formattedCitation":"(Pearse et al., 2016)","plainCitation":"(Pearse et al., 2016)","noteIndex":0},"citationItems":[{"id":2856,"uris":["http://zotero.org/groups/5634119/items/NN72KZHU"],"itemData":{"id":2856,"type":"article-journal","abstract":"SummaryMast seeding is a widespread and widely studied phenomenon. However, the physiological mechanisms that mediate masting events and link them to weather and plant resources are still debated. Here, we explore how masting is affected by plant resource budgets, fruit maturation success, and hormonal coordination of cues including weather and resources. There is little empirical support for the commonly stated hypothesis that plants store carbohydrates over several years to expend in a high‐seed year. Plants can switch carbohydrates away from growth in high‐seed years, and seed crops are more probably limited by nitrogen or phosphorus. Resources are clearly involved in the proximate mechanisms driving masting, but resource budget (RB) models cannot create masting in the absence of selection because some underlying selective benefit is required to set the level of a ‘full’ seed crop at greater than the annual resource increment. Economies of scale (EOSs) provide the ultimate factor selecting for masting, butEOSs probably always interact with resources, which modify the relationship between weather cues and reproduction. Thus,RBandEOSmodels are not alternative explanations for masting – both are required. Experiments manipulating processes that affect mast seeding will help clarify the physiological mechanisms that underlie mast seeding.ContentsSummary546I.Introduction546II.Ultimate and proximate hypotheses for masting behaviour547III.The role of plant resources in masting548IV.Which resources limit seed set?552V.Pollination, fruit development, and masting554VI.Hormonal control of seed set and masting556VII.Evolutionary perspectives on masting behaviour558VIII.Unifying resource budget and economy of scale models of masting558IX.Conclusions559Acknowledgements559References559","container-title":"New Phytologist","DOI":"10.1111/nph.14114","ISSN":"0028-646X, 1469-8137","issue":"3","language":"en","license":"http://onlinelibrary.wiley.com/termsAndConditions#am","note":"publisher: Wiley","page":"546-562","source":"Crossref","title":"Mechanisms of mast seeding: resources, weather, cues, and selection","title-short":"Mechanisms of mast seeding","volume":"212","author":[{"family":"Pearse","given":"Ian S."},{"family":"Koenig","given":"Walter D."},{"family":"Kelly","given":"Dave"}],"issued":{"date-parts":[["2016",11]]}}}],"schema":"https://github.com/citation-style-language/schema/raw/master/csl-citation.json"} </w:instrText>
      </w:r>
      <w:r w:rsidR="002B4F02">
        <w:rPr>
          <w:rStyle w:val="normaltextrun"/>
        </w:rPr>
        <w:fldChar w:fldCharType="separate"/>
      </w:r>
      <w:r w:rsidR="002B4F02">
        <w:rPr>
          <w:rStyle w:val="normaltextrun"/>
          <w:noProof/>
        </w:rPr>
        <w:t>(Pearse et al., 2016)</w:t>
      </w:r>
      <w:r w:rsidR="002B4F02">
        <w:rPr>
          <w:rStyle w:val="normaltextrun"/>
        </w:rPr>
        <w:fldChar w:fldCharType="end"/>
      </w:r>
      <w:r>
        <w:rPr>
          <w:rStyle w:val="normaltextrun"/>
        </w:rPr>
        <w:t>. Given the “boom and bust” nature of seed availability in masting systems</w:t>
      </w:r>
      <w:r w:rsidR="002B4F02">
        <w:rPr>
          <w:rStyle w:val="normaltextrun"/>
        </w:rPr>
        <w:t xml:space="preserve"> </w:t>
      </w:r>
      <w:r w:rsidR="002B4F02">
        <w:rPr>
          <w:rStyle w:val="normaltextrun"/>
        </w:rPr>
        <w:fldChar w:fldCharType="begin"/>
      </w:r>
      <w:r w:rsidR="002B4F02">
        <w:rPr>
          <w:rStyle w:val="normaltextrun"/>
        </w:rPr>
        <w:instrText xml:space="preserve"> ADDIN ZOTERO_ITEM CSL_CITATION {"citationID":"FlzKBoIt","properties":{"formattedCitation":"(Kelly &amp; Sork, 2002; Qiu et al., 2023)","plainCitation":"(Kelly &amp; Sork, 2002; Qiu et al., 2023)","noteIndex":0},"citationItems":[{"id":3021,"uris":["http://zotero.org/groups/5634119/items/LUWCQDBN"],"itemData":{"id":3021,"type":"article-journal","abstract":"▪ Abstract  For many years biologists have debated whether mast seeding (the synchronous intermittent production of large seed crops in perennial plants) results from weather conditions or is an evolved plant reproductive strategy. In this review, we analyze the evidence for the underlying causes of masting. In the absence of selection for higher or lower variability, plants will vary in tandem with the environment (resource matching). Two selective factors often favor the evolution of masting: increased pollination efficiency in wind-pollinated species, and satiation of seed predators. Other factors select against masting, including animal pollination and frugivore dispersal. A survey of 570 masting datasets shows that wind-pollinated species had higher seed production coefficients of variation (CVs) than biotically pollinated ones. Frugivore-dispersed species had low CVs whereas predator-dispersed plants had high CVs, consistent with gaining benefits from predator satiation rather than dispersal. The global pattern of masting shows highest seed crop variability at mid latitudes and in the Southern Hemisphere, which are similar to the patterns in variability of rainfall. We conclude that masting is often an adaptive reproductive trait overlaid on the direct influence of weather.","container-title":"Annual Review of Ecology and Systematics","DOI":"10.1146/annurev.ecolsys.33.020602.095433","ISSN":"0066-4162","issue":"1","journalAbbreviation":"Annu. Rev. Ecol. Syst.","language":"en","page":"427-447","source":"DOI.org (Crossref)","title":"Mast Seeding in Perennial Plants: Why, How, Where?","title-short":"Mast Seeding in Perennial Plants","volume":"33","author":[{"family":"Kelly","given":"Dave"},{"family":"Sork","given":"Victoria L."}],"issued":{"date-parts":[["2002",11]]}}},{"id":2965,"uris":["http://zotero.org/groups/5634119/items/RZD7PAXV"],"itemData":{"id":2965,"type":"article-journal","container-title":"Nature Plants","DOI":"10.1038/s41477-023-01446-5","ISSN":"2055-0278","issue":"7","journalAbbreviation":"Nat. Plants","language":"en","page":"1044-1056","source":"DOI.org (Crossref)","title":"Masting is uncommon in trees that depend on mutualist dispersers in the context of global climate and fertility gradients","volume":"9","author":[{"family":"Qiu","given":"Tong"},{"family":"Aravena","given":"Marie-Claire"},{"family":"Ascoli","given":"Davide"},{"family":"Bergeron","given":"Yves"},{"family":"Bogdziewicz","given":"Michal"},{"family":"Boivin","given":"Thomas"},{"family":"Bonal","given":"Raul"},{"family":"Caignard","given":"Thomas"},{"family":"Cailleret","given":"Maxime"},{"family":"Calama","given":"Rafael"},{"family":"Calderon","given":"Sergio Donoso"},{"family":"Camarero","given":"J. Julio"},{"family":"Chang-Yang","given":"Chia-Hao"},{"family":"Chave","given":"Jerome"},{"family":"Chianucci","given":"Francesco"},{"family":"Courbaud","given":"Benoit"},{"family":"Cutini","given":"Andrea"},{"family":"Das","given":"Adrian J."},{"family":"Delpierre","given":"Nicolas"},{"family":"Delzon","given":"Sylvain"},{"family":"Dietze","given":"Michael"},{"family":"Dormont","given":"Laurent"},{"family":"Espelta","given":"Josep Maria"},{"family":"Fahey","given":"Timothy J."},{"family":"Farfan-Rios","given":"William"},{"family":"Franklin","given":"Jerry F."},{"family":"Gehring","given":"Catherine A."},{"family":"Gilbert","given":"Gregory S."},{"family":"Gratzer","given":"Georg"},{"family":"Greenberg","given":"Cathryn H."},{"family":"Guignabert","given":"Arthur"},{"family":"Guo","given":"Qinfeng"},{"family":"Hacket-Pain","given":"Andrew"},{"family":"Hampe","given":"Arndt"},{"family":"Han","given":"Qingmin"},{"family":"Holik","given":"Jan"},{"family":"Hoshizaki","given":"Kazuhiko"},{"family":"Ibanez","given":"Ines"},{"family":"Johnstone","given":"Jill F."},{"family":"Journé","given":"Valentin"},{"family":"Kitzberger","given":"Thomas"},{"family":"Knops","given":"Johannes M. H."},{"family":"Kunstler","given":"Georges"},{"family":"Kurokawa","given":"Hiroko"},{"family":"Lageard","given":"Jonathan G. A."},{"family":"LaMontagne","given":"Jalene M."},{"family":"Lefevre","given":"Francois"},{"family":"Leininger","given":"Theodor"},{"family":"Limousin","given":"Jean-Marc"},{"family":"Lutz","given":"James A."},{"family":"Macias","given":"Diana"},{"family":"Marell","given":"Anders"},{"family":"McIntire","given":"Eliot J. B."},{"family":"Moore","given":"Christopher M."},{"family":"Moran","given":"Emily"},{"family":"Motta","given":"Renzo"},{"family":"Myers","given":"Jonathan A."},{"family":"Nagel","given":"Thomas A."},{"family":"Naoe","given":"Shoji"},{"family":"Noguchi","given":"Mahoko"},{"family":"Oguro","given":"Michio"},{"family":"Parmenter","given":"Robert"},{"family":"Pearse","given":"Ian S."},{"family":"Perez-Ramos","given":"Ignacio M."},{"family":"Piechnik","given":"Lukasz"},{"family":"Podgorski","given":"Tomasz"},{"family":"Poulsen","given":"John"},{"family":"Redmond","given":"Miranda D."},{"family":"Reid","given":"Chantal D."},{"family":"Rodman","given":"Kyle C."},{"family":"Rodriguez-Sanchez","given":"Francisco"},{"family":"Samonil","given":"Pavel"},{"family":"Sanguinetti","given":"Javier D."},{"family":"Scher","given":"C. Lane"},{"family":"Seget","given":"Barbara"},{"family":"Sharma","given":"Shubhi"},{"family":"Shibata","given":"Mitsue"},{"family":"Silman","given":"Miles"},{"family":"Steele","given":"Michael A."},{"family":"Stephenson","given":"Nathan L."},{"family":"Straub","given":"Jacob N."},{"family":"Sutton","given":"Samantha"},{"family":"Swenson","given":"Jennifer J."},{"family":"Swift","given":"Margaret"},{"family":"Thomas","given":"Peter A."},{"family":"Uriarte","given":"Maria"},{"family":"Vacchiano","given":"Giorgio"},{"family":"Whipple","given":"Amy V."},{"family":"Whitham","given":"Thomas G."},{"family":"Wion","given":"Andreas P."},{"family":"Wright","given":"S. Joseph"},{"family":"Zhu","given":"Kai"},{"family":"Zimmerman","given":"Jess K."},{"family":"Zywiec","given":"Magdalena"},{"family":"Clark","given":"James S."}],"issued":{"date-parts":[["2023",6,29]]}}}],"schema":"https://github.com/citation-style-language/schema/raw/master/csl-citation.json"} </w:instrText>
      </w:r>
      <w:r w:rsidR="002B4F02">
        <w:rPr>
          <w:rStyle w:val="normaltextrun"/>
        </w:rPr>
        <w:fldChar w:fldCharType="separate"/>
      </w:r>
      <w:r w:rsidR="002B4F02">
        <w:rPr>
          <w:rStyle w:val="normaltextrun"/>
          <w:noProof/>
        </w:rPr>
        <w:t>(Kelly &amp; Sork, 2002; Qiu et al., 2023)</w:t>
      </w:r>
      <w:r w:rsidR="002B4F02">
        <w:rPr>
          <w:rStyle w:val="normaltextrun"/>
        </w:rPr>
        <w:fldChar w:fldCharType="end"/>
      </w:r>
      <w:r w:rsidR="002B4F02">
        <w:rPr>
          <w:rStyle w:val="normaltextrun"/>
        </w:rPr>
        <w:t xml:space="preserve">, </w:t>
      </w:r>
      <w:r>
        <w:rPr>
          <w:rStyle w:val="normaltextrun"/>
        </w:rPr>
        <w:t>a</w:t>
      </w:r>
      <w:r w:rsidR="00424DD0">
        <w:rPr>
          <w:rStyle w:val="normaltextrun"/>
        </w:rPr>
        <w:t>nimals</w:t>
      </w:r>
      <w:r w:rsidR="00A328DE">
        <w:rPr>
          <w:rStyle w:val="normaltextrun"/>
        </w:rPr>
        <w:t xml:space="preserve"> that rely on </w:t>
      </w:r>
      <w:r w:rsidR="00126AE2">
        <w:rPr>
          <w:rStyle w:val="normaltextrun"/>
        </w:rPr>
        <w:t>masting</w:t>
      </w:r>
      <w:r w:rsidR="00A328DE">
        <w:rPr>
          <w:rStyle w:val="normaltextrun"/>
        </w:rPr>
        <w:t xml:space="preserve"> plants</w:t>
      </w:r>
      <w:r w:rsidR="00126AE2">
        <w:rPr>
          <w:rStyle w:val="normaltextrun"/>
        </w:rPr>
        <w:t xml:space="preserve"> </w:t>
      </w:r>
      <w:r w:rsidR="00C1265F">
        <w:rPr>
          <w:rStyle w:val="normaltextrun"/>
        </w:rPr>
        <w:t xml:space="preserve">adapt to </w:t>
      </w:r>
      <w:r w:rsidR="002B4F02">
        <w:rPr>
          <w:rStyle w:val="normaltextrun"/>
        </w:rPr>
        <w:t xml:space="preserve">and respond strongly to </w:t>
      </w:r>
      <w:r w:rsidR="00C1265F">
        <w:rPr>
          <w:rStyle w:val="normaltextrun"/>
        </w:rPr>
        <w:t>the availability of these seeds</w:t>
      </w:r>
      <w:r w:rsidR="002B4F02">
        <w:rPr>
          <w:rStyle w:val="normaltextrun"/>
        </w:rPr>
        <w:t xml:space="preserve">. </w:t>
      </w:r>
      <w:r w:rsidR="00C06288">
        <w:rPr>
          <w:rStyle w:val="normaltextrun"/>
        </w:rPr>
        <w:t>For example,</w:t>
      </w:r>
      <w:r w:rsidR="00C1265F">
        <w:rPr>
          <w:rStyle w:val="normaltextrun"/>
        </w:rPr>
        <w:t xml:space="preserve"> </w:t>
      </w:r>
      <w:r>
        <w:rPr>
          <w:rStyle w:val="normaltextrun"/>
        </w:rPr>
        <w:t xml:space="preserve">seed dispersers can display anticipatory or predictive </w:t>
      </w:r>
      <w:r w:rsidR="00C1265F">
        <w:rPr>
          <w:rStyle w:val="normaltextrun"/>
        </w:rPr>
        <w:t xml:space="preserve">behaviors or reproduction preceding high-seed years (e.g., </w:t>
      </w:r>
      <w:r w:rsidR="000361A4">
        <w:rPr>
          <w:rStyle w:val="normaltextrun"/>
        </w:rPr>
        <w:fldChar w:fldCharType="begin"/>
      </w:r>
      <w:r w:rsidR="00B332AB">
        <w:rPr>
          <w:rStyle w:val="normaltextrun"/>
        </w:rPr>
        <w:instrText xml:space="preserve"> ADDIN ZOTERO_ITEM CSL_CITATION {"citationID":"fDiJI7D6","properties":{"formattedCitation":"(Boutin et al., 2006; Wauters et al., 2008)","plainCitation":"(Boutin et al., 2006; Wauters et al., 2008)","dontUpdate":true,"noteIndex":0},"citationItems":[{"id":2983,"uris":["http://zotero.org/groups/5634119/items/JHIYW3CU"],"itemData":{"id":2983,"type":"article-journal","abstract":"Mast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A."}],"issued":{"date-parts":[["2006",12,22]]}}},{"id":3004,"uris":["http://zotero.org/groups/5634119/items/JBEH8X8T"],"itemData":{"id":3004,"type":"article-journal","abstract":"Vertebrate population dynamics, social organisation and space use often are closely associated with the distribution of critical resources, such as food. Tree squirrels are ideal models to study these relationships, since both key demographic parameters (reproduction, survival and dispersal) and spatio‐temporal variation in food supplies (measured as seed‐crop size) can be reliably estimated. In this paper we test the following two predictions underlying the association between annual food abundance and demography in six alpine red squirrel populations, both with and without time‐lag effects: 1) between‐season and between‐year fluctuations in survival rate, population density and increase parallel those in food availability; and 2) individuals follow a resource tracking strategy and increase in density mainly the year after a rich seed‐crop. Red squirrels occurred at higher densities in Scots pine forest, characterised by stable seed‐crops, than in Norway spruce with more abundant but more variable seed crops. Fluctuations in numbers were positively correlated with food availability, measured as annual conifer seed‐crop sizes. Overall, adult survival rates were higher than those of subadults, and survival substantially fluctuated between seasons and years. Autumn densities and rates of population increase (summer‐autumn) were strongly correlated with the same year's autumn seed‐crop, while correlations with the previous year's seed‐crop (time‐lag models) were either weak (population density) or absent (population increase). Results of this paper show that fluctuations in red squirrel densities in habitats with strong temporal variation in seed production are more closely linked with food availability than in more stable habitats. In addition, in the Alpine conifer forests squirrel population sizes, in autumn, increase in synchrony with food resources, eliminating the population lag normally present when resources are produced in pulses.","container-title":"Ecography","DOI":"10.1111/j.2007.0906-7590.05251.x","ISSN":"0906-7590, 1600-0587","issue":"1","journalAbbreviation":"Ecography","language":"en","page":"104-114","source":"DOI.org (Crossref)","title":"Demography of alpine red squirrel populations in relation to fluctuations in seed crop size","volume":"31","author":[{"family":"Wauters","given":"Lucas A"},{"family":"Githiru","given":"Mwangi"},{"family":"Bertolino","given":"Sandro"},{"family":"Molinari","given":"Ambrogio"},{"family":"Tosi","given":"Guido"},{"family":"Lens","given":"Luc"}],"issued":{"date-parts":[["2008",2]]}}}],"schema":"https://github.com/citation-style-language/schema/raw/master/csl-citation.json"} </w:instrText>
      </w:r>
      <w:r w:rsidR="000361A4">
        <w:rPr>
          <w:rStyle w:val="normaltextrun"/>
        </w:rPr>
        <w:fldChar w:fldCharType="separate"/>
      </w:r>
      <w:r w:rsidR="000361A4">
        <w:rPr>
          <w:rStyle w:val="normaltextrun"/>
          <w:noProof/>
        </w:rPr>
        <w:t>Boutin et al., 2006; Wauters et al., 2008)</w:t>
      </w:r>
      <w:r w:rsidR="000361A4">
        <w:rPr>
          <w:rStyle w:val="normaltextrun"/>
        </w:rPr>
        <w:fldChar w:fldCharType="end"/>
      </w:r>
      <w:r w:rsidR="00C1265F">
        <w:rPr>
          <w:rStyle w:val="normaltextrun"/>
        </w:rPr>
        <w:t xml:space="preserve">. </w:t>
      </w:r>
      <w:r w:rsidR="002B4F02">
        <w:rPr>
          <w:rStyle w:val="normaltextrun"/>
        </w:rPr>
        <w:t>Further, d</w:t>
      </w:r>
      <w:r>
        <w:rPr>
          <w:rStyle w:val="normaltextrun"/>
        </w:rPr>
        <w:t xml:space="preserve">ispersers may have </w:t>
      </w:r>
      <w:r w:rsidR="00C1265F">
        <w:rPr>
          <w:rStyle w:val="normaltextrun"/>
        </w:rPr>
        <w:t>immediate behavioral responses to seed availability by congregating near</w:t>
      </w:r>
      <w:r>
        <w:rPr>
          <w:rStyle w:val="normaltextrun"/>
        </w:rPr>
        <w:t xml:space="preserve"> seeds in trees or</w:t>
      </w:r>
      <w:r w:rsidR="002B4F02">
        <w:rPr>
          <w:rStyle w:val="normaltextrun"/>
        </w:rPr>
        <w:t xml:space="preserve"> they may cache (“bury”) seeds for days, weeks, or months and revisit those cache sites to consume seeds </w:t>
      </w:r>
      <w:r w:rsidR="00B20446">
        <w:rPr>
          <w:rStyle w:val="normaltextrun"/>
        </w:rPr>
        <w:fldChar w:fldCharType="begin"/>
      </w:r>
      <w:r w:rsidR="00B20446">
        <w:rPr>
          <w:rStyle w:val="normaltextrun"/>
        </w:rPr>
        <w:instrText xml:space="preserve"> ADDIN ZOTERO_ITEM CSL_CITATION {"citationID":"PlXbvosD","properties":{"formattedCitation":"(Bogdziewicz et al., 2020; Pesendorfer et al., 2016; Vander Wall, 2010)","plainCitation":"(Bogdziewicz et al., 2020; Pesendorfer et al., 2016; Vander Wall, 2010)","noteIndex":0},"citationItems":[{"id":2854,"uris":["http://zotero.org/groups/5634119/items/MJABSAQ9"],"itemData":{"id":2854,"type":"article-journal","abstract":"AbstractNumerous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1365-2745","issue":"3","language":"en","license":"http://onlinelibrary.wiley.com/termsAndConditions#vor","note":"publisher: Wiley","page":"1009-1018","source":"Crossref","title":"Do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E."},{"family":"Zwolak","given":"Rafał"}],"editor":[{"family":"Rees","given":"Mark"}],"issued":{"date-parts":[["2020",5]]}}},{"id":2848,"uris":["http://zotero.org/groups/5634119/items/P3HRTS3R"],"itemData":{"id":2848,"type":"article-journal","container-title":"The Condor","DOI":"10.1650/condor-15-125.1","ISSN":"0010-5422, 1938-5129","issue":"2","language":"en","note":"publisher: Oxford University Press (OUP)","page":"215-237","source":"Crossref","title":"Scatter-hoarding corvids as seed dispersers for oaks and pines: A review of a widely distributed mutualism and its utility to habitat restoration","title-short":"Scatter-hoarding corvids as seed dispersers for oaks and pines","volume":"118","author":[{"family":"Pesendorfer","given":"Mario B."},{"family":"Sillett","given":"T. Scott"},{"family":"Koenig","given":"Walter D."},{"family":"Morrison","given":"Scott A."}],"issued":{"date-parts":[["2016",5]]}}},{"id":2850,"uris":["http://zotero.org/groups/5634119/items/BUIRS83M"],"itemData":{"id":2850,"type":"article-journal","abstract":"Some plants that are dispersed by scatter-hoarding animals appear to have evolved the ability to manipulate the behaviour of those animals to increase the likelihood that seeds and nuts will be stored and that a portion of those items will not be recovered. Plants have achieved this in at least four ways. First, by producing large, nutritious seeds and nuts that are attractive to animals and that stimulate hoarding behaviour. Second, by imposing handling costs that cause animals to hoard rather than to eat items immediately. These handling costs can take one of two forms: physical barriers (e.g. hard seed coats) that take time to remove and secondary chemicals (e.g. tannins) that impose metabolic costs. Third, by masting, where a population of plants synchronizes reproductive effort, producing large nut crops at intervals of several years. Mast crops not only satiate seed predators, but also increase the amount of seed dispersal because scatter-hoarding animals are not easily satiated during caching (causing animals to store more food than they can consume) but are satiated during cache recovery. And fourth, by producing seeds that do not emit strong odours so that buried seeds are less likely to be discovered. These, and perhaps other, traits have increased the relative success of plant species with seeds dispersed by scatter-hoarding animals.","container-title":"Philosophical Transactions of the Royal Society B: Biological Sciences","DOI":"10.1098/rstb.2009.0205","ISSN":"0962-8436, 1471-2970","issue":"1542","journalAbbreviation":"Phil. Trans. R. Soc. B","language":"en","license":"https://royalsociety.org/journals/ethics-policies/data-sharing-mining/","note":"publisher: The Royal Society","page":"989-997","source":"Crossref","title":"How plants manipulate the scatter-hoarding behaviour of seed-dispersing animals","volume":"365","author":[{"family":"Vander Wall","given":"Stephen B."}],"issued":{"date-parts":[["2010",3,27]]}}}],"schema":"https://github.com/citation-style-language/schema/raw/master/csl-citation.json"} </w:instrText>
      </w:r>
      <w:r w:rsidR="00B20446">
        <w:rPr>
          <w:rStyle w:val="normaltextrun"/>
        </w:rPr>
        <w:fldChar w:fldCharType="separate"/>
      </w:r>
      <w:r w:rsidR="00B20446">
        <w:rPr>
          <w:rStyle w:val="normaltextrun"/>
          <w:noProof/>
        </w:rPr>
        <w:t>(Bogdziewicz et al., 2020; Pesendorfer et al., 2016; Vander Wall, 2010)</w:t>
      </w:r>
      <w:r w:rsidR="00B20446">
        <w:rPr>
          <w:rStyle w:val="normaltextrun"/>
        </w:rPr>
        <w:fldChar w:fldCharType="end"/>
      </w:r>
      <w:r w:rsidR="00B20446">
        <w:rPr>
          <w:rStyle w:val="normaltextrun"/>
        </w:rPr>
        <w:t xml:space="preserve">. </w:t>
      </w:r>
      <w:r w:rsidR="002B4F02">
        <w:rPr>
          <w:rStyle w:val="normaltextrun"/>
        </w:rPr>
        <w:t>Finally, s</w:t>
      </w:r>
      <w:r>
        <w:rPr>
          <w:rStyle w:val="normaltextrun"/>
        </w:rPr>
        <w:t xml:space="preserve">eed abundance pulses shape </w:t>
      </w:r>
      <w:r w:rsidR="002B4F02">
        <w:rPr>
          <w:rStyle w:val="normaltextrun"/>
        </w:rPr>
        <w:t xml:space="preserve">future population sizes </w:t>
      </w:r>
      <w:r w:rsidR="000361A4">
        <w:rPr>
          <w:rStyle w:val="normaltextrun"/>
        </w:rPr>
        <w:fldChar w:fldCharType="begin"/>
      </w:r>
      <w:r w:rsidR="005D1761">
        <w:rPr>
          <w:rStyle w:val="normaltextrun"/>
        </w:rPr>
        <w:instrText xml:space="preserve"> ADDIN ZOTERO_ITEM CSL_CITATION {"citationID":"WrC9Q4AB","properties":{"formattedCitation":"(Hallworth et al., 2024)","plainCitation":"(Hallworth et al., 2024)","noteIndex":0},"citationItems":[{"id":2984,"uris":["http://zotero.org/groups/5634119/items/X5434V5E"],"itemData":{"id":2984,"type":"article-journal","abstract":"Abstract\n            \n              Aim\n              \n                Spatiotemporal variation in resource availability is a strong driver of animal distributions. In the northern hardwood and boreal forests of the northeastern United States, tree mast events provide resource pulses that drive the population dynamics of small mammals, including the American red squirrel (\n                Tamiasciurus hudsonicus\n                ), a primary songbird nest predator. This study sought to determine whether mast availability ameliorates their abiotic limits, enabling red squirrel elevational distributions to temporarily expand and negatively impact high‐elevation songbirds.\n              \n            \n            \n              Location\n              Northeastern United States.\n            \n            \n              Methods\n              We used two independent datasets to evaluate our hypotheses. First, we fit a dynamic occupancy model using data from camera trap surveys to evaluate red squirrel distributional responses to pulses in the tree mast. We also assessed population responses using systematic auditory surveys analysed with an open‐population binomial mixture model. Further, we used modelled red squirrel abundance in nest‐survival models to evaluate whether their abundance is correlated with the daily nest survival of three songbird species.\n            \n            \n              Results\n              The tree mast provided a critical resource pulse that resulted in a two‐fold increase in the annual elevational distribution of red squirrels. The elevational distribution of red squirrels ranged from a minimum of ~450 m (range: 663–1145 m asl) following two consecutive years without a masting event to a maximum of over 1000 m (range: 443–1545 m asl) after a large mast event. The daily nest survival of three songbird species tended to decline with an increase in the abundance of red squirrels.\n            \n            \n              Main Conclusions\n              Tree mast is a central biological phenomenon in many temperate and boreal forests. This study reveals how this resource pulse results in range changes in a small mammal that is both a seed and bird predator, as well as prey for many carnivores. Thus, understanding this phenomenon can inform the conservation and management of northern forests, including breeding songbirds.","container-title":"Diversity and Distributions","DOI":"10.1111/ddi.13861","ISSN":"1366-9516, 1472-4642","issue":"8","journalAbbreviation":"Diversity and Distributions","language":"en","page":"e13861","source":"DOI.org (Crossref)","title":"Boom and bust: the effects of masting on seed predator range dynamics and trophic cascades","title-short":"Boom and bust","volume":"30","author":[{"family":"Hallworth","given":"Michael T."},{"family":"Sirén","given":"Alexej P. K."},{"family":"DeLuca","given":"William V."},{"family":"Duclos","given":"Timothy R."},{"family":"McFarland","given":"Kent P."},{"family":"Hill","given":"Jason M."},{"family":"Rimmer","given":"Christopher C."},{"family":"Morelli","given":"Toni Lyn"}],"issued":{"date-parts":[["2024",8]]}}}],"schema":"https://github.com/citation-style-language/schema/raw/master/csl-citation.json"} </w:instrText>
      </w:r>
      <w:r w:rsidR="000361A4">
        <w:rPr>
          <w:rStyle w:val="normaltextrun"/>
        </w:rPr>
        <w:fldChar w:fldCharType="separate"/>
      </w:r>
      <w:r w:rsidR="005D1761">
        <w:rPr>
          <w:rStyle w:val="normaltextrun"/>
          <w:noProof/>
        </w:rPr>
        <w:t>(Hallworth et al., 2024)</w:t>
      </w:r>
      <w:r w:rsidR="000361A4">
        <w:rPr>
          <w:rStyle w:val="normaltextrun"/>
        </w:rPr>
        <w:fldChar w:fldCharType="end"/>
      </w:r>
      <w:r w:rsidR="000361A4">
        <w:rPr>
          <w:rStyle w:val="normaltextrun"/>
        </w:rPr>
        <w:t>.</w:t>
      </w:r>
      <w:r w:rsidR="002B4F02">
        <w:rPr>
          <w:rStyle w:val="normaltextrun"/>
        </w:rPr>
        <w:t xml:space="preserve"> Consequently, in masting systems, </w:t>
      </w:r>
      <w:r w:rsidR="002407CC">
        <w:rPr>
          <w:rStyle w:val="normaltextrun"/>
        </w:rPr>
        <w:t xml:space="preserve">seed availability </w:t>
      </w:r>
      <w:r w:rsidR="002B4F02">
        <w:rPr>
          <w:rStyle w:val="normaltextrun"/>
        </w:rPr>
        <w:t>has</w:t>
      </w:r>
      <w:r w:rsidR="002407CC">
        <w:rPr>
          <w:rStyle w:val="normaltextrun"/>
        </w:rPr>
        <w:t xml:space="preserve"> </w:t>
      </w:r>
      <w:r w:rsidR="00495C69">
        <w:rPr>
          <w:rStyle w:val="normaltextrun"/>
        </w:rPr>
        <w:t>a legacy</w:t>
      </w:r>
      <w:r w:rsidR="002407CC">
        <w:rPr>
          <w:rStyle w:val="normaltextrun"/>
        </w:rPr>
        <w:t xml:space="preserve"> on populations of seed dispersers</w:t>
      </w:r>
      <w:r w:rsidR="005D1761">
        <w:rPr>
          <w:rStyle w:val="normaltextrun"/>
        </w:rPr>
        <w:t xml:space="preserve"> due to multiple mechanisms</w:t>
      </w:r>
      <w:r w:rsidR="00495C69">
        <w:rPr>
          <w:rStyle w:val="normaltextrun"/>
        </w:rPr>
        <w:t xml:space="preserve"> </w:t>
      </w:r>
      <w:r w:rsidR="006366C7">
        <w:rPr>
          <w:rStyle w:val="normaltextrun"/>
        </w:rPr>
        <w:t>which</w:t>
      </w:r>
      <w:r w:rsidR="00495C69">
        <w:rPr>
          <w:rStyle w:val="normaltextrun"/>
        </w:rPr>
        <w:t xml:space="preserve"> can vary across habitat contexts </w:t>
      </w:r>
      <w:r w:rsidR="00495C69">
        <w:rPr>
          <w:rStyle w:val="normaltextrun"/>
        </w:rPr>
        <w:fldChar w:fldCharType="begin"/>
      </w:r>
      <w:r w:rsidR="00495C69">
        <w:rPr>
          <w:rStyle w:val="normaltextrun"/>
        </w:rPr>
        <w:instrText xml:space="preserve"> ADDIN ZOTERO_ITEM CSL_CITATION {"citationID":"tu7LwAx7","properties":{"formattedCitation":"(Gamelon et al., 2017)","plainCitation":"(Gamelon et al., 2017)","noteIndex":0},"citationItems":[{"id":3044,"uris":["http://zotero.org/users/6391447/items/LRKIMZTG"],"itemData":{"id":3044,"type":"article-journal","container-title":"Oecologia","DOI":"10.1007/s00442-017-3821-8","ISSN":"0029-8549,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schema":"https://github.com/citation-style-language/schema/raw/master/csl-citation.json"} </w:instrText>
      </w:r>
      <w:r w:rsidR="00495C69">
        <w:rPr>
          <w:rStyle w:val="normaltextrun"/>
        </w:rPr>
        <w:fldChar w:fldCharType="separate"/>
      </w:r>
      <w:r w:rsidR="00495C69">
        <w:rPr>
          <w:rStyle w:val="normaltextrun"/>
          <w:noProof/>
        </w:rPr>
        <w:t>(Gamelon et al., 2017)</w:t>
      </w:r>
      <w:r w:rsidR="00495C69">
        <w:rPr>
          <w:rStyle w:val="normaltextrun"/>
        </w:rPr>
        <w:fldChar w:fldCharType="end"/>
      </w:r>
      <w:r w:rsidR="00495C69">
        <w:rPr>
          <w:rStyle w:val="normaltextrun"/>
        </w:rPr>
        <w:t>.</w:t>
      </w:r>
    </w:p>
    <w:p w14:paraId="2F218AAB" w14:textId="644A792A" w:rsidR="002B4F02" w:rsidRDefault="00671A01" w:rsidP="002B4F02">
      <w:pPr>
        <w:pStyle w:val="paragraph"/>
        <w:spacing w:before="0" w:beforeAutospacing="0" w:after="0" w:afterAutospacing="0" w:line="480" w:lineRule="auto"/>
        <w:ind w:firstLine="720"/>
        <w:textAlignment w:val="baseline"/>
      </w:pPr>
      <w:r>
        <w:rPr>
          <w:rStyle w:val="normaltextrun"/>
        </w:rPr>
        <w:t>The pinyon</w:t>
      </w:r>
      <w:r w:rsidR="002130E2">
        <w:rPr>
          <w:rStyle w:val="normaltextrun"/>
        </w:rPr>
        <w:t xml:space="preserve"> </w:t>
      </w:r>
      <w:r>
        <w:rPr>
          <w:rStyle w:val="normaltextrun"/>
        </w:rPr>
        <w:t>pine</w:t>
      </w:r>
      <w:r w:rsidR="002130E2">
        <w:rPr>
          <w:rStyle w:val="normaltextrun"/>
        </w:rPr>
        <w:t xml:space="preserve"> (</w:t>
      </w:r>
      <w:r w:rsidR="002130E2">
        <w:rPr>
          <w:rStyle w:val="normaltextrun"/>
          <w:i/>
          <w:iCs/>
        </w:rPr>
        <w:t>Pinus edulis</w:t>
      </w:r>
      <w:r w:rsidR="002130E2">
        <w:rPr>
          <w:rStyle w:val="normaltextrun"/>
        </w:rPr>
        <w:t>)</w:t>
      </w:r>
      <w:r>
        <w:rPr>
          <w:rStyle w:val="normaltextrun"/>
        </w:rPr>
        <w:t xml:space="preserve"> and pinyon</w:t>
      </w:r>
      <w:r w:rsidR="002130E2">
        <w:rPr>
          <w:rStyle w:val="normaltextrun"/>
        </w:rPr>
        <w:t xml:space="preserve"> </w:t>
      </w:r>
      <w:r>
        <w:rPr>
          <w:rStyle w:val="normaltextrun"/>
        </w:rPr>
        <w:t xml:space="preserve">jay </w:t>
      </w:r>
      <w:r w:rsidR="002130E2">
        <w:rPr>
          <w:rStyle w:val="normaltextrun"/>
        </w:rPr>
        <w:t>(</w:t>
      </w:r>
      <w:r w:rsidR="002130E2">
        <w:rPr>
          <w:rStyle w:val="normaltextrun"/>
          <w:i/>
          <w:iCs/>
        </w:rPr>
        <w:t>Gymnorhinus cyanocephalus</w:t>
      </w:r>
      <w:r w:rsidR="002130E2">
        <w:rPr>
          <w:rStyle w:val="normaltextrun"/>
        </w:rPr>
        <w:t xml:space="preserve">) </w:t>
      </w:r>
      <w:r>
        <w:rPr>
          <w:rStyle w:val="normaltextrun"/>
        </w:rPr>
        <w:t xml:space="preserve">mutualism is an iconic example of </w:t>
      </w:r>
      <w:r w:rsidR="00D37BB0">
        <w:rPr>
          <w:rStyle w:val="normaltextrun"/>
        </w:rPr>
        <w:t xml:space="preserve">seed dispersal </w:t>
      </w:r>
      <w:r w:rsidR="002B4F02">
        <w:rPr>
          <w:rStyle w:val="normaltextrun"/>
        </w:rPr>
        <w:t>in a masting system</w:t>
      </w:r>
      <w:r w:rsidR="002130E2">
        <w:rPr>
          <w:rStyle w:val="normaltextrun"/>
        </w:rPr>
        <w:t xml:space="preserve">; </w:t>
      </w:r>
      <w:r w:rsidR="00775082">
        <w:rPr>
          <w:rStyle w:val="normaltextrun"/>
        </w:rPr>
        <w:t xml:space="preserve">in the early 1900’s, Aldo Leopold described the pinyon jay as the “numenon” (essence) of the pinyon juniper ecosystem and </w:t>
      </w:r>
      <w:r>
        <w:rPr>
          <w:rStyle w:val="normaltextrun"/>
        </w:rPr>
        <w:t>reports</w:t>
      </w:r>
      <w:r w:rsidR="002130E2">
        <w:rPr>
          <w:rStyle w:val="normaltextrun"/>
        </w:rPr>
        <w:t xml:space="preserve"> from the 1900s</w:t>
      </w:r>
      <w:r>
        <w:rPr>
          <w:rStyle w:val="normaltextrun"/>
        </w:rPr>
        <w:t xml:space="preserve"> describe flocks of thousands descending upon woodlands during mast years </w:t>
      </w:r>
      <w:r w:rsidR="00775082">
        <w:rPr>
          <w:rStyle w:val="normaltextrun"/>
        </w:rPr>
        <w:fldChar w:fldCharType="begin"/>
      </w:r>
      <w:r w:rsidR="00775082">
        <w:rPr>
          <w:rStyle w:val="normaltextrun"/>
        </w:rPr>
        <w:instrText xml:space="preserve"> ADDIN ZOTERO_ITEM CSL_CITATION {"citationID":"gtdsD2uJ","properties":{"formattedCitation":"(Leopold, 1949)","plainCitation":"(Leopold, 1949)","noteIndex":0},"citationItems":[{"id":3156,"uris":["http://zotero.org/groups/5634119/items/PD82J7WZ"],"itemData":{"id":3156,"type":"book","event-place":"New York usw","ISBN":"978-0-19-500777-0","number-of-pages":"226","publisher":"OUP","publisher-place":"New York usw","source":"K10plus ISBN","title":"A Sand county almanac and sketches here and there","author":[{"family":"Leopold","given":"Aldo"}],"issued":{"date-parts":[["1949"]]}}}],"schema":"https://github.com/citation-style-language/schema/raw/master/csl-citation.json"} </w:instrText>
      </w:r>
      <w:r w:rsidR="00775082">
        <w:rPr>
          <w:rStyle w:val="normaltextrun"/>
        </w:rPr>
        <w:fldChar w:fldCharType="separate"/>
      </w:r>
      <w:r w:rsidR="00775082">
        <w:rPr>
          <w:rStyle w:val="normaltextrun"/>
          <w:noProof/>
        </w:rPr>
        <w:t>(Leopold, 1949)</w:t>
      </w:r>
      <w:r w:rsidR="00775082">
        <w:rPr>
          <w:rStyle w:val="normaltextrun"/>
        </w:rPr>
        <w:fldChar w:fldCharType="end"/>
      </w:r>
      <w:r>
        <w:rPr>
          <w:rStyle w:val="normaltextrun"/>
        </w:rPr>
        <w:t>. H</w:t>
      </w:r>
      <w:r w:rsidR="008B2E16">
        <w:rPr>
          <w:rStyle w:val="normaltextrun"/>
        </w:rPr>
        <w:t>owever</w:t>
      </w:r>
      <w:r w:rsidR="00A328DE">
        <w:rPr>
          <w:rStyle w:val="normaltextrun"/>
        </w:rPr>
        <w:t>,</w:t>
      </w:r>
      <w:r w:rsidR="008B2E16">
        <w:rPr>
          <w:rStyle w:val="normaltextrun"/>
        </w:rPr>
        <w:t xml:space="preserve"> p</w:t>
      </w:r>
      <w:r w:rsidR="006C55E4">
        <w:rPr>
          <w:rStyle w:val="normaltextrun"/>
        </w:rPr>
        <w:t xml:space="preserve">inyon jays have been </w:t>
      </w:r>
      <w:r w:rsidR="00092E59">
        <w:rPr>
          <w:rStyle w:val="normaltextrun"/>
        </w:rPr>
        <w:t xml:space="preserve">broadly </w:t>
      </w:r>
      <w:r w:rsidR="006C55E4">
        <w:rPr>
          <w:rStyle w:val="normaltextrun"/>
        </w:rPr>
        <w:t>declining over the last several decade</w:t>
      </w:r>
      <w:r w:rsidR="00092E59">
        <w:rPr>
          <w:rStyle w:val="normaltextrun"/>
        </w:rPr>
        <w:t>s</w:t>
      </w:r>
      <w:r w:rsidR="00B20446">
        <w:rPr>
          <w:rStyle w:val="normaltextrun"/>
        </w:rPr>
        <w:t xml:space="preserve"> </w:t>
      </w:r>
      <w:r w:rsidR="00B20446">
        <w:rPr>
          <w:rStyle w:val="normaltextrun"/>
        </w:rPr>
        <w:fldChar w:fldCharType="begin"/>
      </w:r>
      <w:r w:rsidR="00B20446">
        <w:rPr>
          <w:rStyle w:val="normaltextrun"/>
        </w:rPr>
        <w:instrText xml:space="preserve"> ADDIN ZOTERO_ITEM CSL_CITATION {"citationID":"QHpaUayp","properties":{"formattedCitation":"(Boone et al., 2018)","plainCitation":"(Boone et al., 2018)","noteIndex":0},"citationItems":[{"id":2748,"uris":["http://zotero.org/groups/5634119/items/YTCPHGE5"],"itemData":{"id":2748,"type":"chapter","abstract":"The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D."},{"family":"Ammon","given":"Elisabeth"},{"family":"Johnson","given":"Kristine"}],"accessed":{"date-parts":[["2024",10,10]]},"issued":{"date-parts":[["2018",9,1]]}}}],"schema":"https://github.com/citation-style-language/schema/raw/master/csl-citation.json"} </w:instrText>
      </w:r>
      <w:r w:rsidR="00B20446">
        <w:rPr>
          <w:rStyle w:val="normaltextrun"/>
        </w:rPr>
        <w:fldChar w:fldCharType="separate"/>
      </w:r>
      <w:r w:rsidR="00B20446">
        <w:rPr>
          <w:rStyle w:val="normaltextrun"/>
          <w:noProof/>
        </w:rPr>
        <w:t>(Boone et al., 2018)</w:t>
      </w:r>
      <w:r w:rsidR="00B20446">
        <w:rPr>
          <w:rStyle w:val="normaltextrun"/>
        </w:rPr>
        <w:fldChar w:fldCharType="end"/>
      </w:r>
      <w:r w:rsidR="002130E2">
        <w:rPr>
          <w:rStyle w:val="normaltextrun"/>
        </w:rPr>
        <w:t>.</w:t>
      </w:r>
      <w:r w:rsidR="00092E59">
        <w:rPr>
          <w:rStyle w:val="normaltextrun"/>
        </w:rPr>
        <w:t xml:space="preserve"> </w:t>
      </w:r>
      <w:r w:rsidR="002130E2">
        <w:rPr>
          <w:rStyle w:val="normaltextrun"/>
        </w:rPr>
        <w:t>T</w:t>
      </w:r>
      <w:r w:rsidR="00092E59">
        <w:rPr>
          <w:rStyle w:val="normaltextrun"/>
        </w:rPr>
        <w:t>he c</w:t>
      </w:r>
      <w:r w:rsidR="006C55E4">
        <w:rPr>
          <w:rStyle w:val="normaltextrun"/>
        </w:rPr>
        <w:t>ause of their decline likely involves a set of drivers, includ</w:t>
      </w:r>
      <w:r w:rsidR="00D37BB0">
        <w:rPr>
          <w:rStyle w:val="normaltextrun"/>
        </w:rPr>
        <w:t>ing</w:t>
      </w:r>
      <w:r w:rsidR="006C55E4">
        <w:rPr>
          <w:rStyle w:val="normaltextrun"/>
        </w:rPr>
        <w:t xml:space="preserve"> climate</w:t>
      </w:r>
      <w:r w:rsidR="00DD62AF">
        <w:rPr>
          <w:rStyle w:val="normaltextrun"/>
        </w:rPr>
        <w:t xml:space="preserve"> </w:t>
      </w:r>
      <w:r w:rsidR="00DD62AF">
        <w:rPr>
          <w:rStyle w:val="normaltextrun"/>
        </w:rPr>
        <w:lastRenderedPageBreak/>
        <w:t>variability</w:t>
      </w:r>
      <w:r w:rsidR="006C55E4">
        <w:rPr>
          <w:rStyle w:val="normaltextrun"/>
        </w:rPr>
        <w:t xml:space="preserve">, habitat </w:t>
      </w:r>
      <w:r w:rsidR="00BE17B6">
        <w:rPr>
          <w:rStyle w:val="normaltextrun"/>
        </w:rPr>
        <w:t>modifications</w:t>
      </w:r>
      <w:r w:rsidR="006C55E4">
        <w:rPr>
          <w:rStyle w:val="normaltextrun"/>
        </w:rPr>
        <w:t xml:space="preserve">, and </w:t>
      </w:r>
      <w:r w:rsidR="00BE17B6">
        <w:rPr>
          <w:rStyle w:val="normaltextrun"/>
        </w:rPr>
        <w:t xml:space="preserve">changes in </w:t>
      </w:r>
      <w:r w:rsidR="006C55E4">
        <w:rPr>
          <w:rStyle w:val="normaltextrun"/>
        </w:rPr>
        <w:t>food resource availability</w:t>
      </w:r>
      <w:r w:rsidR="00942FE3">
        <w:rPr>
          <w:rStyle w:val="normaltextrun"/>
        </w:rPr>
        <w:t xml:space="preserve"> </w:t>
      </w:r>
      <w:r w:rsidR="00942FE3">
        <w:rPr>
          <w:rStyle w:val="normaltextrun"/>
        </w:rPr>
        <w:fldChar w:fldCharType="begin"/>
      </w:r>
      <w:r w:rsidR="00B20446">
        <w:rPr>
          <w:rStyle w:val="normaltextrun"/>
        </w:rPr>
        <w:instrText xml:space="preserve"> ADDIN ZOTERO_ITEM CSL_CITATION {"citationID":"N53SH96h","properties":{"formattedCitation":"(Boone et al., 2018; Sicich et al., 2025; Van Lanen et al., 2023)","plainCitation":"(Boone et al., 2018; Sicich et al., 2025;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3116,"uris":["http://zotero.org/groups/5634119/items/J4DGNMTY"],"itemData":{"id":3116,"type":"article-journal","abstract":"Abstract\n            Identifying habitat associations that vary by season or in response to environmental conditions is vital for conserving declining species. Gymnorhinus cyanocephalus (Pinyon Jay) has declined significantly compared to other species inhabiting conifer woodlands in the western United States. Although this species is strongly associated with pinyon pines (Pinus spp.) for nesting colonies and pinyon nuts as a food resource, less is known about habitat types that are important for foraging during the breeding season. We assessed the effects of habitat characteristics on the selection of foraging habitat by G. cyanocephalus in south-central New Mexico during the breeding seasons of 2021–2022 at 2 spatial scales: (1) locations where birds were observed foraging compared to random locations (“site” scale) and (2) centralized foraging locations for a nest colony compared to random areas within a landscape (“landscape” scale). We found that at the site scale, G. cyanocephalus selected foraging locations that were farther from the forest edge and had higher abundances of arthropods than random locations. At the landscape scale, G. cyanocephalus selected foraging areas featuring higher herbaceous cover. Our results suggest that conservation efforts for G. cyanocephalus should focus on identifying heterogeneous habitat that supports varying habitat needs throughout the annual cycle, including intact pinyon-juniper stands for nesting and open areas dominated by herbaceous cover for foraging during the breeding season. Given the declines in pinyon pines, in part likely due to climate change and reduced mast years for pinyon nuts, it is crucial to explore alternative foraging habitats and food resources for the conservation of this species.","container-title":"Ornithological Applications","DOI":"10.1093/ornithapp/duaf046","ISSN":"0010-5422, 2732-4621","language":"en","license":"https://academic.oup.com/journals/pages/open_access/funder_policies/chorus/standard_publication_model","page":"duaf046","source":"DOI.org (Crossref)","title":"Open spaces and arthropod abundance are important foraging habitat components for &lt;i&gt;Gymnorhinus cyanocephalus&lt;/i&gt; (Pinyon Jay) in south-central New Mexico","author":[{"family":"Sicich","given":"Bianca"},{"family":"Young","given":"Aaron C"},{"family":"Bundy","given":"C Scott"},{"family":"Abadi","given":"Fitsum"},{"family":"Desmond","given":"Martha J"}],"issued":{"date-parts":[["2025",7,11]]}}},{"id":2767,"uris":["http://zotero.org/groups/5634119/items/SFTJSXEN"],"itemData":{"id":2767,"type":"article-journal","container-title":"Biological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942FE3">
        <w:rPr>
          <w:rStyle w:val="normaltextrun"/>
        </w:rPr>
        <w:fldChar w:fldCharType="separate"/>
      </w:r>
      <w:r w:rsidR="00B20446">
        <w:rPr>
          <w:rStyle w:val="normaltextrun"/>
          <w:noProof/>
        </w:rPr>
        <w:t>(Boone et al., 2018; Sicich et al., 2025; Van Lanen et al., 2023)</w:t>
      </w:r>
      <w:r w:rsidR="00942FE3">
        <w:rPr>
          <w:rStyle w:val="normaltextrun"/>
        </w:rPr>
        <w:fldChar w:fldCharType="end"/>
      </w:r>
      <w:r w:rsidR="006C55E4">
        <w:rPr>
          <w:rStyle w:val="normaltextrun"/>
        </w:rPr>
        <w:t xml:space="preserve">. </w:t>
      </w:r>
      <w:r w:rsidR="00A328DE">
        <w:rPr>
          <w:rStyle w:val="normaltextrun"/>
        </w:rPr>
        <w:t xml:space="preserve">As evidence of this third causal agent, </w:t>
      </w:r>
      <w:r w:rsidR="008B2E16">
        <w:rPr>
          <w:rStyle w:val="normaltextrun"/>
        </w:rPr>
        <w:t xml:space="preserve">the </w:t>
      </w:r>
      <w:r w:rsidR="006C55E4">
        <w:rPr>
          <w:rStyle w:val="normaltextrun"/>
        </w:rPr>
        <w:t xml:space="preserve">pinyon pine has </w:t>
      </w:r>
      <w:r w:rsidR="00D37BB0">
        <w:rPr>
          <w:rStyle w:val="normaltextrun"/>
        </w:rPr>
        <w:t xml:space="preserve">also </w:t>
      </w:r>
      <w:r w:rsidR="006C55E4">
        <w:rPr>
          <w:rStyle w:val="normaltextrun"/>
        </w:rPr>
        <w:t>faced recent large-scale mortality</w:t>
      </w:r>
      <w:r w:rsidR="00DD62AF">
        <w:rPr>
          <w:rStyle w:val="normaltextrun"/>
        </w:rPr>
        <w:t xml:space="preserve">, </w:t>
      </w:r>
      <w:r w:rsidR="006C55E4">
        <w:rPr>
          <w:rStyle w:val="normaltextrun"/>
        </w:rPr>
        <w:t>with limited regeneration and reduced seed production of the surviving trees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{"citationID":"5DToPsPN","properties":{"formattedCitation":"(Breshears et al., 2005; Meddens et al., 2015; Redmond et al., 2012, 2018; Shaw et al., 2005; Wion et al., 2025)","plainCitation":"(Breshears et al., 2005; Meddens et al., 2015; Redmond et al., 2012, 2018; Shaw et al., 2005; Wion et al., 2025)","noteIndex":0},"citationItems":[{"id":2967,"uris":["http://zotero.org/groups/5634119/items/XUACEC5I"],"itemData":{"id":2967,"type":"article-journal","abstract":"Future drought is projected to occur under warmer temperature conditions as climate change progresses, referred to here as global-change-type drought, yet quantitative assessments of the triggers and potential extent of drought-induced vegetation die-off remain pivotal uncertainties in assessing climate-change impacts. Of particular concern is regional-scale mortality of overstory trees, which rapidly alters ecosystem type, associated ecosystem properties, and land surface conditions for decades. Here, we quantify regional-scale vegetation die-off across southwestern North American woodlands in 2002-2003 in response to drought and associated bark beetle infestations. At an intensively studied site within the region, we quantified that after 15 months of depleted soil water content, &gt;90% of the dominant, overstory tree species (\n              Pinus edulis\n              , a piñon) died. The die-off was reflected in changes in a remotely sensed index of vegetation greenness (Normalized Difference Vegetation Index), not only at the intensively studied site but also across the region, extending over 12,000 km\n              2\n              or more; aerial and field surveys confirmed the general extent of the die-off. Notably, the recent drought was warmer than the previous subcontinental drought of the 1950s. The limited, available observations suggest that die-off from the recent drought was more extensive than that from the previous drought, extending into wetter sites within the tree species' distribution. Our results quantify a trigger leading to rapid, drought-induced die-off of overstory woody plants at subcontinental scale and highlight the potential for such die-off to be more severe and extensive for future global-change-type drought under warmer conditions.","container-title":"Proceedings of the National Academy of Sciences","DOI":"10.1073/pnas.0505734102","ISSN":"0027-8424, 1091-6490","issue":"42","journalAbbreviation":"Proc. Natl. Acad. Sci. U.S.A.","language":"en","page":"15144-15148","source":"DOI.org (Crossref)","title":"Regional vegetation die-off in response to global-change-type drought","volume":"102","author":[{"family":"Breshears","given":"David D."},{"family":"Cobb","given":"Neil S."},{"family":"Rich","given":"Paul M."},{"family":"Price","given":"Kevin P."},{"family":"Allen","given":"Craig D."},{"family":"Balice","given":"Randy G."},{"family":"Romme","given":"William H."},{"family":"Kastens","given":"Jude H."},{"family":"Floyd","given":"M. Lisa"},{"family":"Belnap","given":"Jayne"},{"family":"Anderson","given":"Jesse J."},{"family":"Myers","given":"Orrin B."},{"family":"Meyer","given":"Clifton W."}],"issued":{"date-parts":[["2005",10,18]]}}},{"id":2966,"uris":["http://zotero.org/groups/5634119/items/DJVJ9458"],"itemData":{"id":2966,"type":"article-journal","abstract":"Summary\n            Recently, widespread piñon pine die‐off occurred in the southwestern United States. Here we synthesize observational studies of this event and compare findings to expected relationships with biotic and abiotic factors. Agreement exists on the occurrence of drought, presence of bark beetles and increased mortality of larger trees. However, studies disagree about the influences of stem density, elevation and other factors, perhaps related to study design, location and impact of extreme drought. Detailed information about bark beetles is seldom reported and their role is poorly understood. Our analysis reveals substantial limits to our knowledge regarding the processes that produce mortality patterns across space and time, indicating a poor ability to forecast mortality in response to expected increases in future droughts.\n            \n              \n                \n                  \n                  \n                  \n                  \n                    \n                      \n                      Contents\n                      \n                    \n                  \n                  \n                    \n                      \n                      Summary\n                      91\n                    \n                    \n                      I.\n                      \n                        Introduction\n                      \n                      91\n                    \n                    \n                      II.\n                      \n                        Mortality mechanisms\n                      \n                      92\n                    \n                    \n                      III.\n                      \n                        Methods\n                      \n                      92\n                    \n                    \n                      IV.\n                      \n                        Results\n                      \n                      92\n                    \n                    \n                      V.\n                      \n                        Discussion\n                      \n                      94\n                    \n                    \n                      VI.\n                      \n                        Conclusions\n                      \n                      96\n                    \n                    \n                      \n                      \n                        Acknowledgements\n                      \n                      96\n                    \n                    \n                      \n                      \n                        References\n                      \n                      96","container-title":"New Phytologist","DOI":"10.1111/nph.13193","ISSN":"0028-646X, 1469-8137","issue":"1","journalAbbreviation":"New Phytologist","language":"en","license":"http://onlinelibrary.wiley.com/termsAndConditions#am","page":"91-97","source":"DOI.org (Crossref)","title":"Patterns and causes of observed piñon pine mortality in the southwestern United States","volume":"206","author":[{"family":"Meddens","given":"Arjan J. H."},{"family":"Hicke","given":"Jeffrey A."},{"family":"Macalady","given":"Alison K."},{"family":"Buotte","given":"Polly C."},{"family":"Cowles","given":"Travis R."},{"family":"Allen","given":"Craig D."}],"issued":{"date-parts":[["2015",4]]}}},{"id":2972,"uris":["http://zotero.org/groups/5634119/items/7M2FKU8S"],"itemData":{"id":2972,"type":"article-journal","abstract":"Global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N."}],"issued":{"date-parts":[["2012",12]]}}},{"id":2969,"uris":["http://zotero.org/groups/5634119/items/SB5NU96H"],"itemData":{"id":2969,"type":"article-journal","abstract":"Abstract\n            \n              \n                \n                  Drought events occurring under warmer temperatures (i.e. “hotter droughts”) have resulted in widespread tree mortality across the globe, and may result in biome‐level vegetation shifts to alternate vegetation types if there is a failure of trees to regenerate. We investigated how overstorey trees, understorey vegetation, and local climatic and edaphic conditions interact to influence tree regeneration, a key prerequisite for resilience, in a region that has experienced severe overstorey tree mortality due to hotter droughts and beetle infestations.\n                \n                \n                  \n                    We used detailed field observations from 142 sites that spanned a broad range of environmental conditions to evaluate the effects of climate and recent tree mortality on tree regeneration dynamics in the spatially extensive piñon (\n                    Pinus edulis\n                    )‐juniper (\n                    Juniperus osteosperma, Juniperus monosperma)\n                    woodland vegetation type of the southwestern\n                    USA\n                    . We used a structural equation modelling framework to identify how tree mortality and local climatic and edaphic conditions affect piñon and juniper regeneration and electivity analyses to quantify the species‐specific associations of tree juveniles with overstorey trees and understorey shrubs.\n                  \n                \n                \n                  Piñon regeneration appears to be strongly dependent upon advanced regeneration, (i.e. the survival of juvenile trees that established prior to the mortality event), the survival of adult seed‐bearing trees (inferred from basal area of surviving trees) and the facilitative effects of overstorey trees for providing favourable microsites for seedling establishment. Model results suggest that local edaphoclimatic conditions directly affected piñon and juniper regeneration, such that stands with hotter, drier local climatic conditions and lower soil available water capacity had limited tree regeneration following large‐scale dieback.\n                \n                \n                  \n                    Synthesis\n                    . We identify four indicators of resilience to hotter drought conditions: (1) abundant advance regeneration of tree seedlings; (2) sufficient canopy cover for survival of emergent seedlings and existing regeneration; (3) sufficient seed source from surviving trees with high reproductive output; (4) areas with cooler and wetter local climates and greater soil available water capacity. In the absence of these conditions, there is greater likelihood of woodlands transitioning to more xeric vegetation types following dieback.","container-title":"Journal of Ecology","DOI":"10.1111/1365-2745.12880","ISSN":"0022-0477, 1365-2745","issue":"2","journalAbbreviation":"Journal of Ecology","language":"en","license":"http://onlinelibrary.wiley.com/termsAndConditions#vor","page":"625-639","source":"DOI.org (Crossref)","title":"Woodland resilience to regional drought: Dominant controls on tree regeneration following overstorey mortality","title-short":"Woodland resilience to regional drought","volume":"106","author":[{"family":"Redmond","given":"Miranda D."},{"family":"Weisberg","given":"Peter J."},{"family":"Cobb","given":"Neil S."},{"family":"Clifford","given":"Michael J."}],"editor":[{"family":"Bellingham","given":"Peter"}],"issued":{"date-parts":[["2018",3]]}}},{"id":2971,"uris":["http://zotero.org/groups/5634119/items/Y9DU2YX5"],"itemData":{"id":2971,"type":"article-journal","abstract":"Abstract\n            Widespread mortality in the pinyon-juniper forest type is associated with several years of drought in the southwestern United States. A complex of drought, insects, and disease is responsible for pinyon mortality rates approaching 100% in some areas, while other areas have experienced little or no mortality. Implementation of the Forest Inventory and Analysis (FIA) annual inventory in several states coincided with the onset of elevated mortality rates. Adjunct inventories provided supplemental data on damaging agents. Preliminary analysis reveals the status and trends of mortality in pinyon-juniper woodlands.","container-title":"Journal of Forestry","DOI":"10.1093/jof/103.6.280","ISSN":"0022-1201, 1938-3746","issue":"6","language":"en","page":"280-285","source":"DOI.org (Crossref)","title":"Forest Inventory and Analysis (FIA) Annual Inventory Answers the Question: What Is Happening to Pinyon-Juniper Woodlands?","title-short":"Forest Inventory and Analysis (FIA) Annual Inventory Answers the Question","volume":"103","author":[{"family":"Shaw","given":"John D."},{"family":"Steed","given":"Brytten E."},{"family":"DeBlander","given":"Larry T."}],"issued":{"date-parts":[["2005",9,1]]}}},{"id":2858,"uris":["http://zotero.org/groups/5634119/items/5C7JLPYL"],"itemData":{"id":2858,"type":"article-journal","abstract":"SummaryPredicting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942FE3">
        <w:rPr>
          <w:rStyle w:val="normaltextrun"/>
        </w:rPr>
        <w:fldChar w:fldCharType="separate"/>
      </w:r>
      <w:r w:rsidR="00942FE3">
        <w:rPr>
          <w:rStyle w:val="normaltextrun"/>
          <w:noProof/>
        </w:rPr>
        <w:t>(Breshears et al., 2005; Meddens et al., 2015; Redmond et al., 2012, 2018; Shaw et al., 2005; Wion et al., 2025)</w:t>
      </w:r>
      <w:r w:rsidR="00942FE3">
        <w:rPr>
          <w:rStyle w:val="normaltextrun"/>
        </w:rPr>
        <w:fldChar w:fldCharType="end"/>
      </w:r>
      <w:r w:rsidR="006C55E4">
        <w:rPr>
          <w:rStyle w:val="normaltextrun"/>
        </w:rPr>
        <w:t xml:space="preserve">. </w:t>
      </w:r>
      <w:r w:rsidR="002407CC">
        <w:rPr>
          <w:rStyle w:val="normaltextrun"/>
        </w:rPr>
        <w:t>The concurrent declines in this system are not unique: c</w:t>
      </w:r>
      <w:r w:rsidR="008101C6">
        <w:rPr>
          <w:rStyle w:val="normaltextrun"/>
        </w:rPr>
        <w:t xml:space="preserve">hanges in climate </w:t>
      </w:r>
      <w:r w:rsidR="00DD62AF">
        <w:rPr>
          <w:rStyle w:val="normaltextrun"/>
        </w:rPr>
        <w:t xml:space="preserve">are shaping </w:t>
      </w:r>
      <w:r w:rsidR="008101C6">
        <w:rPr>
          <w:rStyle w:val="normaltextrun"/>
        </w:rPr>
        <w:t>masting dynamics</w:t>
      </w:r>
      <w:r w:rsidR="00DD62AF">
        <w:rPr>
          <w:rStyle w:val="normaltextrun"/>
        </w:rPr>
        <w:t xml:space="preserve"> </w:t>
      </w:r>
      <w:r w:rsidR="00203A94">
        <w:rPr>
          <w:rStyle w:val="normaltextrun"/>
        </w:rPr>
        <w:t xml:space="preserve">globally </w:t>
      </w:r>
      <w:r w:rsidR="00DD62AF">
        <w:rPr>
          <w:rStyle w:val="normaltextrun"/>
        </w:rPr>
        <w:t>in</w:t>
      </w:r>
      <w:r w:rsidR="006366C7">
        <w:rPr>
          <w:rStyle w:val="normaltextrun"/>
        </w:rPr>
        <w:t xml:space="preserve"> </w:t>
      </w:r>
      <w:r w:rsidR="00DD62AF">
        <w:rPr>
          <w:rStyle w:val="normaltextrun"/>
        </w:rPr>
        <w:t>ways</w:t>
      </w:r>
      <w:r w:rsidR="008B2E16">
        <w:rPr>
          <w:rStyle w:val="normaltextrun"/>
        </w:rPr>
        <w:t xml:space="preserve"> that </w:t>
      </w:r>
      <w:r w:rsidR="008266CE">
        <w:rPr>
          <w:rStyle w:val="normaltextrun"/>
        </w:rPr>
        <w:t>will likely alter seed dispersal interactions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{"citationID":"AptN3Tnb","properties":{"formattedCitation":"(Hacket-Pain &amp; Bogdziewicz, 2021)","plainCitation":"(Hacket-Pain &amp; Bogdziewicz, 2021)","noteIndex":0},"citationItems":[{"id":3024,"uris":["http://zotero.org/groups/5634119/items/IZCAXP26"],"itemData":{"id":3024,"type":"article-journal","abstract":"Climate change is reshaping global vegetation through its impacts on plant mortality, but recruitment creates the next generation of plants and will determine the structure and composition of future communities. Recruitment depends on mean seed production, but also on the interannual variability and among-plant synchrony in seed production, the phenomenon known as mast seeding. Thus, predicting the long-term response of global vegetation dynamics to climate change requires understanding the response of masting to changing climate. Recently, data and methods have become available allowing the first assessments of long-term changes in masting. Reviewing the literature, we evaluate evidence for a fingerprint of climate change on mast seeding and discuss the drivers and impacts of these changes. We divide our discussion into the main characteristics of mast seeding: interannual variation, synchrony, temporal autocorrelation and mast frequency. Data indicate that masting patterns are changing but the direction of that change varies, likely reflecting the diversity of proximate factors underlying masting across taxa. Experiments to understand the proximate mechanisms underlying masting, in combination with the analysis of long-term datasets, will enable us to understand this observed variability in the response of masting. This will allow us to predict future shifts in masting patterns, and consequently ecosystem impacts of climate change via its impacts on masting.\n            This article is part of the theme issue ‘The ecology and evolution of synchronized seed production in plants’.","container-title":"Philosophical Transactions of the Royal Society B: Biological Sciences","DOI":"10.1098/rstb.2020.0379","ISSN":"0962-8436, 1471-2970","issue":"1839","journalAbbreviation":"Phil. Trans. R. Soc. B","language":"en","page":"20200379","source":"DOI.org (Crossref)","title":"Climate change and plant reproduction: trends and drivers of mast seeding change","title-short":"Climate change and plant reproduction","volume":"376","author":[{"family":"Hacket-Pain","given":"Andrew"},{"family":"Bogdziewicz","given":"Michał"}],"issued":{"date-parts":[["2021",12,6]]}}}],"schema":"https://github.com/citation-style-language/schema/raw/master/csl-citation.json"} </w:instrText>
      </w:r>
      <w:r w:rsidR="00942FE3">
        <w:rPr>
          <w:rStyle w:val="normaltextrun"/>
        </w:rPr>
        <w:fldChar w:fldCharType="separate"/>
      </w:r>
      <w:r w:rsidR="00942FE3">
        <w:rPr>
          <w:rStyle w:val="normaltextrun"/>
          <w:noProof/>
        </w:rPr>
        <w:t>(Hacket-Pain &amp; Bogdziewicz, 2021)</w:t>
      </w:r>
      <w:r w:rsidR="00942FE3">
        <w:rPr>
          <w:rStyle w:val="normaltextrun"/>
        </w:rPr>
        <w:fldChar w:fldCharType="end"/>
      </w:r>
      <w:r w:rsidR="009C1715">
        <w:rPr>
          <w:rStyle w:val="normaltextrun"/>
        </w:rPr>
        <w:t xml:space="preserve">. </w:t>
      </w:r>
      <w:r w:rsidR="00A61BB6">
        <w:rPr>
          <w:rStyle w:val="normaltextrun"/>
        </w:rPr>
        <w:t>Greater understanding of the mechanisms and patterns of</w:t>
      </w:r>
      <w:r w:rsidR="002407CC">
        <w:rPr>
          <w:rStyle w:val="normaltextrun"/>
        </w:rPr>
        <w:t xml:space="preserve"> these changes may help predict or curb </w:t>
      </w:r>
      <w:r w:rsidR="009C1715">
        <w:rPr>
          <w:rStyle w:val="normaltextrun"/>
        </w:rPr>
        <w:t xml:space="preserve">large-scale population declines for </w:t>
      </w:r>
      <w:r w:rsidR="006D050D">
        <w:rPr>
          <w:rStyle w:val="normaltextrun"/>
        </w:rPr>
        <w:t xml:space="preserve">both masting trees and </w:t>
      </w:r>
      <w:r w:rsidR="00495C69">
        <w:rPr>
          <w:rStyle w:val="normaltextrun"/>
        </w:rPr>
        <w:t>seed dispersers</w:t>
      </w:r>
      <w:r w:rsidR="006D050D">
        <w:rPr>
          <w:rStyle w:val="normaltextrun"/>
        </w:rPr>
        <w:t xml:space="preserve"> </w:t>
      </w:r>
      <w:r w:rsidR="00B20446">
        <w:rPr>
          <w:rStyle w:val="normaltextrun"/>
        </w:rPr>
        <w:fldChar w:fldCharType="begin"/>
      </w:r>
      <w:r w:rsidR="00611FF5">
        <w:rPr>
          <w:rStyle w:val="normaltextrun"/>
        </w:rPr>
        <w:instrText xml:space="preserve"> ADDIN ZOTERO_ITEM CSL_CITATION {"citationID":"0BAqTTnk","properties":{"formattedCitation":"(Foest et al., 2024; Mcshea et al., 2007)","plainCitation":"(Foest et al., 2024; Mcshea et al., 2007)","dontUpdate":true,"noteIndex":0},"citationItems":[{"id":3144,"uris":["http://zotero.org/groups/5634119/items/J8XUGFP4"],"itemData":{"id":3144,"type":"article-journal","abstract":"Abstract\n            Climate change effects on tree reproduction are poorly understood, even though the resilience of populations relies on sufficient regeneration to balance increasing rates of mortality. Forest‐forming tree species often mast, i.e. reproduce through synchronised year‐to‐year variation in seed production, which improves pollination and reduces seed predation. Recent observations in European beech show, however, that current climate change can dampen interannual variation and synchrony of seed production and that this masting breakdown drastically reduces the viability of seed crops. Importantly, it is unclear under which conditions masting breakdown occurs and how widespread breakdown is in this pan‐European species. Here, we analysed 50 long‐term datasets of population‐level seed production, sampled across the distribution of European beech, and identified increasing summer temperatures as the general driver of masting breakdown. Specifically, increases in site‐specific mean maximum temperatures during June and July were observed across most of the species range, while the interannual variability of population‐level seed production (CVp) decreased. The declines in CVp were greatest, where temperatures increased most rapidly. Additionally, the occurrence of crop failures and low seed years has decreased during the last four decades, signalling altered starvation effects of masting on seed predators. Notably, CVp did not vary among sites according to site mean summer temperature. Instead, masting breakdown occurs in response to warming local temperatures (i.e. increasing relative temperatures), such that the risk is not restricted to populations growing in warm average conditions. As lowered CVp can reduce viable seed production despite the overall increase in seed count, our results warn that a covert mechanism is underway that may hinder the regeneration potential of European beech under climate change, with great potential to alter forest functioning and community dynamics.","container-title":"Global Change Biology","DOI":"10.1111/gcb.17307","ISSN":"1354-1013, 1365-2486","issue":"5","journalAbbreviation":"Global Change Biology","language":"en","page":"e17307","source":"DOI.org (Crossref)","title":"Widespread breakdown in masting in European beech due to rising summer temperatures","volume":"30","author":[{"family":"Foest","given":"Jessie J."},{"family":"Bogdziewicz","given":"Michał"},{"family":"Pesendorfer","given":"Mario B."},{"family":"Ascoli","given":"Davide"},{"family":"Cutini","given":"Andrea"},{"family":"Nussbaumer","given":"Anita"},{"family":"Verstraeten","given":"Arne"},{"family":"Beudert","given":"Burkhard"},{"family":"Chianucci","given":"Francesco"},{"family":"Mezzavilla","given":"Francesco"},{"family":"Gratzer","given":"Georg"},{"family":"Kunstler","given":"Georges"},{"family":"Meesenburg","given":"Henning"},{"family":"Wagner","given":"Markus"},{"family":"Mund","given":"Martina"},{"family":"Cools","given":"Nathalie"},{"family":"Vacek","given":"Stanislav"},{"family":"Schmidt","given":"Wolfgang"},{"family":"Vacek","given":"Zdeněk"},{"family":"Hacket‐Pain","given":"Andrew"}],"issued":{"date-parts":[["2024",5]]}}},{"id":3146,"uris":["http://zotero.org/groups/5634119/items/VA953K5L"],"itemData":{"id":3146,"type":"article-journal","abstract":"Abstract:\n              Acom production by oaks (\n              Quercus\n              spp.) is an important food resource for wildlife in many deciduous forests. Its role as a hard mast crop that can be either stored or used to build fat reserves for winter survival cannot be replaced by most other potential foods. Changes in forest management, introduced pests and pathogens, and increased deer populations have resulted in significant changes in the demography of oaks in eastern North America, as evident in Forest Inventory and Analysis data. Specifically, maples (\n              Acer\n              spp.) are replacing oaks in many forests through dominance of the younger age classes. These changes are not yet obvious in mast production but will take decades to reverse. Effective forest management for mast production is arguably one of the more important tasks facing wildlife professionals, yet receives scant attention by both public and private land managers. Public forests need to explicitly include mast production in their forest planning and reduce adversarial relationships over forest management. Market forces are driving commercial forests toward forest certification. Private forests compose 80% of our oak forests and are the hardest group to influence. States have not been able to effectively market forest plans and we recommend joining with advocacy groups more adept at motivating the public. Increased communication between wildlife and forestry professionals is needed through agency restructuring and joint meetings of professional agencies at the state level. Professional wildlife and forest managers are encouraged to make increased use of monitoring data and form a multiagency cooperative using a joint venture model, which has been successful for other organizations.","container-title":"The Journal of Wildlife Management","DOI":"10.2193/2006-169","ISSN":"0022-541X, 1937-2817","issue":"5","journalAbbreviation":"J Wildl Manag","language":"en","page":"1717-1728","source":"DOI.org (Crossref)","title":"Forestry Matters: Decline of Oaks Will Impact Wildlife in Hardwood Forests","title-short":"Forestry Matters","volume":"71","author":[{"family":"Mcshea","given":"William J."},{"family":"Healy","given":"William M."},{"family":"Devers","given":"Patrick"},{"family":"Fearer","given":"Todd"},{"family":"Koch","given":"Frank H."},{"family":"Stauffer","given":"Dean"},{"family":"Waldon","given":"Jeff"}],"issued":{"date-parts":[["2007",7]]}}}],"schema":"https://github.com/citation-style-language/schema/raw/master/csl-citation.json"} </w:instrText>
      </w:r>
      <w:r w:rsidR="00B20446">
        <w:rPr>
          <w:rStyle w:val="normaltextrun"/>
        </w:rPr>
        <w:fldChar w:fldCharType="separate"/>
      </w:r>
      <w:r w:rsidR="00B20446">
        <w:rPr>
          <w:rStyle w:val="normaltextrun"/>
          <w:noProof/>
        </w:rPr>
        <w:t>(e.g., Foest et al., 2024; Mcshea et al., 2007)</w:t>
      </w:r>
      <w:r w:rsidR="00B20446">
        <w:rPr>
          <w:rStyle w:val="normaltextrun"/>
        </w:rPr>
        <w:fldChar w:fldCharType="end"/>
      </w:r>
      <w:r w:rsidR="00B20446">
        <w:rPr>
          <w:rStyle w:val="normaltextrun"/>
        </w:rPr>
        <w:t>.</w:t>
      </w:r>
      <w:r w:rsidR="002407CC">
        <w:rPr>
          <w:rStyle w:val="normaltextrun"/>
        </w:rPr>
        <w:t xml:space="preserve"> </w:t>
      </w:r>
    </w:p>
    <w:p w14:paraId="073A1D31" w14:textId="283DBE9D" w:rsidR="006C55E4" w:rsidRPr="002407CC" w:rsidRDefault="006C55E4" w:rsidP="002B4F02">
      <w:pPr>
        <w:pStyle w:val="paragraph"/>
        <w:spacing w:before="0" w:beforeAutospacing="0" w:after="0" w:afterAutospacing="0" w:line="480" w:lineRule="auto"/>
        <w:ind w:firstLine="720"/>
        <w:textAlignment w:val="baseline"/>
      </w:pPr>
      <w:r w:rsidRPr="00C51F3D">
        <w:rPr>
          <w:rStyle w:val="normaltextrun"/>
        </w:rPr>
        <w:t>In this study,</w:t>
      </w:r>
      <w:r>
        <w:rPr>
          <w:rStyle w:val="normaltextrun"/>
        </w:rPr>
        <w:t xml:space="preserve"> we </w:t>
      </w:r>
      <w:r w:rsidR="00464FBB">
        <w:rPr>
          <w:rStyle w:val="normaltextrun"/>
        </w:rPr>
        <w:t xml:space="preserve">quantify </w:t>
      </w:r>
      <w:r w:rsidR="008101C6">
        <w:rPr>
          <w:rStyle w:val="normaltextrun"/>
        </w:rPr>
        <w:t>the</w:t>
      </w:r>
      <w:r w:rsidR="00464FBB">
        <w:rPr>
          <w:rStyle w:val="normaltextrun"/>
        </w:rPr>
        <w:t xml:space="preserve"> </w:t>
      </w:r>
      <w:r w:rsidR="008101C6">
        <w:rPr>
          <w:rStyle w:val="normaltextrun"/>
        </w:rPr>
        <w:t xml:space="preserve">relationship between </w:t>
      </w:r>
      <w:r>
        <w:rPr>
          <w:rStyle w:val="normaltextrun"/>
        </w:rPr>
        <w:t xml:space="preserve">pinyon jay and pinyon </w:t>
      </w:r>
      <w:r w:rsidR="00464FBB">
        <w:rPr>
          <w:rStyle w:val="normaltextrun"/>
        </w:rPr>
        <w:t>pine</w:t>
      </w:r>
      <w:r w:rsidR="00092E59">
        <w:rPr>
          <w:rStyle w:val="normaltextrun"/>
        </w:rPr>
        <w:t xml:space="preserve"> </w:t>
      </w:r>
      <w:r w:rsidR="00464FBB">
        <w:rPr>
          <w:rStyle w:val="normaltextrun"/>
        </w:rPr>
        <w:t>cone production</w:t>
      </w:r>
      <w:r w:rsidR="006D050D">
        <w:rPr>
          <w:rStyle w:val="normaltextrun"/>
        </w:rPr>
        <w:t xml:space="preserve"> by leveraging</w:t>
      </w:r>
      <w:r w:rsidR="002407CC">
        <w:rPr>
          <w:rStyle w:val="normaltextrun"/>
        </w:rPr>
        <w:t xml:space="preserve"> </w:t>
      </w:r>
      <w:r w:rsidR="00A61BB6">
        <w:rPr>
          <w:rStyle w:val="normaltextrun"/>
        </w:rPr>
        <w:t>two</w:t>
      </w:r>
      <w:r w:rsidR="000F1361">
        <w:rPr>
          <w:rStyle w:val="normaltextrun"/>
        </w:rPr>
        <w:t xml:space="preserve"> </w:t>
      </w:r>
      <w:r w:rsidR="00A61BB6">
        <w:rPr>
          <w:rStyle w:val="normaltextrun"/>
        </w:rPr>
        <w:t>broad-scale, long-term datasets from the pinyon pine-pinyon jay system. We combine a large</w:t>
      </w:r>
      <w:r w:rsidR="002407CC">
        <w:rPr>
          <w:rStyle w:val="normaltextrun"/>
        </w:rPr>
        <w:t xml:space="preserve"> (~800,000 observations) </w:t>
      </w:r>
      <w:r w:rsidR="006D050D">
        <w:rPr>
          <w:rStyle w:val="normaltextrun"/>
        </w:rPr>
        <w:t xml:space="preserve">eBird </w:t>
      </w:r>
      <w:r w:rsidR="002407CC">
        <w:rPr>
          <w:rStyle w:val="normaltextrun"/>
        </w:rPr>
        <w:t>dataset</w:t>
      </w:r>
      <w:r w:rsidR="006D050D">
        <w:rPr>
          <w:rStyle w:val="normaltextrun"/>
        </w:rPr>
        <w:t xml:space="preserve"> and </w:t>
      </w:r>
      <w:r w:rsidR="000F1361">
        <w:rPr>
          <w:rStyle w:val="normaltextrun"/>
        </w:rPr>
        <w:t xml:space="preserve">modeled </w:t>
      </w:r>
      <w:r w:rsidR="006D050D">
        <w:rPr>
          <w:rStyle w:val="normaltextrun"/>
        </w:rPr>
        <w:t xml:space="preserve">pinyon pine production </w:t>
      </w:r>
      <w:r w:rsidR="000F1361">
        <w:rPr>
          <w:rStyle w:val="normaltextrun"/>
        </w:rPr>
        <w:t xml:space="preserve">data </w:t>
      </w:r>
      <w:r w:rsidR="002407CC">
        <w:rPr>
          <w:rStyle w:val="normaltextrun"/>
        </w:rPr>
        <w:fldChar w:fldCharType="begin"/>
      </w:r>
      <w:r w:rsidR="00984B8F">
        <w:rPr>
          <w:rStyle w:val="normaltextrun"/>
        </w:rPr>
        <w:instrText xml:space="preserve"> ADDIN ZOTERO_ITEM CSL_CITATION {"citationID":"Qy0GWzWb","properties":{"formattedCitation":"(Sullivan et al., 2009; Wion et al., 2025)","plainCitation":"(Sullivan et al., 2009; Wion et al., 2025)","noteIndex":0},"citationItems":[{"id":2330,"uris":["http://zotero.org/groups/4936574/items/WEAIMI7B"],"itemData":{"id":2330,"type":"article-journal","container-title":"Biological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2407CC">
        <w:rPr>
          <w:rStyle w:val="normaltextrun"/>
        </w:rPr>
        <w:fldChar w:fldCharType="separate"/>
      </w:r>
      <w:r w:rsidR="00984B8F">
        <w:rPr>
          <w:rStyle w:val="normaltextrun"/>
          <w:noProof/>
        </w:rPr>
        <w:t>(Sullivan et al., 2009; Wion et al., 2025)</w:t>
      </w:r>
      <w:r w:rsidR="002407CC">
        <w:rPr>
          <w:rStyle w:val="normaltextrun"/>
        </w:rPr>
        <w:fldChar w:fldCharType="end"/>
      </w:r>
      <w:r w:rsidR="00A61BB6">
        <w:rPr>
          <w:rStyle w:val="normaltextrun"/>
        </w:rPr>
        <w:t xml:space="preserve">; these datasets cover more than half the range of pinyon jays (Figure 1) and capture over a decade (2010-2022) of </w:t>
      </w:r>
      <w:r w:rsidR="006366C7">
        <w:rPr>
          <w:rStyle w:val="normaltextrun"/>
        </w:rPr>
        <w:t xml:space="preserve">bird abundance, </w:t>
      </w:r>
      <w:r w:rsidR="00A61BB6">
        <w:rPr>
          <w:rStyle w:val="normaltextrun"/>
        </w:rPr>
        <w:t xml:space="preserve">seed (cone) production, climate, and habitat. </w:t>
      </w:r>
      <w:bookmarkStart w:id="8" w:name="_Hlk214871944"/>
      <w:r w:rsidR="00AE1E03">
        <w:rPr>
          <w:rStyle w:val="normaltextrun"/>
        </w:rPr>
        <w:t xml:space="preserve">This region </w:t>
      </w:r>
      <w:r w:rsidR="00464FBB">
        <w:rPr>
          <w:rStyle w:val="normaltextrun"/>
        </w:rPr>
        <w:t xml:space="preserve">supports </w:t>
      </w:r>
      <w:r w:rsidR="00AE1E03">
        <w:rPr>
          <w:rStyle w:val="normaltextrun"/>
        </w:rPr>
        <w:t xml:space="preserve">a wide </w:t>
      </w:r>
      <w:r w:rsidR="00464FBB">
        <w:rPr>
          <w:rStyle w:val="normaltextrun"/>
        </w:rPr>
        <w:t xml:space="preserve">variety of </w:t>
      </w:r>
      <w:r w:rsidR="00AE1E03">
        <w:rPr>
          <w:rStyle w:val="normaltextrun"/>
        </w:rPr>
        <w:t>habitat</w:t>
      </w:r>
      <w:r w:rsidR="00464FBB">
        <w:rPr>
          <w:rStyle w:val="normaltextrun"/>
        </w:rPr>
        <w:t xml:space="preserve"> conditions</w:t>
      </w:r>
      <w:r w:rsidR="00092E59">
        <w:rPr>
          <w:rStyle w:val="normaltextrun"/>
        </w:rPr>
        <w:t xml:space="preserve"> </w:t>
      </w:r>
      <w:r w:rsidR="00B332C6">
        <w:rPr>
          <w:rStyle w:val="normaltextrun"/>
        </w:rPr>
        <w:fldChar w:fldCharType="begin"/>
      </w:r>
      <w:r w:rsidR="00B332C6">
        <w:rPr>
          <w:rStyle w:val="normaltextrun"/>
        </w:rPr>
        <w:instrText xml:space="preserve"> ADDIN ZOTERO_ITEM CSL_CITATION {"citationID":"Vzm3Rkcs","properties":{"formattedCitation":"(Romme et al., 2009)","plainCitation":"(Romme et al., 2009)","noteIndex":0},"citationItems":[{"id":3157,"uris":["http://zotero.org/groups/5634119/items/ER7GV9CU"],"itemData":{"id":3157,"type":"article-journal","container-title":"Rangeland Ecology &amp; Management","DOI":"10.2111/08-188R1.1","ISSN":"15507424","issue":"3","journalAbbreviation":"Rangeland Ecology &amp; Management","language":"en","license":"https://www.elsevier.com/tdm/userlicense/1.0/","page":"203-222","source":"DOI.org (Crossref)","title":"Historical and Modern Disturbance Regimes, Stand Structures, and Landscape Dynamics in Piñon–Juniper Vegetation of the Western United States","volume":"62","author":[{"family":"Romme","given":"William H."},{"family":"Allen","given":"Craig D."},{"family":"Bailey","given":"John D."},{"family":"Baker","given":"William L."},{"family":"Bestelmeyer","given":"Brandon T."},{"family":"Brown","given":"Peter M."},{"family":"Eisenhart","given":"Karen S."},{"family":"Floyd","given":"M. Lisa"},{"family":"Huffman","given":"David W."},{"family":"Jacobs","given":"Brian F."},{"family":"Miller","given":"Richard F."},{"family":"Muldavin","given":"Esteban H."},{"family":"Swetnam","given":"Thomas W."},{"family":"Tausch","given":"Robin J."},{"family":"Weisberg","given":"Peter J."}],"issued":{"date-parts":[["2009",5]]}}}],"schema":"https://github.com/citation-style-language/schema/raw/master/csl-citation.json"} </w:instrText>
      </w:r>
      <w:r w:rsidR="00B332C6">
        <w:rPr>
          <w:rStyle w:val="normaltextrun"/>
        </w:rPr>
        <w:fldChar w:fldCharType="separate"/>
      </w:r>
      <w:r w:rsidR="00B332C6">
        <w:rPr>
          <w:rStyle w:val="normaltextrun"/>
          <w:noProof/>
        </w:rPr>
        <w:t>(Romme et al., 2009)</w:t>
      </w:r>
      <w:r w:rsidR="00B332C6">
        <w:rPr>
          <w:rStyle w:val="normaltextrun"/>
        </w:rPr>
        <w:fldChar w:fldCharType="end"/>
      </w:r>
      <w:r w:rsidR="008266CE">
        <w:rPr>
          <w:rStyle w:val="normaltextrun"/>
        </w:rPr>
        <w:t>,</w:t>
      </w:r>
      <w:r w:rsidR="00AE1E03">
        <w:rPr>
          <w:rStyle w:val="normaltextrun"/>
        </w:rPr>
        <w:t xml:space="preserve"> </w:t>
      </w:r>
      <w:bookmarkEnd w:id="8"/>
      <w:r w:rsidR="00AE1E03">
        <w:rPr>
          <w:rStyle w:val="normaltextrun"/>
        </w:rPr>
        <w:t xml:space="preserve">and this decade </w:t>
      </w:r>
      <w:r w:rsidR="00464FBB">
        <w:rPr>
          <w:rStyle w:val="normaltextrun"/>
        </w:rPr>
        <w:t xml:space="preserve">is characterized by highly variable </w:t>
      </w:r>
      <w:r w:rsidR="00AE1E03">
        <w:rPr>
          <w:rStyle w:val="normaltextrun"/>
        </w:rPr>
        <w:t xml:space="preserve">climatic conditions </w:t>
      </w:r>
      <w:r w:rsidR="00942FE3">
        <w:rPr>
          <w:rStyle w:val="normaltextrun"/>
        </w:rPr>
        <w:fldChar w:fldCharType="begin"/>
      </w:r>
      <w:r w:rsidR="002407CC">
        <w:rPr>
          <w:rStyle w:val="normaltextrun"/>
        </w:rPr>
        <w:instrText xml:space="preserve"> ADDIN ZOTERO_ITEM CSL_CITATION {"citationID":"ZXMBS40d","properties":{"formattedCitation":"(Williams et al., 2022)","plainCitation":"(Williams et al., 2022)","noteIndex":0},"citationItems":[{"id":3032,"uris":["http://zotero.org/users/6391447/items/22JTLFLQ"],"itemData":{"id":3032,"type":"article-journal","container-title":"Nature Climate Change","DOI":"10.1038/s41558-022-01290-z","ISSN":"1758-678X, 1758-6798","issue":"3","journalAbbreviation":"Nat. Clim. Chang.","language":"en","page":"232-234","source":"DOI.org (Crossref)","title":"Rapid intensification of the emerging southwestern North American megadrought in 2020–2021","volume":"12","author":[{"family":"Williams","given":"A. Park"},{"family":"Cook","given":"Benjamin I."},{"family":"Smerdon","given":"Jason E."}],"issued":{"date-parts":[["2022",3]]}}}],"schema":"https://github.com/citation-style-language/schema/raw/master/csl-citation.json"} </w:instrText>
      </w:r>
      <w:r w:rsidR="00942FE3">
        <w:rPr>
          <w:rStyle w:val="normaltextrun"/>
        </w:rPr>
        <w:fldChar w:fldCharType="separate"/>
      </w:r>
      <w:r w:rsidR="002407CC">
        <w:rPr>
          <w:rStyle w:val="normaltextrun"/>
          <w:noProof/>
        </w:rPr>
        <w:t>(Williams et al., 2022)</w:t>
      </w:r>
      <w:r w:rsidR="00942FE3">
        <w:rPr>
          <w:rStyle w:val="normaltextrun"/>
        </w:rPr>
        <w:fldChar w:fldCharType="end"/>
      </w:r>
      <w:r>
        <w:rPr>
          <w:rStyle w:val="normaltextrun"/>
        </w:rPr>
        <w:t>. We explicitly model the temporal dynamics of this mutualism using a stochastic antecedent model</w:t>
      </w:r>
      <w:r w:rsidR="00464FBB">
        <w:rPr>
          <w:rStyle w:val="normaltextrun"/>
        </w:rPr>
        <w:t xml:space="preserve">ing </w:t>
      </w:r>
      <w:r w:rsidR="00C51F3D">
        <w:rPr>
          <w:rStyle w:val="normaltextrun"/>
        </w:rPr>
        <w:t xml:space="preserve">(SAM) </w:t>
      </w:r>
      <w:r w:rsidR="00464FBB">
        <w:rPr>
          <w:rStyle w:val="normaltextrun"/>
        </w:rPr>
        <w:t>framework</w:t>
      </w:r>
      <w:r>
        <w:rPr>
          <w:rStyle w:val="normaltextrun"/>
        </w:rPr>
        <w:t xml:space="preserve"> </w:t>
      </w:r>
      <w:r w:rsidR="00BE17B6">
        <w:rPr>
          <w:rStyle w:val="normaltextrun"/>
        </w:rPr>
        <w:fldChar w:fldCharType="begin"/>
      </w:r>
      <w:r w:rsidR="00BE17B6">
        <w:rPr>
          <w:rStyle w:val="normaltextrun"/>
        </w:rPr>
        <w:instrText xml:space="preserve"> ADDIN ZOTERO_ITEM CSL_CITATION {"citationID":"YpiKcSZu","properties":{"formattedCitation":"(Ogle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BE17B6">
        <w:rPr>
          <w:rStyle w:val="normaltextrun"/>
        </w:rPr>
        <w:fldChar w:fldCharType="separate"/>
      </w:r>
      <w:r w:rsidR="00BE17B6">
        <w:rPr>
          <w:rStyle w:val="normaltextrun"/>
          <w:noProof/>
        </w:rPr>
        <w:t>(Ogle et al., 2015)</w:t>
      </w:r>
      <w:r w:rsidR="00BE17B6">
        <w:rPr>
          <w:rStyle w:val="normaltextrun"/>
        </w:rPr>
        <w:fldChar w:fldCharType="end"/>
      </w:r>
      <w:r w:rsidR="00BE17B6">
        <w:rPr>
          <w:rStyle w:val="normaltextrun"/>
        </w:rPr>
        <w:t xml:space="preserve"> </w:t>
      </w:r>
      <w:r>
        <w:rPr>
          <w:rStyle w:val="normaltextrun"/>
        </w:rPr>
        <w:t xml:space="preserve">to examine how populations of </w:t>
      </w:r>
      <w:r w:rsidR="002130E2">
        <w:rPr>
          <w:rStyle w:val="normaltextrun"/>
        </w:rPr>
        <w:t>pinyon jay</w:t>
      </w:r>
      <w:r>
        <w:rPr>
          <w:rStyle w:val="normaltextrun"/>
        </w:rPr>
        <w:t xml:space="preserve"> respond to resource availability</w:t>
      </w:r>
      <w:r w:rsidR="00464FBB">
        <w:rPr>
          <w:rStyle w:val="normaltextrun"/>
        </w:rPr>
        <w:t xml:space="preserve"> (cones)</w:t>
      </w:r>
      <w:r>
        <w:rPr>
          <w:rStyle w:val="normaltextrun"/>
        </w:rPr>
        <w:t xml:space="preserve"> and climate </w:t>
      </w:r>
      <w:r w:rsidR="00464FBB">
        <w:rPr>
          <w:rStyle w:val="normaltextrun"/>
        </w:rPr>
        <w:t>across space and time</w:t>
      </w:r>
      <w:r>
        <w:rPr>
          <w:rStyle w:val="normaltextrun"/>
        </w:rPr>
        <w:t xml:space="preserve">. </w:t>
      </w:r>
      <w:r w:rsidR="006D050D">
        <w:rPr>
          <w:rStyle w:val="normaltextrun"/>
        </w:rPr>
        <w:t xml:space="preserve">We </w:t>
      </w:r>
      <w:r>
        <w:rPr>
          <w:rStyle w:val="normaltextrun"/>
        </w:rPr>
        <w:t xml:space="preserve">address two key questions: 1) </w:t>
      </w:r>
      <w:r w:rsidR="004E592D">
        <w:rPr>
          <w:rStyle w:val="normaltextrun"/>
        </w:rPr>
        <w:t>W</w:t>
      </w:r>
      <w:r>
        <w:rPr>
          <w:rStyle w:val="normaltextrun"/>
        </w:rPr>
        <w:t>hat are the relative contributions of anticipatory</w:t>
      </w:r>
      <w:r w:rsidR="00D37BB0">
        <w:rPr>
          <w:rStyle w:val="normaltextrun"/>
        </w:rPr>
        <w:t xml:space="preserve">, </w:t>
      </w:r>
      <w:r w:rsidR="006359D1">
        <w:rPr>
          <w:rStyle w:val="normaltextrun"/>
        </w:rPr>
        <w:t>immediate</w:t>
      </w:r>
      <w:r w:rsidR="002130E2">
        <w:rPr>
          <w:rStyle w:val="normaltextrun"/>
        </w:rPr>
        <w:t>,</w:t>
      </w:r>
      <w:r w:rsidR="006359D1">
        <w:rPr>
          <w:rStyle w:val="normaltextrun"/>
        </w:rPr>
        <w:t xml:space="preserve"> and delayed </w:t>
      </w:r>
      <w:r>
        <w:rPr>
          <w:rStyle w:val="normaltextrun"/>
        </w:rPr>
        <w:t>relationships between pinyon jay abundance and pinyon pine cone availability</w:t>
      </w:r>
      <w:r w:rsidR="008266CE">
        <w:rPr>
          <w:rStyle w:val="normaltextrun"/>
        </w:rPr>
        <w:t>,</w:t>
      </w:r>
      <w:r>
        <w:rPr>
          <w:rStyle w:val="normaltextrun"/>
        </w:rPr>
        <w:t xml:space="preserve"> and 2) </w:t>
      </w:r>
      <w:r w:rsidR="004E592D">
        <w:rPr>
          <w:rStyle w:val="normaltextrun"/>
        </w:rPr>
        <w:t>H</w:t>
      </w:r>
      <w:r>
        <w:rPr>
          <w:rStyle w:val="normaltextrun"/>
        </w:rPr>
        <w:t xml:space="preserve">ow does the seed disperser relationship between pinyon jays and pinyon pine vary across a range of habitat </w:t>
      </w:r>
      <w:r w:rsidR="004E592D">
        <w:rPr>
          <w:rStyle w:val="normaltextrun"/>
        </w:rPr>
        <w:t xml:space="preserve">quality </w:t>
      </w:r>
      <w:r>
        <w:rPr>
          <w:rStyle w:val="normaltextrun"/>
        </w:rPr>
        <w:t xml:space="preserve">and climate conditions? Addressing these questions is </w:t>
      </w:r>
      <w:r>
        <w:rPr>
          <w:rStyle w:val="normaltextrun"/>
        </w:rPr>
        <w:lastRenderedPageBreak/>
        <w:t xml:space="preserve">not only </w:t>
      </w:r>
      <w:r w:rsidR="004E592D">
        <w:rPr>
          <w:rStyle w:val="normaltextrun"/>
        </w:rPr>
        <w:t xml:space="preserve">necessary </w:t>
      </w:r>
      <w:r>
        <w:rPr>
          <w:rStyle w:val="normaltextrun"/>
        </w:rPr>
        <w:t xml:space="preserve">for </w:t>
      </w:r>
      <w:r w:rsidR="008101C6">
        <w:rPr>
          <w:rStyle w:val="normaltextrun"/>
        </w:rPr>
        <w:t xml:space="preserve">conservation </w:t>
      </w:r>
      <w:r w:rsidR="00A61BB6">
        <w:rPr>
          <w:rStyle w:val="normaltextrun"/>
        </w:rPr>
        <w:t>of</w:t>
      </w:r>
      <w:r w:rsidR="004E592D">
        <w:rPr>
          <w:rStyle w:val="normaltextrun"/>
        </w:rPr>
        <w:t xml:space="preserve"> </w:t>
      </w:r>
      <w:r w:rsidR="008101C6">
        <w:rPr>
          <w:rStyle w:val="normaltextrun"/>
        </w:rPr>
        <w:t xml:space="preserve">this system </w:t>
      </w:r>
      <w:r>
        <w:rPr>
          <w:rStyle w:val="normaltextrun"/>
        </w:rPr>
        <w:t xml:space="preserve">but also </w:t>
      </w:r>
      <w:r w:rsidR="006D050D">
        <w:rPr>
          <w:rStyle w:val="normaltextrun"/>
        </w:rPr>
        <w:t xml:space="preserve">helps better </w:t>
      </w:r>
      <w:r w:rsidR="005D1761">
        <w:rPr>
          <w:rStyle w:val="normaltextrun"/>
        </w:rPr>
        <w:t>understand</w:t>
      </w:r>
      <w:r w:rsidR="006D050D">
        <w:rPr>
          <w:rStyle w:val="normaltextrun"/>
        </w:rPr>
        <w:t xml:space="preserve"> how species interactions shape population trends </w:t>
      </w:r>
      <w:r w:rsidR="00942FE3">
        <w:rPr>
          <w:rStyle w:val="normaltextrun"/>
        </w:rPr>
        <w:fldChar w:fldCharType="begin"/>
      </w:r>
      <w:r w:rsidR="00942FE3">
        <w:rPr>
          <w:rStyle w:val="normaltextrun"/>
        </w:rPr>
        <w:instrText xml:space="preserve"> ADDIN ZOTERO_ITEM CSL_CITATION {"citationID":"DQQrZAaB","properties":{"formattedCitation":"(Belitz et al., 2025)","plainCitation":"(Belitz et al., 2025)","noteIndex":0},"citationItems":[{"id":2877,"uris":["http://zotero.org/groups/5634119/items/ZR9AS8M4"],"itemData":{"id":2877,"type":"article-journal","abstract":"AbstractClimate change is altering the seasonal timing of biological events across the tree of life. Phenological asynchrony has the potential to hasten population declines and disrupt ecosystem function. However, we lack broad comparisons of the degree of sensitivity to common phenological cues across multiple trophic levels. Overcoming the complexity of integrating data across trophic levels is essential for identifying spatial locations and species for which mismatches are most likely to occur.Here, we synthesized over 15 years of data across three trophic levels to estimate the timing of four interacting phenological events in eastern North America: the green‐up of forest canopy trees, emergence of adult Lepidoptera and arrival and subsequent breeding of migratory birds.We next quantified the magnitude of phenological shift per one unit change of springtime temperature accumulation as measured by accumulated growing degree days (GDD). We expected trophic responses to spring temperature accumulation to be related to physiology, thus predicting a weaker response of birds to GDD than that of insects and plants.We found that insect and plant phenology indeed had similarly strong sensitivity to GDD, while bird phenology had lower sensitivity. We also found that vegetation green‐up and bird arrival were more sensitive to GDD in higher latitudes, but the timing of bird breeding was less sensitive to GDD in higher latitudes. Migratory bird species with slow migration pace, early arrivals and more northerly wintering grounds shifted their arrival the most.Across Eastern Temperate Forests, the similar responses of vegetation green‐up and Lepidoptera emergence to temperature shifts support the use of remotely sensed green‐up to track how the timing of bird food resources is shifting in response to climate change. Our results indicate that, across our plant–insect–bird system, the bird–insect phenological link has a greater potential for phenological mismatch than the insect–plant link, with a higher risk of decoupling at higher latitudes.","container-title":"Journal of Animal Ecology","DOI":"10.1111/1365-2656.70007","ISSN":"0021-8790, 1365-2656","issue":"4","language":"en","license":"http://creativecommons.org/licenses/by-nc/4.0/","note":"publisher: Wiley","page":"717-728","source":"Crossref","title":"Potential for bird–insect phenological mismatch in a tri‐trophic system","volume":"94","author":[{"family":"Belitz","given":"Michael W."},{"family":"Larsen","given":"Elise A."},{"family":"Hurlbert","given":"Allen H."},{"family":"Di Cecco","given":"Grace J."},{"family":"Neupane","given":"Naresh"},{"family":"Ries","given":"Leslie"},{"family":"Tingley","given":"Morgan W."},{"family":"Guralnick","given":"Robert P."},{"family":"Youngflesh","given":"Casey"}],"issued":{"date-parts":[["2025",4]]}}}],"schema":"https://github.com/citation-style-language/schema/raw/master/csl-citation.json"} </w:instrText>
      </w:r>
      <w:r w:rsidR="00942FE3">
        <w:rPr>
          <w:rStyle w:val="normaltextrun"/>
        </w:rPr>
        <w:fldChar w:fldCharType="separate"/>
      </w:r>
      <w:r w:rsidR="00942FE3">
        <w:rPr>
          <w:rStyle w:val="normaltextrun"/>
          <w:noProof/>
        </w:rPr>
        <w:t>(Belitz et al., 2025)</w:t>
      </w:r>
      <w:r w:rsidR="00942FE3">
        <w:rPr>
          <w:rStyle w:val="normaltextrun"/>
        </w:rPr>
        <w:fldChar w:fldCharType="end"/>
      </w:r>
      <w:r>
        <w:rPr>
          <w:rStyle w:val="normaltextrun"/>
        </w:rPr>
        <w:t>.</w:t>
      </w:r>
      <w:r>
        <w:rPr>
          <w:rStyle w:val="eop"/>
        </w:rPr>
        <w:t> </w:t>
      </w:r>
    </w:p>
    <w:p w14:paraId="6B0C772D" w14:textId="5FF8C29B" w:rsidR="008F6A89" w:rsidRDefault="008734E2" w:rsidP="0043636C">
      <w:pPr>
        <w:pStyle w:val="Heading1"/>
        <w:spacing w:before="180" w:after="180"/>
      </w:pPr>
      <w:bookmarkStart w:id="9" w:name="results"/>
      <w:bookmarkEnd w:id="0"/>
      <w:bookmarkEnd w:id="7"/>
      <w:r>
        <w:t>2</w:t>
      </w:r>
      <w:r w:rsidR="000E6782">
        <w:t xml:space="preserve"> </w:t>
      </w:r>
      <w:r w:rsidR="49B9E889">
        <w:t>Results</w:t>
      </w:r>
    </w:p>
    <w:p w14:paraId="1000E05E" w14:textId="01A0645F" w:rsidR="0BF1CB5E" w:rsidRPr="0043636C" w:rsidRDefault="008734E2" w:rsidP="0043636C">
      <w:pPr>
        <w:pStyle w:val="BodyText"/>
        <w:keepNext/>
        <w:keepLines/>
        <w:outlineLvl w:val="2"/>
        <w:rPr>
          <w:i/>
          <w:iCs/>
        </w:rPr>
      </w:pPr>
      <w:r>
        <w:rPr>
          <w:i/>
          <w:iCs/>
        </w:rPr>
        <w:t>2</w:t>
      </w:r>
      <w:r w:rsidR="000E6782" w:rsidRPr="0043636C">
        <w:rPr>
          <w:i/>
          <w:iCs/>
        </w:rPr>
        <w:t>.</w:t>
      </w:r>
      <w:r w:rsidR="00677864">
        <w:rPr>
          <w:i/>
          <w:iCs/>
        </w:rPr>
        <w:t>1</w:t>
      </w:r>
      <w:r w:rsidR="008C03F4" w:rsidRPr="0043636C">
        <w:rPr>
          <w:i/>
          <w:iCs/>
        </w:rPr>
        <w:t xml:space="preserve"> </w:t>
      </w:r>
      <w:r w:rsidR="008C03F4">
        <w:rPr>
          <w:i/>
          <w:iCs/>
        </w:rPr>
        <w:t>Coupling of pinyon jay abundance and pinyon cone production</w:t>
      </w:r>
    </w:p>
    <w:p w14:paraId="19C24274" w14:textId="3B3DB78F" w:rsidR="008F6A89" w:rsidRDefault="008C03F4" w:rsidP="00EC422E">
      <w:pPr>
        <w:pStyle w:val="BodyText"/>
        <w:spacing w:before="0" w:after="0"/>
        <w:ind w:firstLine="720"/>
      </w:pPr>
      <w:r>
        <w:t>P</w:t>
      </w:r>
      <w:r w:rsidR="49B9E889">
        <w:t xml:space="preserve">inyon jay abundance was positively </w:t>
      </w:r>
      <w:r w:rsidR="00433D60">
        <w:t xml:space="preserve">related to </w:t>
      </w:r>
      <w:r>
        <w:t xml:space="preserve">pinyon </w:t>
      </w:r>
      <w:r w:rsidR="49B9E889">
        <w:t>cone</w:t>
      </w:r>
      <w:r>
        <w:t xml:space="preserve"> (seed)</w:t>
      </w:r>
      <w:r w:rsidR="49B9E889">
        <w:t xml:space="preserve"> availability </w:t>
      </w:r>
      <w:r>
        <w:t xml:space="preserve">(posterior mean and 95% CI for </w:t>
      </w:r>
      <w:r>
        <w:sym w:font="Symbol" w:char="F061"/>
      </w:r>
      <w:r w:rsidRPr="00EC422E">
        <w:rPr>
          <w:vertAlign w:val="subscript"/>
        </w:rPr>
        <w:t>3</w:t>
      </w:r>
      <w:r>
        <w:t>:</w:t>
      </w:r>
      <w:r w:rsidR="49B9E889">
        <w:t xml:space="preserve"> 0.95 [0.92, 0.98]</w:t>
      </w:r>
      <w:r>
        <w:t>; Figure 3</w:t>
      </w:r>
      <w:r w:rsidR="49B9E889">
        <w:t xml:space="preserve">). </w:t>
      </w:r>
      <w:r w:rsidR="00DB248A">
        <w:t xml:space="preserve">Pinyon jays </w:t>
      </w:r>
      <w:r w:rsidR="00433D60">
        <w:t>had a</w:t>
      </w:r>
      <w:r w:rsidR="00DB248A">
        <w:t xml:space="preserve"> strong</w:t>
      </w:r>
      <w:r w:rsidR="00433D60">
        <w:t>,</w:t>
      </w:r>
      <w:r w:rsidR="00DB248A">
        <w:t xml:space="preserve"> immediate response to cone production as the</w:t>
      </w:r>
      <w:r w:rsidR="49B9E889">
        <w:t xml:space="preserve"> </w:t>
      </w:r>
      <w:r>
        <w:t xml:space="preserve">highest </w:t>
      </w:r>
      <w:r w:rsidR="00DB248A">
        <w:t xml:space="preserve">importance </w:t>
      </w:r>
      <w:r w:rsidR="49B9E889">
        <w:t xml:space="preserve">weight </w:t>
      </w:r>
      <w:r w:rsidR="00DB248A">
        <w:t xml:space="preserve">occurred </w:t>
      </w:r>
      <w:r>
        <w:t xml:space="preserve">for </w:t>
      </w:r>
      <w:r w:rsidR="49B9E889">
        <w:t xml:space="preserve">the year </w:t>
      </w:r>
      <w:r>
        <w:t xml:space="preserve">immediately </w:t>
      </w:r>
      <w:r w:rsidR="00247FB8">
        <w:t>before</w:t>
      </w:r>
      <w:r w:rsidR="49B9E889">
        <w:t xml:space="preserve"> </w:t>
      </w:r>
      <w:r w:rsidR="00247FB8">
        <w:t>bird abundance</w:t>
      </w:r>
      <w:r w:rsidR="49B9E889">
        <w:t xml:space="preserve"> </w:t>
      </w:r>
      <w:r>
        <w:t xml:space="preserve">was observed </w:t>
      </w:r>
      <w:r w:rsidR="49B9E889">
        <w:t>(</w:t>
      </w:r>
      <w:r w:rsidRPr="00EC422E">
        <w:rPr>
          <w:i/>
          <w:iCs/>
        </w:rPr>
        <w:t>l</w:t>
      </w:r>
      <w:r>
        <w:t xml:space="preserve"> = -1; </w:t>
      </w:r>
      <w:r w:rsidRPr="00EC422E">
        <w:rPr>
          <w:i/>
          <w:iCs/>
        </w:rPr>
        <w:t>w</w:t>
      </w:r>
      <w:r w:rsidRPr="00EC422E">
        <w:rPr>
          <w:vertAlign w:val="subscript"/>
        </w:rPr>
        <w:t>1,-1</w:t>
      </w:r>
      <w:r>
        <w:t xml:space="preserve"> estimate: </w:t>
      </w:r>
      <w:r w:rsidR="49B9E889">
        <w:t>0.64 [0.60, 0.67]</w:t>
      </w:r>
      <w:r w:rsidR="00087686">
        <w:t>; Figure 4</w:t>
      </w:r>
      <w:r w:rsidR="49B9E889">
        <w:t>)</w:t>
      </w:r>
      <w:r w:rsidR="00DB248A">
        <w:t xml:space="preserve">. Jays also </w:t>
      </w:r>
      <w:r w:rsidR="00433D60">
        <w:t xml:space="preserve">had </w:t>
      </w:r>
      <w:r w:rsidR="00DB248A">
        <w:t>a moderate</w:t>
      </w:r>
      <w:r w:rsidR="008B4629">
        <w:t>,</w:t>
      </w:r>
      <w:r w:rsidR="00DB248A">
        <w:t xml:space="preserve"> delayed response </w:t>
      </w:r>
      <w:r>
        <w:t xml:space="preserve">with cones produced </w:t>
      </w:r>
      <w:r w:rsidR="49B9E889">
        <w:t xml:space="preserve">two </w:t>
      </w:r>
      <w:r>
        <w:t>(</w:t>
      </w:r>
      <w:r w:rsidRPr="00EC422E">
        <w:rPr>
          <w:i/>
          <w:iCs/>
        </w:rPr>
        <w:t>l</w:t>
      </w:r>
      <w:r>
        <w:t xml:space="preserve"> = -2) </w:t>
      </w:r>
      <w:r w:rsidR="49B9E889">
        <w:t xml:space="preserve">and three </w:t>
      </w:r>
      <w:r>
        <w:t>(</w:t>
      </w:r>
      <w:r w:rsidRPr="00EC422E">
        <w:rPr>
          <w:i/>
          <w:iCs/>
        </w:rPr>
        <w:t>l</w:t>
      </w:r>
      <w:r>
        <w:t xml:space="preserve"> = -3) </w:t>
      </w:r>
      <w:r w:rsidR="49B9E889">
        <w:t>years</w:t>
      </w:r>
      <w:r w:rsidR="00247FB8">
        <w:t xml:space="preserve"> before </w:t>
      </w:r>
      <w:r w:rsidR="00DB248A">
        <w:t xml:space="preserve">jay </w:t>
      </w:r>
      <w:r w:rsidR="00247FB8">
        <w:t xml:space="preserve">abundance </w:t>
      </w:r>
      <w:r w:rsidR="00DB248A">
        <w:t>was observed (</w:t>
      </w:r>
      <w:r w:rsidR="00DB248A" w:rsidRPr="00C348BE">
        <w:rPr>
          <w:i/>
          <w:iCs/>
        </w:rPr>
        <w:t>w</w:t>
      </w:r>
      <w:r w:rsidR="00DB248A" w:rsidRPr="00C348BE">
        <w:rPr>
          <w:vertAlign w:val="subscript"/>
        </w:rPr>
        <w:t>1,-</w:t>
      </w:r>
      <w:r w:rsidR="00DB248A">
        <w:rPr>
          <w:vertAlign w:val="subscript"/>
        </w:rPr>
        <w:t>2</w:t>
      </w:r>
      <w:r w:rsidR="49B9E889">
        <w:t xml:space="preserve">= 0.13 [0.07, 0.18] and </w:t>
      </w:r>
      <w:r w:rsidR="00DB248A" w:rsidRPr="00C348BE">
        <w:rPr>
          <w:i/>
          <w:iCs/>
        </w:rPr>
        <w:t>w</w:t>
      </w:r>
      <w:r w:rsidR="00DB248A" w:rsidRPr="00C348BE">
        <w:rPr>
          <w:vertAlign w:val="subscript"/>
        </w:rPr>
        <w:t>1,-</w:t>
      </w:r>
      <w:r w:rsidR="00DB248A">
        <w:rPr>
          <w:vertAlign w:val="subscript"/>
        </w:rPr>
        <w:t>3</w:t>
      </w:r>
      <w:r w:rsidR="00DB248A">
        <w:t xml:space="preserve"> = 0</w:t>
      </w:r>
      <w:r w:rsidR="49B9E889">
        <w:t xml:space="preserve">.21 [0.17, 0.25], for </w:t>
      </w:r>
      <w:r w:rsidR="00B36970">
        <w:t xml:space="preserve">2- </w:t>
      </w:r>
      <w:r w:rsidR="49B9E889">
        <w:t xml:space="preserve">and </w:t>
      </w:r>
      <w:r w:rsidR="00B36970">
        <w:t>3-</w:t>
      </w:r>
      <w:r w:rsidR="49B9E889">
        <w:t xml:space="preserve">years </w:t>
      </w:r>
      <w:r w:rsidR="00DB248A">
        <w:t>prior</w:t>
      </w:r>
      <w:r w:rsidR="49B9E889">
        <w:t>, respectively)</w:t>
      </w:r>
      <w:r w:rsidR="00DB248A">
        <w:t xml:space="preserve">. Conversely, </w:t>
      </w:r>
      <w:r w:rsidR="00087686">
        <w:t>jays</w:t>
      </w:r>
      <w:r w:rsidR="00DB248A">
        <w:t xml:space="preserve"> demonstrated </w:t>
      </w:r>
      <w:r w:rsidR="00B24D39">
        <w:t xml:space="preserve">no </w:t>
      </w:r>
      <w:r w:rsidR="00DB248A">
        <w:t>anticipatory response as n</w:t>
      </w:r>
      <w:r w:rsidR="49B9E889">
        <w:t>egligible weight</w:t>
      </w:r>
      <w:r w:rsidR="00DB248A">
        <w:t>s</w:t>
      </w:r>
      <w:r w:rsidR="49B9E889">
        <w:t xml:space="preserve"> </w:t>
      </w:r>
      <w:r w:rsidR="00DB248A">
        <w:t xml:space="preserve">were estimated </w:t>
      </w:r>
      <w:r w:rsidR="49B9E889">
        <w:t xml:space="preserve">for </w:t>
      </w:r>
      <w:r w:rsidR="00DB248A">
        <w:t xml:space="preserve">cones (seeds) produced in </w:t>
      </w:r>
      <w:r w:rsidR="49B9E889">
        <w:t xml:space="preserve">years </w:t>
      </w:r>
      <w:r w:rsidR="00247FB8">
        <w:t xml:space="preserve">after </w:t>
      </w:r>
      <w:r w:rsidR="00DB248A">
        <w:t xml:space="preserve">jay </w:t>
      </w:r>
      <w:r w:rsidR="00247FB8">
        <w:t xml:space="preserve">abundance </w:t>
      </w:r>
      <w:r w:rsidR="00DB248A">
        <w:t xml:space="preserve">was observed </w:t>
      </w:r>
      <w:r w:rsidR="49B9E889">
        <w:t>(</w:t>
      </w:r>
      <w:r w:rsidR="00DB248A" w:rsidRPr="00C348BE">
        <w:rPr>
          <w:i/>
          <w:iCs/>
        </w:rPr>
        <w:t>w</w:t>
      </w:r>
      <w:r w:rsidR="00DB248A" w:rsidRPr="00C348BE">
        <w:rPr>
          <w:vertAlign w:val="subscript"/>
        </w:rPr>
        <w:t>1</w:t>
      </w:r>
      <w:r w:rsidR="00DB248A">
        <w:rPr>
          <w:vertAlign w:val="subscript"/>
        </w:rPr>
        <w:t>,+1</w:t>
      </w:r>
      <w:r w:rsidR="00DB248A" w:rsidRPr="00EC422E">
        <w:t xml:space="preserve"> =</w:t>
      </w:r>
      <w:r w:rsidR="00DB248A">
        <w:t>0.01 [0, 0.06] and</w:t>
      </w:r>
      <w:r w:rsidR="49B9E889">
        <w:t xml:space="preserve"> </w:t>
      </w:r>
      <w:r w:rsidR="00DB248A" w:rsidRPr="00C348BE">
        <w:rPr>
          <w:i/>
          <w:iCs/>
        </w:rPr>
        <w:t>w</w:t>
      </w:r>
      <w:r w:rsidR="00DB248A" w:rsidRPr="00C348BE">
        <w:rPr>
          <w:vertAlign w:val="subscript"/>
        </w:rPr>
        <w:t>1,</w:t>
      </w:r>
      <w:r w:rsidR="00DB248A">
        <w:rPr>
          <w:vertAlign w:val="subscript"/>
        </w:rPr>
        <w:t>+2</w:t>
      </w:r>
      <w:r w:rsidR="00DB248A">
        <w:t xml:space="preserve"> = 0.01 [0, 0.03] </w:t>
      </w:r>
      <w:r w:rsidR="49B9E889">
        <w:t xml:space="preserve">for </w:t>
      </w:r>
      <w:r w:rsidR="00B36970">
        <w:t>1- and 2-</w:t>
      </w:r>
      <w:r w:rsidR="49B9E889">
        <w:t xml:space="preserve">years </w:t>
      </w:r>
      <w:r w:rsidR="00247FB8">
        <w:t>after</w:t>
      </w:r>
      <w:r w:rsidR="49B9E889">
        <w:t>, respectively).</w:t>
      </w:r>
      <w:r w:rsidR="53511C8A">
        <w:t xml:space="preserve"> </w:t>
      </w:r>
      <w:r w:rsidR="00A65EEF">
        <w:t>Overall</w:t>
      </w:r>
      <w:r w:rsidR="53511C8A">
        <w:t xml:space="preserve">, jay </w:t>
      </w:r>
      <w:r w:rsidR="4C1F8866">
        <w:t>abundance</w:t>
      </w:r>
      <w:r w:rsidR="53511C8A">
        <w:t xml:space="preserve"> in the spring breeding season </w:t>
      </w:r>
      <w:r w:rsidR="40346C63">
        <w:t>had a strong, positive relationship with</w:t>
      </w:r>
      <w:r w:rsidR="53511C8A">
        <w:t xml:space="preserve"> cone production in the p</w:t>
      </w:r>
      <w:r w:rsidR="299160E9">
        <w:t>rior</w:t>
      </w:r>
      <w:r w:rsidR="53511C8A">
        <w:t xml:space="preserve"> </w:t>
      </w:r>
      <w:r w:rsidR="14BCC7C4">
        <w:t>fall</w:t>
      </w:r>
      <w:r w:rsidR="00DB248A">
        <w:t>, and jay a</w:t>
      </w:r>
      <w:r w:rsidR="279A0052">
        <w:t xml:space="preserve">bundance </w:t>
      </w:r>
      <w:r w:rsidR="408FD636">
        <w:t xml:space="preserve">remained </w:t>
      </w:r>
      <w:r w:rsidR="00DB248A">
        <w:t xml:space="preserve">relatively </w:t>
      </w:r>
      <w:r w:rsidR="408FD636">
        <w:t>high in these same areas for up to three years after cone</w:t>
      </w:r>
      <w:r w:rsidR="00F85840">
        <w:t>s were</w:t>
      </w:r>
      <w:r w:rsidR="408FD636">
        <w:t xml:space="preserve"> </w:t>
      </w:r>
      <w:r w:rsidR="00F85840">
        <w:t>produced</w:t>
      </w:r>
      <w:r w:rsidR="408FD636">
        <w:t>.</w:t>
      </w:r>
    </w:p>
    <w:p w14:paraId="4EC61673" w14:textId="0A9E069C" w:rsidR="008F6A89" w:rsidRPr="0043636C" w:rsidRDefault="008734E2" w:rsidP="0043636C">
      <w:pPr>
        <w:pStyle w:val="BodyText"/>
        <w:keepNext/>
        <w:keepLines/>
        <w:outlineLvl w:val="2"/>
        <w:rPr>
          <w:i/>
          <w:iCs/>
        </w:rPr>
      </w:pPr>
      <w:bookmarkStart w:id="10" w:name="_Hlk214971578"/>
      <w:r>
        <w:rPr>
          <w:i/>
          <w:iCs/>
        </w:rPr>
        <w:t>2</w:t>
      </w:r>
      <w:r w:rsidR="000E6782" w:rsidRPr="0043636C">
        <w:rPr>
          <w:i/>
          <w:iCs/>
        </w:rPr>
        <w:t xml:space="preserve">.2 </w:t>
      </w:r>
      <w:r w:rsidR="32CAA183" w:rsidRPr="0043636C">
        <w:rPr>
          <w:i/>
          <w:iCs/>
        </w:rPr>
        <w:t xml:space="preserve">Mediating </w:t>
      </w:r>
      <w:r w:rsidR="000E6782">
        <w:rPr>
          <w:i/>
          <w:iCs/>
        </w:rPr>
        <w:t>e</w:t>
      </w:r>
      <w:r w:rsidR="000E6782" w:rsidRPr="0043636C">
        <w:rPr>
          <w:i/>
          <w:iCs/>
        </w:rPr>
        <w:t xml:space="preserve">ffects </w:t>
      </w:r>
      <w:r w:rsidR="32CAA183" w:rsidRPr="0043636C">
        <w:rPr>
          <w:i/>
          <w:iCs/>
        </w:rPr>
        <w:t xml:space="preserve">of </w:t>
      </w:r>
      <w:r w:rsidR="000E6782">
        <w:rPr>
          <w:i/>
          <w:iCs/>
        </w:rPr>
        <w:t>h</w:t>
      </w:r>
      <w:r w:rsidR="000E6782" w:rsidRPr="0043636C">
        <w:rPr>
          <w:i/>
          <w:iCs/>
        </w:rPr>
        <w:t xml:space="preserve">abitat </w:t>
      </w:r>
      <w:r w:rsidR="32CAA183" w:rsidRPr="0043636C">
        <w:rPr>
          <w:i/>
          <w:iCs/>
        </w:rPr>
        <w:t xml:space="preserve">and </w:t>
      </w:r>
      <w:r w:rsidR="000E6782">
        <w:rPr>
          <w:i/>
          <w:iCs/>
        </w:rPr>
        <w:t>c</w:t>
      </w:r>
      <w:r w:rsidR="000E6782" w:rsidRPr="0043636C">
        <w:rPr>
          <w:i/>
          <w:iCs/>
        </w:rPr>
        <w:t>limate</w:t>
      </w:r>
    </w:p>
    <w:bookmarkEnd w:id="10"/>
    <w:p w14:paraId="158EBCD3" w14:textId="6E9E8363" w:rsidR="000C6F45" w:rsidRDefault="008C3953" w:rsidP="00EC422E">
      <w:pPr>
        <w:pStyle w:val="BodyText"/>
        <w:spacing w:before="0" w:after="0"/>
        <w:ind w:firstLine="720"/>
      </w:pPr>
      <w:r>
        <w:t>All c</w:t>
      </w:r>
      <w:r w:rsidR="00F21677">
        <w:t xml:space="preserve">limate and </w:t>
      </w:r>
      <w:r>
        <w:t>habit covariates affect</w:t>
      </w:r>
      <w:r w:rsidR="004A00EE">
        <w:t>ed</w:t>
      </w:r>
      <w:r>
        <w:t xml:space="preserve"> pinyon jay abundance either by modify</w:t>
      </w:r>
      <w:r w:rsidR="004A00EE">
        <w:t>ing</w:t>
      </w:r>
      <w:r>
        <w:t xml:space="preserve"> the relationship with pinyon seed availability (significant interaction effects) or by directly affecting jay abundance (main effects)</w:t>
      </w:r>
      <w:r w:rsidR="004A00EE">
        <w:t xml:space="preserve"> (Figure 3)</w:t>
      </w:r>
      <w:r>
        <w:t xml:space="preserve">. The interaction effects indicate that </w:t>
      </w:r>
      <w:r w:rsidR="000C6F45">
        <w:t xml:space="preserve">the relationship between pinyon jay abundance and cone availability was stronger </w:t>
      </w:r>
      <w:r>
        <w:t>(more positive) under wetter conditions (</w:t>
      </w:r>
      <w:r w:rsidR="000C6F45">
        <w:t>higher values of precipitation</w:t>
      </w:r>
      <w:r w:rsidRPr="004C5801">
        <w:t xml:space="preserve">; </w:t>
      </w:r>
      <w:r w:rsidRPr="004C5801">
        <w:sym w:font="Symbol" w:char="F061"/>
      </w:r>
      <w:r w:rsidR="004C5801" w:rsidRPr="004C5801">
        <w:rPr>
          <w:vertAlign w:val="subscript"/>
        </w:rPr>
        <w:t>8</w:t>
      </w:r>
      <w:r w:rsidRPr="004C5801">
        <w:t xml:space="preserve"> </w:t>
      </w:r>
      <w:r w:rsidR="000C6F45" w:rsidRPr="004C5801">
        <w:t>=</w:t>
      </w:r>
      <w:r w:rsidR="000C6F45">
        <w:t xml:space="preserve"> 0.60 [0.56, 0.66])</w:t>
      </w:r>
      <w:r>
        <w:t xml:space="preserve">, hotter conditions (higher </w:t>
      </w:r>
      <w:r w:rsidR="000C6F45">
        <w:lastRenderedPageBreak/>
        <w:t>maximum temperature</w:t>
      </w:r>
      <w:r w:rsidRPr="004C5801">
        <w:t xml:space="preserve">; </w:t>
      </w:r>
      <w:r w:rsidRPr="004C5801">
        <w:sym w:font="Symbol" w:char="F061"/>
      </w:r>
      <w:r w:rsidR="004C5801" w:rsidRPr="004C5801">
        <w:rPr>
          <w:vertAlign w:val="subscript"/>
        </w:rPr>
        <w:t>9</w:t>
      </w:r>
      <w:r>
        <w:t xml:space="preserve"> = 0</w:t>
      </w:r>
      <w:r w:rsidR="000C6F45">
        <w:t>.37 [0.33, 0.40])</w:t>
      </w:r>
      <w:r>
        <w:t xml:space="preserve">, in sparser woodlands (lower pinyon basal area; </w:t>
      </w:r>
      <w:r w:rsidRPr="00C727CD">
        <w:sym w:font="Symbol" w:char="F061"/>
      </w:r>
      <w:r w:rsidR="00C727CD" w:rsidRPr="00C727CD">
        <w:rPr>
          <w:vertAlign w:val="subscript"/>
        </w:rPr>
        <w:t>7</w:t>
      </w:r>
      <w:r w:rsidR="000C6F45" w:rsidRPr="00C727CD">
        <w:t xml:space="preserve"> =</w:t>
      </w:r>
      <w:r w:rsidR="000C6F45">
        <w:t xml:space="preserve"> -0.12 [-0.14, -0.11])</w:t>
      </w:r>
      <w:r>
        <w:t xml:space="preserve">, and in sites defined by lower or weaker </w:t>
      </w:r>
      <w:r w:rsidR="000C6F45">
        <w:t xml:space="preserve">monsoonality </w:t>
      </w:r>
      <w:r w:rsidR="000C6F45" w:rsidRPr="00C727CD">
        <w:t>(</w:t>
      </w:r>
      <w:r w:rsidRPr="00C727CD">
        <w:sym w:font="Symbol" w:char="F061"/>
      </w:r>
      <w:r w:rsidR="00C727CD" w:rsidRPr="00C727CD">
        <w:rPr>
          <w:vertAlign w:val="subscript"/>
        </w:rPr>
        <w:t>6</w:t>
      </w:r>
      <w:r>
        <w:t xml:space="preserve"> </w:t>
      </w:r>
      <w:r w:rsidR="000C6F45">
        <w:t>= -0.21 [-0.25, -0.19]</w:t>
      </w:r>
      <w:r w:rsidR="00087686">
        <w:t>; Figure 5</w:t>
      </w:r>
      <w:r w:rsidR="000C6F45">
        <w:t>).</w:t>
      </w:r>
      <w:r w:rsidR="00677864">
        <w:t xml:space="preserve"> In summary, pinyon jays more closely track cone abundance in wetter and hotter conditions. Conversely, pinyon jays have a weaker dependence on cone abundance in areas with more pinyon basal area and monsoon moisture contribution. </w:t>
      </w:r>
    </w:p>
    <w:p w14:paraId="38D9D703" w14:textId="41A65C1E" w:rsidR="00117E82" w:rsidRPr="0043636C" w:rsidRDefault="008734E2" w:rsidP="00117E82">
      <w:pPr>
        <w:pStyle w:val="BodyText"/>
        <w:keepNext/>
        <w:keepLines/>
        <w:outlineLvl w:val="2"/>
        <w:rPr>
          <w:i/>
          <w:iCs/>
        </w:rPr>
      </w:pPr>
      <w:r>
        <w:rPr>
          <w:i/>
          <w:iCs/>
        </w:rPr>
        <w:t>2</w:t>
      </w:r>
      <w:r w:rsidR="00117E82" w:rsidRPr="0043636C">
        <w:rPr>
          <w:i/>
          <w:iCs/>
        </w:rPr>
        <w:t>.</w:t>
      </w:r>
      <w:r w:rsidR="00117E82">
        <w:rPr>
          <w:i/>
          <w:iCs/>
        </w:rPr>
        <w:t>3</w:t>
      </w:r>
      <w:r w:rsidR="00117E82" w:rsidRPr="0043636C">
        <w:rPr>
          <w:i/>
          <w:iCs/>
        </w:rPr>
        <w:t xml:space="preserve"> </w:t>
      </w:r>
      <w:r w:rsidR="00117E82">
        <w:rPr>
          <w:i/>
          <w:iCs/>
        </w:rPr>
        <w:t>Climate and habitat effects</w:t>
      </w:r>
    </w:p>
    <w:p w14:paraId="6AF13B84" w14:textId="10FB968D" w:rsidR="008F6A89" w:rsidRDefault="000C6F45" w:rsidP="00EC422E">
      <w:pPr>
        <w:pStyle w:val="BodyText"/>
        <w:spacing w:before="0" w:after="0"/>
        <w:ind w:firstLine="720"/>
      </w:pPr>
      <w:r>
        <w:t xml:space="preserve">All </w:t>
      </w:r>
      <w:r w:rsidR="008C3953">
        <w:t xml:space="preserve">four of these climate and habitat </w:t>
      </w:r>
      <w:r>
        <w:t xml:space="preserve">covariates </w:t>
      </w:r>
      <w:r w:rsidR="008C3953">
        <w:t>also supported</w:t>
      </w:r>
      <w:r>
        <w:t xml:space="preserve"> </w:t>
      </w:r>
      <w:r w:rsidR="00F11CEB">
        <w:t>statistically significant</w:t>
      </w:r>
      <w:r>
        <w:t xml:space="preserve"> </w:t>
      </w:r>
      <w:r w:rsidR="008C3953">
        <w:t xml:space="preserve">main </w:t>
      </w:r>
      <w:r>
        <w:t>effects</w:t>
      </w:r>
      <w:r w:rsidR="000473DE">
        <w:t xml:space="preserve"> (Figure 3)</w:t>
      </w:r>
      <w:r>
        <w:t>.</w:t>
      </w:r>
      <w:r w:rsidR="008C3953">
        <w:t xml:space="preserve"> In particular, p</w:t>
      </w:r>
      <w:r>
        <w:t xml:space="preserve">inyon jay abundance was negatively related to </w:t>
      </w:r>
      <w:r w:rsidR="49B9E889" w:rsidRPr="00C727CD">
        <w:t xml:space="preserve">precipitation </w:t>
      </w:r>
      <w:r w:rsidR="008C3953" w:rsidRPr="00C727CD">
        <w:t>(</w:t>
      </w:r>
      <w:r w:rsidR="008C3953" w:rsidRPr="00C727CD">
        <w:sym w:font="Symbol" w:char="F061"/>
      </w:r>
      <w:r w:rsidR="00C727CD" w:rsidRPr="00C727CD">
        <w:rPr>
          <w:vertAlign w:val="subscript"/>
        </w:rPr>
        <w:t>4</w:t>
      </w:r>
      <w:r w:rsidR="008C3953">
        <w:t xml:space="preserve"> = </w:t>
      </w:r>
      <w:r w:rsidR="49B9E889">
        <w:t xml:space="preserve">-2.62 [-2.72, -2.53]) and maximum temperature </w:t>
      </w:r>
      <w:r w:rsidR="008C3953" w:rsidRPr="00C727CD">
        <w:t>(</w:t>
      </w:r>
      <w:r w:rsidR="008C3953" w:rsidRPr="00C727CD">
        <w:sym w:font="Symbol" w:char="F061"/>
      </w:r>
      <w:r w:rsidR="00C727CD">
        <w:rPr>
          <w:vertAlign w:val="subscript"/>
        </w:rPr>
        <w:t>5</w:t>
      </w:r>
      <w:r w:rsidR="49B9E889">
        <w:t xml:space="preserve"> </w:t>
      </w:r>
      <w:r w:rsidR="008C3953">
        <w:t xml:space="preserve">= </w:t>
      </w:r>
      <w:r w:rsidR="49B9E889">
        <w:t>-0.92 [-0.96, -0.88])</w:t>
      </w:r>
      <w:r w:rsidR="00F11CEB">
        <w:t>, but</w:t>
      </w:r>
      <w:r>
        <w:t xml:space="preserve"> was positively associated with monsoonality</w:t>
      </w:r>
      <w:r w:rsidR="49B9E889">
        <w:t xml:space="preserve"> </w:t>
      </w:r>
      <w:r w:rsidR="008C3953" w:rsidRPr="00C727CD">
        <w:t>(</w:t>
      </w:r>
      <w:r w:rsidR="008C3953" w:rsidRPr="00C727CD">
        <w:sym w:font="Symbol" w:char="F061"/>
      </w:r>
      <w:r w:rsidR="00C727CD" w:rsidRPr="00C727CD">
        <w:rPr>
          <w:vertAlign w:val="subscript"/>
        </w:rPr>
        <w:t>1</w:t>
      </w:r>
      <w:r w:rsidR="008C3953" w:rsidRPr="00C727CD">
        <w:t xml:space="preserve"> =</w:t>
      </w:r>
      <w:r w:rsidR="008C3953">
        <w:t xml:space="preserve"> </w:t>
      </w:r>
      <w:r w:rsidR="49B9E889">
        <w:t xml:space="preserve">0.51 [0.46, 0.56]) and pinyon basal area </w:t>
      </w:r>
      <w:r w:rsidR="008C3953" w:rsidRPr="00C727CD">
        <w:t>(</w:t>
      </w:r>
      <w:r w:rsidR="008C3953" w:rsidRPr="00C727CD">
        <w:sym w:font="Symbol" w:char="F061"/>
      </w:r>
      <w:r w:rsidR="00C727CD" w:rsidRPr="00C727CD">
        <w:rPr>
          <w:vertAlign w:val="subscript"/>
        </w:rPr>
        <w:t>2</w:t>
      </w:r>
      <w:r w:rsidR="008C3953" w:rsidRPr="00C727CD">
        <w:t xml:space="preserve"> =</w:t>
      </w:r>
      <w:r w:rsidR="008C3953">
        <w:t xml:space="preserve"> </w:t>
      </w:r>
      <w:r w:rsidR="49B9E889">
        <w:t>0.27 [0.25, 0.29]).</w:t>
      </w:r>
      <w:r w:rsidR="008C3953">
        <w:t xml:space="preserve"> </w:t>
      </w:r>
      <w:r w:rsidR="00CC11D6">
        <w:t>T</w:t>
      </w:r>
      <w:r w:rsidR="004A00EE">
        <w:t>emperature and precipitation</w:t>
      </w:r>
      <w:r w:rsidR="00CC11D6">
        <w:t xml:space="preserve"> were</w:t>
      </w:r>
      <w:r w:rsidR="00B10674">
        <w:t xml:space="preserve"> </w:t>
      </w:r>
      <w:r w:rsidR="000473DE">
        <w:t xml:space="preserve">most influential during certain periods, as indicated by </w:t>
      </w:r>
      <w:r w:rsidR="001F4871">
        <w:t xml:space="preserve">variation in </w:t>
      </w:r>
      <w:r w:rsidR="000473DE">
        <w:t xml:space="preserve">their </w:t>
      </w:r>
      <w:r w:rsidR="00F11CEB">
        <w:t>importance</w:t>
      </w:r>
      <w:r w:rsidR="000473DE">
        <w:t xml:space="preserve"> </w:t>
      </w:r>
      <w:r w:rsidR="000473DE" w:rsidRPr="002B1C09">
        <w:t>weights</w:t>
      </w:r>
      <w:r w:rsidR="00F11CEB" w:rsidRPr="002B1C09">
        <w:t xml:space="preserve"> (SI Figure </w:t>
      </w:r>
      <w:r w:rsidR="002B1C09" w:rsidRPr="002B1C09">
        <w:t>6</w:t>
      </w:r>
      <w:r w:rsidR="00F11CEB" w:rsidRPr="002B1C09">
        <w:t>)</w:t>
      </w:r>
      <w:r w:rsidR="000473DE" w:rsidRPr="002B1C09">
        <w:t xml:space="preserve">. For example, </w:t>
      </w:r>
      <w:r w:rsidR="001F4871">
        <w:t>key</w:t>
      </w:r>
      <w:r w:rsidR="001F4871" w:rsidRPr="002B1C09">
        <w:t xml:space="preserve"> </w:t>
      </w:r>
      <w:r w:rsidR="49B9E889" w:rsidRPr="002B1C09">
        <w:t xml:space="preserve">seasons for precipitation included, in order of importance: two years ago during </w:t>
      </w:r>
      <w:r w:rsidR="000473DE" w:rsidRPr="002B1C09">
        <w:t xml:space="preserve">the </w:t>
      </w:r>
      <w:r w:rsidR="00EC422E" w:rsidRPr="002B1C09">
        <w:t xml:space="preserve">spring/summer </w:t>
      </w:r>
      <w:r w:rsidR="49B9E889" w:rsidRPr="002B1C09">
        <w:t>fledging</w:t>
      </w:r>
      <w:r w:rsidR="000473DE" w:rsidRPr="002B1C09">
        <w:t xml:space="preserve"> season</w:t>
      </w:r>
      <w:r w:rsidR="49B9E889" w:rsidRPr="002B1C09">
        <w:t xml:space="preserve">, three years ago during </w:t>
      </w:r>
      <w:r w:rsidR="000473DE" w:rsidRPr="002B1C09">
        <w:t>the</w:t>
      </w:r>
      <w:r w:rsidR="00EC422E" w:rsidRPr="002B1C09">
        <w:t xml:space="preserve"> spring</w:t>
      </w:r>
      <w:r w:rsidR="000473DE" w:rsidRPr="002B1C09">
        <w:t xml:space="preserve"> </w:t>
      </w:r>
      <w:r w:rsidR="49B9E889" w:rsidRPr="002B1C09">
        <w:t>breeding</w:t>
      </w:r>
      <w:r w:rsidR="000473DE" w:rsidRPr="002B1C09">
        <w:t xml:space="preserve"> season</w:t>
      </w:r>
      <w:r w:rsidR="49B9E889" w:rsidRPr="002B1C09">
        <w:t xml:space="preserve">, two years ago during breeding, and one year ago during fledging </w:t>
      </w:r>
      <w:r w:rsidR="000473DE" w:rsidRPr="002B1C09">
        <w:t>(</w:t>
      </w:r>
      <w:r w:rsidR="000473DE" w:rsidRPr="002B1C09">
        <w:rPr>
          <w:i/>
          <w:iCs/>
        </w:rPr>
        <w:t>w</w:t>
      </w:r>
      <w:r w:rsidR="00C727CD" w:rsidRPr="00281722">
        <w:rPr>
          <w:vertAlign w:val="subscript"/>
        </w:rPr>
        <w:t>2</w:t>
      </w:r>
      <w:r w:rsidR="000473DE" w:rsidRPr="002B1C09">
        <w:t xml:space="preserve"> estimates </w:t>
      </w:r>
      <w:r w:rsidR="49B9E889" w:rsidRPr="002B1C09">
        <w:t>= 0.37 [0.35, 0.39</w:t>
      </w:r>
      <w:r w:rsidR="00F11CEB" w:rsidRPr="002B1C09">
        <w:t xml:space="preserve">], </w:t>
      </w:r>
      <w:r w:rsidR="49B9E889" w:rsidRPr="002B1C09">
        <w:t>0.20 [0.18, 0.21</w:t>
      </w:r>
      <w:r w:rsidR="00F11CEB" w:rsidRPr="002B1C09">
        <w:t xml:space="preserve">], </w:t>
      </w:r>
      <w:r w:rsidR="49B9E889" w:rsidRPr="002B1C09">
        <w:t>0.16 [0.14, 0.18</w:t>
      </w:r>
      <w:r w:rsidR="00F11CEB" w:rsidRPr="002B1C09">
        <w:t xml:space="preserve">], and </w:t>
      </w:r>
      <w:r w:rsidR="49B9E889" w:rsidRPr="002B1C09">
        <w:t xml:space="preserve">0.12 [0.10, 0.14], respectively). All other </w:t>
      </w:r>
      <w:r w:rsidR="00F11CEB" w:rsidRPr="002B1C09">
        <w:t xml:space="preserve">precipitation </w:t>
      </w:r>
      <w:r w:rsidR="49B9E889" w:rsidRPr="002B1C09">
        <w:t xml:space="preserve">weights were </w:t>
      </w:r>
      <w:r w:rsidR="000473DE" w:rsidRPr="002B1C09">
        <w:t>comparabl</w:t>
      </w:r>
      <w:r w:rsidR="00F11CEB" w:rsidRPr="002B1C09">
        <w:t>y</w:t>
      </w:r>
      <w:r w:rsidR="000473DE" w:rsidRPr="002B1C09">
        <w:t xml:space="preserve"> small, indicating lack of importance of climate during other seasonal periods</w:t>
      </w:r>
      <w:r w:rsidR="49B9E889" w:rsidRPr="002B1C09">
        <w:t xml:space="preserve"> (SI Figure </w:t>
      </w:r>
      <w:r w:rsidR="002B1C09" w:rsidRPr="002B1C09">
        <w:t>6</w:t>
      </w:r>
      <w:r w:rsidR="49B9E889" w:rsidRPr="002B1C09">
        <w:t>).</w:t>
      </w:r>
      <w:r w:rsidR="49B9E889">
        <w:t xml:space="preserve"> </w:t>
      </w:r>
      <w:r>
        <w:t xml:space="preserve">In other words, </w:t>
      </w:r>
      <w:r w:rsidR="00F11CEB">
        <w:t>pinyon jay abundance was negatively influenced by</w:t>
      </w:r>
      <w:r>
        <w:t xml:space="preserve"> precipitation</w:t>
      </w:r>
      <w:r w:rsidR="00F11CEB">
        <w:t xml:space="preserve"> during the </w:t>
      </w:r>
      <w:r>
        <w:t xml:space="preserve">breeding and fledging seasons </w:t>
      </w:r>
      <w:r w:rsidR="00F11CEB">
        <w:t>two year</w:t>
      </w:r>
      <w:r w:rsidR="001F4871">
        <w:t>s</w:t>
      </w:r>
      <w:r w:rsidR="00F11CEB">
        <w:t xml:space="preserve"> prior</w:t>
      </w:r>
      <w:r w:rsidR="00677864">
        <w:t xml:space="preserve"> (roughly corresponds to the time to reproductive maturity; </w:t>
      </w:r>
      <w:r w:rsidR="00677864">
        <w:fldChar w:fldCharType="begin"/>
      </w:r>
      <w:r w:rsidR="00117E82">
        <w:instrText xml:space="preserve"> ADDIN ZOTERO_ITEM CSL_CITATION {"citationID":"DRMpU6oJ","properties":{"formattedCitation":"(Marzluff &amp; Balda, 1988)","plainCitation":"(Marzluff &amp; Balda, 1988)","noteIndex":0},"citationItems":[{"id":2861,"uris":["http://zotero.org/groups/5634119/items/CQUD9PTD"],"itemData":{"id":2861,"type":"article-journal","container-title":"The Auk","DOI":"10.2307/4087492","ISSN":"0004-8038, 1938-4254","issue":"2","note":"publisher: Oxford University Press (OUP)","page":"286-295","source":"Crossref","title":"The Advantages of, and Constraints Forcing, Mate Fidelity in Pinyon Jays","volume":"105","author":[{"family":"Marzluff","given":"John M."},{"family":"Balda","given":"Russell P."}],"issued":{"date-parts":[["1988",4]]}}}],"schema":"https://github.com/citation-style-language/schema/raw/master/csl-citation.json"} </w:instrText>
      </w:r>
      <w:r w:rsidR="00677864">
        <w:fldChar w:fldCharType="separate"/>
      </w:r>
      <w:r w:rsidR="00117E82">
        <w:rPr>
          <w:noProof/>
        </w:rPr>
        <w:t>(Marzluff &amp; Balda, 1988)</w:t>
      </w:r>
      <w:r w:rsidR="00677864">
        <w:fldChar w:fldCharType="end"/>
      </w:r>
      <w:r>
        <w:t xml:space="preserve">, with some negative </w:t>
      </w:r>
      <w:r w:rsidR="00F11CEB">
        <w:t xml:space="preserve">influence </w:t>
      </w:r>
      <w:r>
        <w:t xml:space="preserve">from </w:t>
      </w:r>
      <w:r w:rsidR="00F11CEB">
        <w:t xml:space="preserve">precipitation during </w:t>
      </w:r>
      <w:r>
        <w:t>the</w:t>
      </w:r>
      <w:r w:rsidR="00F11CEB">
        <w:t xml:space="preserve"> prior</w:t>
      </w:r>
      <w:r>
        <w:t xml:space="preserve"> fledging season and </w:t>
      </w:r>
      <w:r w:rsidR="00F11CEB">
        <w:t xml:space="preserve">during </w:t>
      </w:r>
      <w:r>
        <w:t>the breeding season three years</w:t>
      </w:r>
      <w:r w:rsidR="00F11CEB">
        <w:t xml:space="preserve"> prior</w:t>
      </w:r>
      <w:r>
        <w:t xml:space="preserve">. </w:t>
      </w:r>
      <w:r w:rsidR="49B9E889">
        <w:t xml:space="preserve">Important seasons for maximum temperature included the </w:t>
      </w:r>
      <w:r w:rsidR="00EC422E">
        <w:t xml:space="preserve">spring </w:t>
      </w:r>
      <w:r w:rsidR="49B9E889">
        <w:t>breeding and</w:t>
      </w:r>
      <w:r w:rsidR="00EC422E">
        <w:t xml:space="preserve"> spring/summer</w:t>
      </w:r>
      <w:r w:rsidR="49B9E889">
        <w:t xml:space="preserve"> </w:t>
      </w:r>
      <w:r w:rsidR="49B9E889">
        <w:lastRenderedPageBreak/>
        <w:t xml:space="preserve">fledging seasons two years </w:t>
      </w:r>
      <w:r w:rsidR="00F11CEB">
        <w:t>prior (</w:t>
      </w:r>
      <w:r w:rsidR="00F11CEB" w:rsidRPr="00EC422E">
        <w:rPr>
          <w:i/>
          <w:iCs/>
        </w:rPr>
        <w:t>w</w:t>
      </w:r>
      <w:r w:rsidR="00C727CD" w:rsidRPr="00281722">
        <w:rPr>
          <w:vertAlign w:val="subscript"/>
        </w:rPr>
        <w:t>3</w:t>
      </w:r>
      <w:r w:rsidR="00F11CEB">
        <w:t xml:space="preserve"> estimates = </w:t>
      </w:r>
      <w:r w:rsidR="49B9E889">
        <w:t xml:space="preserve">0.60 [0.50, 0.69] and 0.34 [0.25, 0.44] for the breeding and fledging seasons, respectively). All other weights were </w:t>
      </w:r>
      <w:r w:rsidR="00F11CEB">
        <w:t xml:space="preserve">very small, indicating that temperature during other seasons and lag periods was unimportant for jay </w:t>
      </w:r>
      <w:r w:rsidR="00F11CEB" w:rsidRPr="002B1C09">
        <w:t>abundance</w:t>
      </w:r>
      <w:r w:rsidR="49B9E889" w:rsidRPr="002B1C09">
        <w:t xml:space="preserve"> (SI Figure </w:t>
      </w:r>
      <w:r w:rsidR="002B1C09" w:rsidRPr="002B1C09">
        <w:t>6</w:t>
      </w:r>
      <w:r w:rsidR="49B9E889" w:rsidRPr="002B1C09">
        <w:t>).</w:t>
      </w:r>
      <w:r w:rsidRPr="002B1C09">
        <w:t xml:space="preserve"> In</w:t>
      </w:r>
      <w:r>
        <w:t xml:space="preserve"> </w:t>
      </w:r>
      <w:r w:rsidR="00F11CEB">
        <w:t>summary</w:t>
      </w:r>
      <w:r>
        <w:t xml:space="preserve">, high temperatures during the breeding and fledging season two years ago had a negative effect on pinyon jay abundance. </w:t>
      </w:r>
    </w:p>
    <w:p w14:paraId="0CAD7B73" w14:textId="1418BF5B" w:rsidR="00677864" w:rsidRDefault="00117E82" w:rsidP="008E765E">
      <w:pPr>
        <w:pStyle w:val="BodyText"/>
        <w:spacing w:before="0" w:after="0"/>
        <w:ind w:firstLine="720"/>
      </w:pPr>
      <w:r>
        <w:t xml:space="preserve">Additional model convergence, performance, and goodness-of-fit </w:t>
      </w:r>
      <w:r w:rsidR="008E765E">
        <w:t xml:space="preserve">statistics </w:t>
      </w:r>
      <w:r>
        <w:t xml:space="preserve">can be found in the Supporting Information. </w:t>
      </w:r>
    </w:p>
    <w:p w14:paraId="6B83AEBB" w14:textId="21C2D65B" w:rsidR="00A065AD" w:rsidRDefault="008734E2" w:rsidP="00D351AD">
      <w:pPr>
        <w:pStyle w:val="Heading1"/>
        <w:spacing w:before="180" w:after="180"/>
      </w:pPr>
      <w:r>
        <w:t>3</w:t>
      </w:r>
      <w:r w:rsidR="00A63129" w:rsidRPr="00F83DDB">
        <w:t xml:space="preserve"> Discussion</w:t>
      </w:r>
    </w:p>
    <w:p w14:paraId="41F6347B" w14:textId="4D9F4ED9" w:rsidR="00B10674" w:rsidRDefault="00662164" w:rsidP="00F97BBF">
      <w:pPr>
        <w:pStyle w:val="BodyText"/>
        <w:spacing w:before="0" w:after="0"/>
        <w:ind w:firstLine="720"/>
      </w:pPr>
      <w:r>
        <w:t xml:space="preserve">In this study, we demonstrate that </w:t>
      </w:r>
      <w:r w:rsidR="00B10674">
        <w:t>the link between</w:t>
      </w:r>
      <w:r w:rsidR="000F1361">
        <w:t xml:space="preserve"> pinyon pine</w:t>
      </w:r>
      <w:r w:rsidR="00B10674">
        <w:t xml:space="preserve"> seed availability and </w:t>
      </w:r>
      <w:r w:rsidR="000F1361">
        <w:t>pinyon jay abundance</w:t>
      </w:r>
      <w:r w:rsidR="00B10674">
        <w:t xml:space="preserve"> is a key aspect of understanding </w:t>
      </w:r>
      <w:r w:rsidR="000F1361">
        <w:t xml:space="preserve">pinyon jay </w:t>
      </w:r>
      <w:r w:rsidR="00B10674">
        <w:t xml:space="preserve">population trends. </w:t>
      </w:r>
      <w:r w:rsidR="000F1361">
        <w:t xml:space="preserve">Unsurprisingly, we observed </w:t>
      </w:r>
      <w:r w:rsidR="00F1297B">
        <w:t>a positive relationship between cone and bird abundance</w:t>
      </w:r>
      <w:r w:rsidR="000F1361">
        <w:t xml:space="preserve">. </w:t>
      </w:r>
      <w:r w:rsidR="00B10674">
        <w:t>Birds exhibited complex temporal relationships with cone availability in support of two hypotheses about behavior and reproduction in this species. Specifically, birds aggregate near sites where they cached seeds produced during the previous fall (“immediate” response) and the legacy of population boons from masting years can be observed up to three years after seed production (“delayed” response</w:t>
      </w:r>
      <w:r w:rsidR="00B10674" w:rsidRPr="00C727CD">
        <w:t>, Figure 2</w:t>
      </w:r>
      <w:r w:rsidR="00B10674">
        <w:t xml:space="preserve">). </w:t>
      </w:r>
      <w:r w:rsidR="00F1297B">
        <w:t>Furthermore, t</w:t>
      </w:r>
      <w:r w:rsidR="00DA6BA9">
        <w:t>he</w:t>
      </w:r>
      <w:r w:rsidR="00240BE0">
        <w:t xml:space="preserve"> relationship between pinyon jay abundance and seed availability is mediated by </w:t>
      </w:r>
      <w:r w:rsidR="000F1361">
        <w:t>habitat and climate</w:t>
      </w:r>
      <w:r w:rsidR="00F4615A">
        <w:t xml:space="preserve">. </w:t>
      </w:r>
      <w:r w:rsidR="00240BE0">
        <w:t xml:space="preserve">These interactive relationships suggest </w:t>
      </w:r>
      <w:r w:rsidR="00F97BBF">
        <w:t xml:space="preserve">two ecological mediators of the jay-seed dependency: birds rely more on seeds </w:t>
      </w:r>
      <w:r w:rsidR="00240BE0">
        <w:t>following “stressful” climatic conditions during the nesting season and</w:t>
      </w:r>
      <w:r w:rsidR="00F97BBF">
        <w:t xml:space="preserve"> rely less on seeds</w:t>
      </w:r>
      <w:r w:rsidR="00240BE0">
        <w:t xml:space="preserve"> in more “suitable” habitat. </w:t>
      </w:r>
      <w:r w:rsidR="00B10674">
        <w:t>While climate is clearly a</w:t>
      </w:r>
      <w:r w:rsidR="00F97BBF">
        <w:t xml:space="preserve"> strong </w:t>
      </w:r>
      <w:r w:rsidR="00B10674">
        <w:t>proxima</w:t>
      </w:r>
      <w:r w:rsidR="00F97BBF">
        <w:t>te</w:t>
      </w:r>
      <w:r w:rsidR="00B10674">
        <w:t xml:space="preserve"> driver of population abundance in </w:t>
      </w:r>
      <w:r w:rsidR="000F1361">
        <w:t>pinyon jays</w:t>
      </w:r>
      <w:r w:rsidR="00B10674">
        <w:t xml:space="preserve">, the biotic interaction with </w:t>
      </w:r>
      <w:r w:rsidR="000F1361">
        <w:t>seed availability</w:t>
      </w:r>
      <w:r w:rsidR="00B10674">
        <w:t xml:space="preserve"> is </w:t>
      </w:r>
      <w:r w:rsidR="002E21C0">
        <w:t xml:space="preserve">of </w:t>
      </w:r>
      <w:r w:rsidR="00F97BBF">
        <w:t>comparable</w:t>
      </w:r>
      <w:r w:rsidR="002E21C0">
        <w:t xml:space="preserve"> importance</w:t>
      </w:r>
      <w:r w:rsidR="00F97BBF">
        <w:t xml:space="preserve"> to climate and habitat conditions. </w:t>
      </w:r>
      <w:r w:rsidR="00117E82">
        <w:t xml:space="preserve">Current populations of pinyon jays have likely already been impacted by recent declines in pinyon cone production </w:t>
      </w:r>
      <w:r w:rsidR="00117E82">
        <w:fldChar w:fldCharType="begin"/>
      </w:r>
      <w:r w:rsidR="00117E82">
        <w:instrText xml:space="preserve"> ADDIN ZOTERO_ITEM CSL_CITATION {"citationID":"LDuNiuLg","properties":{"formattedCitation":"(Wion 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117E82">
        <w:fldChar w:fldCharType="separate"/>
      </w:r>
      <w:r w:rsidR="00117E82">
        <w:rPr>
          <w:noProof/>
        </w:rPr>
        <w:t>(Wion et al., 2025)</w:t>
      </w:r>
      <w:r w:rsidR="00117E82">
        <w:fldChar w:fldCharType="end"/>
      </w:r>
      <w:r w:rsidR="00117E82">
        <w:t>, and a</w:t>
      </w:r>
      <w:r w:rsidR="00B10674">
        <w:t xml:space="preserve">s the pinyon pine-pinyon jay system </w:t>
      </w:r>
      <w:r w:rsidR="00B10674">
        <w:lastRenderedPageBreak/>
        <w:t>continues to change,</w:t>
      </w:r>
      <w:r w:rsidR="00F1297B">
        <w:t xml:space="preserve"> explicitly</w:t>
      </w:r>
      <w:r w:rsidR="00B10674">
        <w:t xml:space="preserve"> building the interaction between these species into models of population trends will be key for identifying conservation priorities (</w:t>
      </w:r>
      <w:commentRangeStart w:id="11"/>
      <w:r w:rsidR="00B10674">
        <w:t xml:space="preserve">Miller-ter Kuile, in review). </w:t>
      </w:r>
      <w:commentRangeEnd w:id="11"/>
      <w:r w:rsidR="00B10674">
        <w:rPr>
          <w:rStyle w:val="CommentReference"/>
          <w:sz w:val="24"/>
          <w:szCs w:val="24"/>
        </w:rPr>
        <w:commentReference w:id="11"/>
      </w:r>
    </w:p>
    <w:p w14:paraId="070AB889" w14:textId="341E8019" w:rsidR="002E21C0" w:rsidRDefault="008734E2" w:rsidP="00E7666B">
      <w:pPr>
        <w:pStyle w:val="BodyText"/>
        <w:rPr>
          <w:i/>
          <w:iCs/>
        </w:rPr>
      </w:pPr>
      <w:r>
        <w:rPr>
          <w:i/>
          <w:iCs/>
        </w:rPr>
        <w:t>3</w:t>
      </w:r>
      <w:r w:rsidR="00CC5652" w:rsidRPr="00E7666B">
        <w:rPr>
          <w:i/>
          <w:iCs/>
        </w:rPr>
        <w:t xml:space="preserve">.1 </w:t>
      </w:r>
      <w:r w:rsidR="001E115E">
        <w:rPr>
          <w:i/>
          <w:iCs/>
        </w:rPr>
        <w:t xml:space="preserve">Jays have immediate and delayed responses to cone availability </w:t>
      </w:r>
    </w:p>
    <w:p w14:paraId="4B2C871D" w14:textId="0B58A462" w:rsidR="002E21C0" w:rsidRDefault="002E21C0" w:rsidP="00AB69C7">
      <w:pPr>
        <w:pStyle w:val="BodyText"/>
        <w:spacing w:before="0" w:after="0"/>
        <w:ind w:firstLine="720"/>
      </w:pPr>
      <w:r>
        <w:t xml:space="preserve">Populations of seed dispersers and predators have various temporal responses to seed availability </w:t>
      </w:r>
      <w:r>
        <w:fldChar w:fldCharType="begin"/>
      </w:r>
      <w:r>
        <w:instrText xml:space="preserve"> ADDIN ZOTERO_ITEM CSL_CITATION {"citationID":"6azbzg2h","properties":{"formattedCitation":"(Bergeron et al., 2011; Boutin et al., 2006; Fietz et al., 2009)","plainCitation":"(Bergeron et al., 2011; Boutin et al., 2006; Fietz et al., 2009)","dontUpdate":true,"noteIndex":0},"citationItems":[{"id":2983,"uris":["http://zotero.org/groups/5634119/items/JHIYW3CU"],"itemData":{"id":2983,"type":"article-journal","abstract":"Mast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M."},{"family":"Garant","given":"Dany"}],"issued":{"date-parts":[["2011",11]]}}},{"id":3039,"uris":["http://zotero.org/users/6391447/items/6BQYI7CS"],"itemData":{"id":3039,"type":"article-journal","container-title":"Journal of Comparative Physiology B","DOI":"10.1007/s00360-009-0364-2","ISSN":"0174-1578, 1432-136X","issue":"7","journalAbbreviation":"J Comp Physiol B","language":"en","license":"http://www.springer.com/tdm","page":"829-837","source":"DOI.org (Crossref)","title":"Is energy supply the trigger for reproductive activity in male edible dormice (Glis glis)?","volume":"179","author":[{"family":"Fietz","given":"Joanna"},{"family":"Kager","given":"Timo"},{"family":"Schauer","given":"Sebastian"}],"issued":{"date-parts":[["2009",10]]}}}],"schema":"https://github.com/citation-style-language/schema/raw/master/csl-citation.json"} </w:instrText>
      </w:r>
      <w:r>
        <w:fldChar w:fldCharType="separate"/>
      </w:r>
      <w:r>
        <w:rPr>
          <w:noProof/>
        </w:rPr>
        <w:t xml:space="preserve">("anticipatory": Bergeron et al., 2011; Boutin et al., 2006; Fietz et al., 2009; "immediate" and "delayed": </w:t>
      </w:r>
      <w:r w:rsidRPr="00AA3036">
        <w:rPr>
          <w:rFonts w:cs="Times New Roman"/>
        </w:rPr>
        <w:t>Lindén et al., 2011; Schnurr et al., 2002; Selonen et al., 2015</w:t>
      </w:r>
      <w:r>
        <w:rPr>
          <w:noProof/>
        </w:rPr>
        <w:t>)</w:t>
      </w:r>
      <w:r>
        <w:fldChar w:fldCharType="end"/>
      </w:r>
      <w:r>
        <w:t xml:space="preserve">. Understanding which of these relationships shape seed disperser population responses is key for building conservation strategies. In this case, we </w:t>
      </w:r>
      <w:r w:rsidR="00AB69C7">
        <w:t>observed larger aggregations of pinyon jays</w:t>
      </w:r>
      <w:r>
        <w:t xml:space="preserve"> in the spring breeding season </w:t>
      </w:r>
      <w:r w:rsidR="00670A32">
        <w:t xml:space="preserve">following mast years, likely because birds nest near seed caches </w:t>
      </w:r>
      <w:r w:rsidR="00670A32">
        <w:fldChar w:fldCharType="begin"/>
      </w:r>
      <w:r w:rsidR="00670A32">
        <w:instrText xml:space="preserve"> ADDIN ZOTERO_ITEM CSL_CITATION {"citationID":"6WYDHRuN","properties":{"formattedCitation":"(Marzluff &amp; Balda, 1992)","plainCitation":"(Marzluff &amp; Balda, 1992)","noteIndex":0},"citationItems":[{"id":3031,"uris":["http://zotero.org/users/6391447/items/ADY52QPF"],"itemData":{"id":3031,"type":"book","event-place":"London","publisher":"T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rsidR="00670A32">
        <w:fldChar w:fldCharType="separate"/>
      </w:r>
      <w:r w:rsidR="00670A32">
        <w:rPr>
          <w:noProof/>
        </w:rPr>
        <w:t>(Marzluff &amp; Balda, 1992)</w:t>
      </w:r>
      <w:r w:rsidR="00670A32">
        <w:fldChar w:fldCharType="end"/>
      </w:r>
      <w:r>
        <w:t xml:space="preserve">. While </w:t>
      </w:r>
      <w:r w:rsidR="00AB69C7">
        <w:t>the reproductive output of these aggregations is unmeasured</w:t>
      </w:r>
      <w:r>
        <w:t xml:space="preserve">, we </w:t>
      </w:r>
      <w:r w:rsidR="00AB69C7">
        <w:t>observe</w:t>
      </w:r>
      <w:r>
        <w:t xml:space="preserve"> a legacy</w:t>
      </w:r>
      <w:r w:rsidR="00AB69C7">
        <w:t xml:space="preserve"> of masting</w:t>
      </w:r>
      <w:r>
        <w:t xml:space="preserve"> for the next two breeding seasons</w:t>
      </w:r>
      <w:r w:rsidR="00AB69C7">
        <w:t xml:space="preserve"> suggesting a </w:t>
      </w:r>
      <w:r w:rsidR="00670A32">
        <w:t>three-year</w:t>
      </w:r>
      <w:r w:rsidR="00AB69C7">
        <w:t xml:space="preserve"> population increase following a masting event. </w:t>
      </w:r>
      <w:r>
        <w:t xml:space="preserve">That we did not see an “anticipatory” response to cone availability goes against some published observations (e.g., </w:t>
      </w:r>
      <w:r>
        <w:fldChar w:fldCharType="begin"/>
      </w:r>
      <w:r w:rsidR="00B332AB">
        <w:instrText xml:space="preserve"> ADDIN ZOTERO_ITEM CSL_CITATION {"citationID":"1RPFgqVU","properties":{"formattedCitation":"(Ligon, 1973)","plainCitation":"(Ligon, 1973)","dontUpdate":true,"noteIndex":0},"citationItems":[{"id":42,"uris":["http://zotero.org/users/6391447/items/GTLZTBRN"],"itemData":{"id":42,"type":"article-journal","container-title":"The Auk","issue":"4","page":"862-869","title":"Foraging behavior of the white-headed woodpecker in Idaho","volume":"90","author":[{"family":"Ligon","given":"J. David"}],"issued":{"date-parts":[["1973"]]}}}],"schema":"https://github.com/citation-style-language/schema/raw/master/csl-citation.json"} </w:instrText>
      </w:r>
      <w:r>
        <w:fldChar w:fldCharType="separate"/>
      </w:r>
      <w:r>
        <w:rPr>
          <w:noProof/>
        </w:rPr>
        <w:t>Ligon, 1973)</w:t>
      </w:r>
      <w:r>
        <w:fldChar w:fldCharType="end"/>
      </w:r>
      <w:r>
        <w:t xml:space="preserve">. </w:t>
      </w:r>
      <w:r w:rsidR="0093338E">
        <w:t xml:space="preserve">Pinyon cone maturation takes multiple years and cones are likely to abort </w:t>
      </w:r>
      <w:r>
        <w:fldChar w:fldCharType="begin"/>
      </w:r>
      <w:r>
        <w:instrText xml:space="preserve"> ADDIN ZOTERO_ITEM CSL_CITATION {"citationID":"4Wq78QD0","properties":{"formattedCitation":"(Parmenter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fldChar w:fldCharType="separate"/>
      </w:r>
      <w:r>
        <w:rPr>
          <w:noProof/>
        </w:rPr>
        <w:t>(Parmenter et al., 2018)</w:t>
      </w:r>
      <w:r>
        <w:fldChar w:fldCharType="end"/>
      </w:r>
      <w:r w:rsidR="0093338E">
        <w:t>. Thus, it may not be adaptive for jays to predict a seed year when visual cues are not reliable</w:t>
      </w:r>
      <w:r>
        <w:t xml:space="preserve">. In other systems where anticipatory responses have been </w:t>
      </w:r>
      <w:r w:rsidRPr="00C5145A">
        <w:t>observed (e.g., red squirrels in both North America and Europe;</w:t>
      </w:r>
      <w:r>
        <w:t xml:space="preserve"> multiple tree species, </w:t>
      </w:r>
      <w:r>
        <w:fldChar w:fldCharType="begin"/>
      </w:r>
      <w:r>
        <w:instrText xml:space="preserve"> ADDIN ZOTERO_ITEM CSL_CITATION {"citationID":"dq2eWUJL","properties":{"formattedCitation":"(Boutin et al., 2006)","plainCitation":"(Boutin et al., 2006)","noteIndex":0},"citationItems":[{"id":2983,"uris":["http://zotero.org/groups/5634119/items/JHIYW3CU"],"itemData":{"id":2983,"type":"article-journal","abstract":"Mast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A."}],"issued":{"date-parts":[["2006",12,22]]}}}],"schema":"https://github.com/citation-style-language/schema/raw/master/csl-citation.json"} </w:instrText>
      </w:r>
      <w:r>
        <w:fldChar w:fldCharType="separate"/>
      </w:r>
      <w:r>
        <w:rPr>
          <w:noProof/>
        </w:rPr>
        <w:t>Boutin et al., 2006)</w:t>
      </w:r>
      <w:r>
        <w:fldChar w:fldCharType="end"/>
      </w:r>
      <w:r>
        <w:t>, the anticipatory and synchronous responses are often reproductive, not behavioral. Thus, anticipatory or synchronous responses may be more likely in</w:t>
      </w:r>
      <w:r w:rsidR="0093338E">
        <w:t xml:space="preserve"> systems where masting plants have more reliable visual cues for realized seed availability or where </w:t>
      </w:r>
      <w:r>
        <w:t>seed-eating species have more flexible reproduction (e.g., rodents)</w:t>
      </w:r>
      <w:r w:rsidR="0093338E">
        <w:t>.</w:t>
      </w:r>
    </w:p>
    <w:p w14:paraId="3E95D9B1" w14:textId="2A9DB420" w:rsidR="00EB3D45" w:rsidRPr="000C1F3C" w:rsidRDefault="008734E2" w:rsidP="00EB3D45">
      <w:pPr>
        <w:pStyle w:val="BodyText"/>
        <w:rPr>
          <w:i/>
          <w:iCs/>
        </w:rPr>
      </w:pPr>
      <w:r>
        <w:rPr>
          <w:i/>
          <w:iCs/>
        </w:rPr>
        <w:t>3</w:t>
      </w:r>
      <w:r w:rsidR="00EB3D45" w:rsidRPr="000C1F3C">
        <w:rPr>
          <w:i/>
          <w:iCs/>
        </w:rPr>
        <w:t>.2 Habitat and climate shape the relationship between jays and pinyon seeds</w:t>
      </w:r>
    </w:p>
    <w:p w14:paraId="1225A10F" w14:textId="786269E4" w:rsidR="00E255F5" w:rsidRDefault="002C2F27" w:rsidP="00D5436E">
      <w:pPr>
        <w:pStyle w:val="BodyText"/>
        <w:spacing w:before="0" w:after="0"/>
        <w:ind w:firstLine="720"/>
      </w:pPr>
      <w:r>
        <w:lastRenderedPageBreak/>
        <w:t>In addition to the temporal legacies of cone availability, we also observed</w:t>
      </w:r>
      <w:r w:rsidR="00D5436E">
        <w:t xml:space="preserve"> </w:t>
      </w:r>
      <w:r>
        <w:t>that the importance of seed availability to pinyon jay populations is not constant across climate and habitat conditions</w:t>
      </w:r>
      <w:r w:rsidR="00D5436E">
        <w:t xml:space="preserve">. </w:t>
      </w:r>
      <w:r w:rsidR="00EB3D45">
        <w:t>We found two predictable patterns</w:t>
      </w:r>
      <w:r w:rsidR="00D5436E">
        <w:t xml:space="preserve"> in these dynamics. </w:t>
      </w:r>
      <w:r w:rsidR="00EB3D45">
        <w:t xml:space="preserve">First, jays rely more heavily on cones following climatic conditions that </w:t>
      </w:r>
      <w:r w:rsidR="00DD1543">
        <w:t>are</w:t>
      </w:r>
      <w:r w:rsidR="00EB3D45">
        <w:t xml:space="preserve"> unfavorable for reproduction and population growth (Figure 5a, 5b) </w:t>
      </w:r>
      <w:r w:rsidR="00EB3D45">
        <w:fldChar w:fldCharType="begin"/>
      </w:r>
      <w:r w:rsidR="00EB3D45">
        <w:instrText xml:space="preserve"> ADDIN ZOTERO_ITEM CSL_CITATION {"citationID":"wCJt3ADZ","properties":{"formattedCitation":"(Ligon, 1978; Marzluff, 1988)","plainCitation":"(Ligon, 1978; Marzluff, 1988)","noteIndex":0},"citationItems":[{"id":2753,"uris":["http://zotero.org/groups/5634119/items/4RGGXF3K"],"itemData":{"id":2753,"type":"article-journal","abstract":"Pinon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Behaviour","DOI":"10.1016/s0003-3472(88)80244-6","ISSN":"0003-3472","issue":"1","language":"en","license":"https://www.elsevier.com/tdm/userlicense/1.0/","note":"publisher: Elsevier BV","page":"1-10","source":"Crossref","title":"Do pinyon jays alter nest placement based on prior experience?","volume":"36","author":[{"family":"Marzluff","given":"John M."}],"issued":{"date-parts":[["1988",2]]}}}],"schema":"https://github.com/citation-style-language/schema/raw/master/csl-citation.json"} </w:instrText>
      </w:r>
      <w:r w:rsidR="00EB3D45">
        <w:fldChar w:fldCharType="separate"/>
      </w:r>
      <w:r w:rsidR="00EB3D45">
        <w:rPr>
          <w:noProof/>
        </w:rPr>
        <w:t>(Ligon, 1978; Marzluff, 1988)</w:t>
      </w:r>
      <w:r w:rsidR="00EB3D45">
        <w:fldChar w:fldCharType="end"/>
      </w:r>
      <w:r w:rsidR="00EB3D45">
        <w:t xml:space="preserve">. Second, jays are less reliant on cones in areas with more favorable habitat (Figure 5c, 5d) </w:t>
      </w:r>
      <w:r w:rsidR="00EB3D45">
        <w:fldChar w:fldCharType="begin"/>
      </w:r>
      <w:r w:rsidR="00EB3D45">
        <w:instrText xml:space="preserve"> ADDIN ZOTERO_ITEM CSL_CITATION {"citationID":"RlgxL6Qz","properties":{"formattedCitation":"(Boone et al., 2018; Johnson et al., 2016; Ligon, 1978; Neilson &amp; Wullstein, 1983; Van Lanen et al., 2023)","plainCitation":"(Boone et al., 2018; Johnson et al., 2016; Ligon, 1978; Neilson &amp; Wullstein, 1983;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2903,"uris":["http://zotero.org/groups/5634119/items/XYDLLE9X"],"itemData":{"id":2903,"type":"article-journal","container-title":"Avian Conservation and Ecology","DOI":"10.5751/ace-00890-110206","ISSN":"1712-6568","issue":"2","journalAbbreviation":"ACE","language":"en","note":"publisher: Resilience Alliance, Inc.","source":"Crossref","title":"Home range- and colony-scale habitat models for Pinyon Jays in piñon-juniper woodlands of New Mexico, USA","URL":"http://www.ace-eco.org/vol11/iss2/art6/","volume":"11","author":[{"family":"Johnson","given":"Kristine"},{"family":"Neville","given":"Teri B."},{"family":"Smith","given":"Jacqueline W."},{"family":"Horner","given":"Mark W."}],"accessed":{"date-parts":[["2025",7,16]]},"issued":{"date-parts":[["2016"]]}}},{"id":2753,"uris":["http://zotero.org/groups/5634119/items/4RGGXF3K"],"itemData":{"id":2753,"type":"article-journal","abstract":"Pinon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L."}],"issued":{"date-parts":[["2023",4]]}}},{"id":3003,"uris":["http://zotero.org/users/6391447/items/7P8TEDBC"],"itemData":{"id":3003,"type":"article-journal","container-title":"Journal of Biogeography","DOI":"10.2307/2844738","ISSN":"03050270","issue":"4","journalAbbreviation":"Journal of Biogeography","page":"275","source":"DOI.org (Crossref)","title":"Biogeography of Two Southwest American Oaks in Relation to Atmospheric Dynamics","volume":"10","author":[{"family":"Neilson","given":"R. P."},{"family":"Wullstein","given":"L. H."}],"issued":{"date-parts":[["1983",7]]}}}],"schema":"https://github.com/citation-style-language/schema/raw/master/csl-citation.json"} </w:instrText>
      </w:r>
      <w:r w:rsidR="00EB3D45">
        <w:fldChar w:fldCharType="separate"/>
      </w:r>
      <w:r w:rsidR="00EB3D45">
        <w:rPr>
          <w:noProof/>
        </w:rPr>
        <w:t>(Boone et al., 2018; Johnson et al., 2016; Ligon, 1978; Neilson &amp; Wullstein, 1983; Van Lanen et al., 2023)</w:t>
      </w:r>
      <w:r w:rsidR="00EB3D45">
        <w:fldChar w:fldCharType="end"/>
      </w:r>
      <w:r w:rsidR="00EB3D45">
        <w:t xml:space="preserve">. </w:t>
      </w:r>
      <w:r w:rsidR="00DD1543">
        <w:t xml:space="preserve">Projected climate change in the southwest </w:t>
      </w:r>
      <w:r w:rsidR="001F5D31">
        <w:t>likely means</w:t>
      </w:r>
      <w:r w:rsidR="00DD1543">
        <w:t xml:space="preserve"> increased warming and</w:t>
      </w:r>
      <w:r w:rsidR="001F5D31">
        <w:t xml:space="preserve"> more</w:t>
      </w:r>
      <w:r w:rsidR="00DD1543">
        <w:t xml:space="preserve"> intense winter precipitation </w:t>
      </w:r>
      <w:r w:rsidR="00DD1543">
        <w:fldChar w:fldCharType="begin"/>
      </w:r>
      <w:r w:rsidR="00DD1543">
        <w:instrText xml:space="preserve"> ADDIN ZOTERO_ITEM CSL_CITATION {"citationID":"sw8rHzl5","properties":{"formattedCitation":"(Garfin et al., 2013)","plainCitation":"(Garfin et al., 2013)","noteIndex":0},"citationItems":[{"id":3149,"uris":["http://zotero.org/groups/5634119/items/U69K2EZF"],"itemData":{"id":3149,"type":"book","abstract":"Assessment of Climate Change in the Southwest United States, one of a series of regional reports prepared for the 2013 National Climate Assessment, is a landmark study in terms of its breadth and depth of coverage. Coordinated by the Southwest Climate Alliance--a consortium of researchers affiliated with the NOAA Regional Integrated Sciences and Assessments in the Southwest (California-Nevada Applications Program, Climate Assessment for the Southwest, Western Water Assessment) and the Department of the Interior Southwest Climate Science Center--the report blends the contributions of 120 experts in climate science, economics, ecology, engineering, geography, hydrology, planning, resource management, and other disciplines to provide the most comprehensive, and understandable, analysis to date about climate and its effects on the people and landscapes of Arizona, California, Colorado, Nevada, New Mexico, and Utah--including the U.S.- Mexico border region and the lands of Native Nations. What is the climate of the Southwest like today? What has it been like in the past, and how is it projected to change over the 21st century? How will that affect water resources, ecosystems, agricultural production, energy supply and delivery, transportation, human health, and a host of other areas? How vulnerable is the region to climate change? What else do we need to know about it, and how can we limit its adverse effects? This report addresses these and other questions, offering decision makers and stakeholders a substantial basis from which to make informed choices that will affect the well-being of the region's inhabitants in the decades to come","collection-title":"National Climate Assessment regional technical input report series","event-place":"Washington, [DC]","ISBN":"978-1-61091-446-8","language":"eng","number-of-pages":"506","publisher":"Island Press","publisher-place":"Washington, [DC]","source":"K10plus ISBN","title":"Assessment of climate change in southwest United States: a report prepared for the National Climate Assessment","title-short":"Assessment of climate change in southwest United States","editor":[{"family":"Garfin","given":"Gregg"},{"family":"Jardine","given":"Angela"},{"family":"Merideth","given":"Robert"},{"family":"Black","given":"Mary"},{"family":"LeRoy","given":"Sarah"}],"issued":{"date-parts":[["2013"]]}}}],"schema":"https://github.com/citation-style-language/schema/raw/master/csl-citation.json"} </w:instrText>
      </w:r>
      <w:r w:rsidR="00DD1543">
        <w:fldChar w:fldCharType="separate"/>
      </w:r>
      <w:r w:rsidR="00DD1543">
        <w:rPr>
          <w:noProof/>
        </w:rPr>
        <w:t>(Garfin et al., 2013)</w:t>
      </w:r>
      <w:r w:rsidR="00DD1543">
        <w:fldChar w:fldCharType="end"/>
      </w:r>
      <w:r w:rsidR="001F5D31">
        <w:t xml:space="preserve">. </w:t>
      </w:r>
      <w:r w:rsidR="00D5436E">
        <w:t>This</w:t>
      </w:r>
      <w:r w:rsidR="001F5D31">
        <w:t xml:space="preserve"> </w:t>
      </w:r>
      <w:r w:rsidR="00D5436E">
        <w:t xml:space="preserve">means the future holds more “stressful” climate conditions for </w:t>
      </w:r>
      <w:r w:rsidR="001F5D31">
        <w:t xml:space="preserve">pinyon jays in which they </w:t>
      </w:r>
      <w:r w:rsidR="00DD1543">
        <w:t>will continue to rely heavily on cone</w:t>
      </w:r>
      <w:r w:rsidR="00D5436E">
        <w:t>s</w:t>
      </w:r>
      <w:r w:rsidR="00DD1543">
        <w:t xml:space="preserve">. </w:t>
      </w:r>
    </w:p>
    <w:p w14:paraId="054F9C0B" w14:textId="4D0DDB12" w:rsidR="00E255F5" w:rsidRPr="00E255F5" w:rsidRDefault="00E255F5" w:rsidP="00E255F5">
      <w:pPr>
        <w:pStyle w:val="BodyText"/>
        <w:spacing w:before="0" w:after="0"/>
        <w:rPr>
          <w:i/>
          <w:iCs/>
        </w:rPr>
      </w:pPr>
      <w:r>
        <w:rPr>
          <w:i/>
          <w:iCs/>
        </w:rPr>
        <w:t>3.3 The status of the pinyon jay – pinyon pine system</w:t>
      </w:r>
    </w:p>
    <w:p w14:paraId="64F57EAB" w14:textId="253BEBFB" w:rsidR="00D5436E" w:rsidRDefault="00E255F5" w:rsidP="00E255F5">
      <w:pPr>
        <w:pStyle w:val="BodyText"/>
        <w:spacing w:before="0" w:after="0"/>
        <w:ind w:firstLine="720"/>
      </w:pPr>
      <w:r>
        <w:t xml:space="preserve">Population trend analyses are challenging with the relative short term nature of many ecological datasets </w:t>
      </w:r>
      <w:r>
        <w:fldChar w:fldCharType="begin"/>
      </w:r>
      <w:r>
        <w:instrText xml:space="preserve"> ADDIN ZOTERO_ITEM CSL_CITATION {"citationID":"cdGrYKLk","properties":{"formattedCitation":"(Cusser et al., 2021)","plainCitation":"(Cusser et al., 2021)","noteIndex":0},"citationItems":[{"id":2521,"uris":["http://zotero.org/users/6391447/items/VFT6VMYG"],"itemData":{"id":2521,"type":"article-journal","abstract":"Abstract\n            We utilise the wealth of data accessible through the 40‐year‐old Long‐Term Ecological Research (LTER) network to ask if aspects of the study environment or taxa alter the duration of research necessary to detect consistent results. To do this, we use a moving‐window algorithm. We limit our analysis to long‐term (&gt; 10 year) press experiments recording organismal abundance. We find that studies conducted in dynamic abiotic environments need longer periods of study to reach consistent results, as compared to those conducted in more moderated environments. Studies of plants were more often characterised by spurious results than those on animals. Nearly half of the studies we investigated required 10 years or longer to become consistent, where all significant trends agreed in direction, and four studies (of 100) required longer than 20 years. Here, we champion the importance of long‐term data and bolster the value of multi‐decadal experiments in understanding, explaining and predicting long‐term trends.","container-title":"Ecology Letters","DOI":"10.1111/ele.13710","ISSN":"1461-023X, 1461-0248","issue":"5","journalAbbreviation":"Ecology Letters","language":"en","page":"1103-1111","source":"DOI.org (Crossref)","title":"How long do population level field experiments need to be? Utilising data from the 40‐year‐old LTER network","title-short":"How long do population level field experiments need to be?","volume":"24","author":[{"family":"Cusser","given":"Sarah"},{"family":"Helms","given":"Jackson"},{"family":"Bahlai","given":"Christie A."},{"family":"Haddad","given":"Nick M."}],"editor":[{"family":"Chase","given":"Jonathan"}],"issued":{"date-parts":[["2021",5]]}}}],"schema":"https://github.com/citation-style-language/schema/raw/master/csl-citation.json"} </w:instrText>
      </w:r>
      <w:r>
        <w:fldChar w:fldCharType="separate"/>
      </w:r>
      <w:r>
        <w:rPr>
          <w:noProof/>
        </w:rPr>
        <w:t>(Cusser et al., 2021)</w:t>
      </w:r>
      <w:r>
        <w:fldChar w:fldCharType="end"/>
      </w:r>
      <w:r>
        <w:t xml:space="preserve">. However, we can use the results from this broad-scale, long-term study to develop informed moving windows for this species for evaluating trends (e.g., using a three-year broken window cutoff based on our observed temporal legacy; </w:t>
      </w:r>
      <w:r>
        <w:fldChar w:fldCharType="begin"/>
      </w:r>
      <w:r>
        <w:instrText xml:space="preserve"> ADDIN ZOTERO_ITEM CSL_CITATION {"citationID":"9hnaTHbT","properties":{"formattedCitation":"(Bahlai et al., 2021)","plainCitation":"(Bahlai et al., 2021)","dontUpdate":true,"noteIndex":0},"citationItems":[{"id":3147,"uris":["http://zotero.org/users/6391447/items/CJGZ64T5"],"itemData":{"id":3147,"type":"article-journal","container-title":"Ecological Informatics","DOI":"10.1016/j.ecoinf.2021.101336","ISSN":"15749541","journalAbbreviation":"Ecological Informatics","language":"en","page":"101336","source":"DOI.org (Crossref)","title":"The broken window: An algorithm for quantifying and characterizing misleading trajectories in ecological processes","title-short":"The broken window","volume":"64","author":[{"family":"Bahlai","given":"Christie A."},{"family":"White","given":"Easton R."},{"family":"Perrone","given":"Julia D."},{"family":"Cusser","given":"Sarah"},{"family":"Stack Whitney","given":"Kaitlin"}],"issued":{"date-parts":[["2021",9]]}}}],"schema":"https://github.com/citation-style-language/schema/raw/master/csl-citation.json"} </w:instrText>
      </w:r>
      <w:r>
        <w:fldChar w:fldCharType="separate"/>
      </w:r>
      <w:r>
        <w:rPr>
          <w:noProof/>
        </w:rPr>
        <w:t>Bahlai et al., 2021)</w:t>
      </w:r>
      <w:r>
        <w:fldChar w:fldCharType="end"/>
      </w:r>
      <w:r>
        <w:t xml:space="preserve">. Furthermore, because we know populations persist in areas of high cone production, we can prioritize conservation in areas where cone production has been relatively stable through time (e.g., central Utah; </w:t>
      </w:r>
      <w:r>
        <w:fldChar w:fldCharType="begin"/>
      </w:r>
      <w:r>
        <w:instrText xml:space="preserve"> ADDIN ZOTERO_ITEM CSL_CITATION {"citationID":"qUGdmaqP","properties":{"formattedCitation":"(Wion et al., 2025)","plainCitation":"(Wion et al., 2025)","dontUpdate":true,"noteIndex":0},"citationItems":[{"id":2858,"uris":["http://zotero.org/groups/5634119/items/5C7JLPYL"],"itemData":{"id":2858,"type":"article-journal","abstract":"SummaryPredicting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fldChar w:fldCharType="separate"/>
      </w:r>
      <w:r>
        <w:rPr>
          <w:noProof/>
        </w:rPr>
        <w:t>Figure 4 in Wion et al., 2025)</w:t>
      </w:r>
      <w:r>
        <w:fldChar w:fldCharType="end"/>
      </w:r>
      <w:r>
        <w:t>. Further, w</w:t>
      </w:r>
      <w:r w:rsidR="001F5D31">
        <w:t>hile habitat variables had much weaker effects, areas with higher pinyon basal area and</w:t>
      </w:r>
      <w:r w:rsidR="00D5436E">
        <w:t xml:space="preserve"> summer </w:t>
      </w:r>
      <w:r w:rsidR="001F5D31">
        <w:t>monsoon</w:t>
      </w:r>
      <w:r w:rsidR="00D5436E">
        <w:t>al</w:t>
      </w:r>
      <w:r w:rsidR="001F5D31">
        <w:t xml:space="preserve"> moisture may be key for supporting local populations. </w:t>
      </w:r>
      <w:r w:rsidR="00D5436E">
        <w:t xml:space="preserve">All species interactions are context dependent </w:t>
      </w:r>
      <w:r w:rsidR="00D5436E">
        <w:fldChar w:fldCharType="begin"/>
      </w:r>
      <w:r w:rsidR="00D5436E">
        <w:instrText xml:space="preserve"> ADDIN ZOTERO_ITEM CSL_CITATION {"citationID":"1cQ1fabK","properties":{"formattedCitation":"(Chamberlain et al., 2014)","plainCitation":"(Chamberlain et al., 2014)","noteIndex":0},"citationItems":[{"id":133,"uris":["http://zotero.org/users/6391447/items/NWNSW57M"],"itemData":{"id":133,"type":"article-journal","abstract":"The net effects of interspeciﬁc species interactions on individuals and populations vary in both sign (À, 0, +) and magnitude (strong to weak). Interaction outcomes are context-dependent when the sign and/or magnitude change as a function of the biotic or abiotic context. While context dependency appears to be common, its distribution in nature is poorly described. Here, we used meta-analysis to quantify variation in species interaction outcomes (competition, mutualism, or predation) for 247 published articles. Contrary to our expectations, variation in the magnitude of effect sizes did not differ among species interactions, and while mutualism was most likely to change sign across contexts (and predation least likely), mutualism did not strongly differ from competition. Both the magnitude and sign of species interactions varied the most along spatial and abiotic gradients, and least as a function of the presence/absence of a third species. However, the degree of context dependency across these context types was not consistent among mutualism, competition and predation studies. Surprisingly, study location and ecosystem type varied in the degree of context dependency, with laboratory studies showing the highest variation in outcomes. We urge that studying context dependency per se, rather than focusing only on mean outcomes, can provide a general method for describing patterns of variation in nature.","container-title":"Ecology Letters","DOI":"10.1111/ele.12279","ISSN":"1461023X","issue":"7","journalAbbreviation":"Ecol Lett","language":"en","page":"881-890","source":"DOI.org (Crossref)","title":"How context dependent are species interactions?","volume":"17","author":[{"family":"Chamberlain","given":"Scott A."},{"family":"Bronstein","given":"Judith L."},{"family":"Rudgers","given":"Jennifer A."}],"editor":[{"family":"Etienne","given":"Rampal"}],"issued":{"date-parts":[["2014",7]]}}}],"schema":"https://github.com/citation-style-language/schema/raw/master/csl-citation.json"} </w:instrText>
      </w:r>
      <w:r w:rsidR="00D5436E">
        <w:fldChar w:fldCharType="separate"/>
      </w:r>
      <w:r w:rsidR="00D5436E">
        <w:rPr>
          <w:noProof/>
        </w:rPr>
        <w:t>(Chamberlain et al., 2014)</w:t>
      </w:r>
      <w:r w:rsidR="00D5436E">
        <w:fldChar w:fldCharType="end"/>
      </w:r>
      <w:r w:rsidR="00D5436E">
        <w:t xml:space="preserve"> and developing monitoring programs examining how well pinyon jays play the role of “disperser” across habitat conditions and climate settings will be key to understanding the future of this mutualism </w:t>
      </w:r>
      <w:r w:rsidR="00D5436E">
        <w:fldChar w:fldCharType="begin"/>
      </w:r>
      <w:r w:rsidR="00D5436E">
        <w:instrText xml:space="preserve"> ADDIN ZOTERO_ITEM CSL_CITATION {"citationID":"0D3SAA97","properties":{"formattedCitation":"(Bogdziewicz et al., 2020)","plainCitation":"(Bogdziewicz et al., 2020)","noteIndex":0},"citationItems":[{"id":2854,"uris":["http://zotero.org/groups/5634119/items/MJABSAQ9"],"itemData":{"id":2854,"type":"article-journal","abstract":"AbstractNumerous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1365-2745","issue":"3","language":"en","license":"http://onlinelibrary.wiley.com/termsAndConditions#vor","note":"publisher: Wiley","page":"1009-1018","source":"Crossref","title":"Do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E."},{"family":"Zwolak","given":"Rafał"}],"editor":[{"family":"Rees","given":"Mark"}],"issued":{"date-parts":[["2020",5]]}}}],"schema":"https://github.com/citation-style-language/schema/raw/master/csl-citation.json"} </w:instrText>
      </w:r>
      <w:r w:rsidR="00D5436E">
        <w:fldChar w:fldCharType="separate"/>
      </w:r>
      <w:r w:rsidR="00D5436E">
        <w:rPr>
          <w:noProof/>
        </w:rPr>
        <w:t>(Bogdziewicz et al., 2020)</w:t>
      </w:r>
      <w:r w:rsidR="00D5436E">
        <w:fldChar w:fldCharType="end"/>
      </w:r>
      <w:r w:rsidR="00D5436E">
        <w:t xml:space="preserve">. </w:t>
      </w:r>
      <w:r w:rsidR="00D94289">
        <w:t xml:space="preserve">Regardless, our results highlight the importance of </w:t>
      </w:r>
      <w:r w:rsidR="00D94289">
        <w:lastRenderedPageBreak/>
        <w:t xml:space="preserve">including biotic interactions into examinations of population status – seed availability is one of the main drivers of abundance for pinyon jays. </w:t>
      </w:r>
      <w:r w:rsidR="00770AED">
        <w:t>In this and other systems, p</w:t>
      </w:r>
      <w:r w:rsidR="00D94289">
        <w:t xml:space="preserve">opulation models </w:t>
      </w:r>
      <w:r>
        <w:t>that include</w:t>
      </w:r>
      <w:r w:rsidR="00D94289">
        <w:t xml:space="preserve"> biotic interactions will</w:t>
      </w:r>
      <w:r w:rsidR="0033080B">
        <w:t xml:space="preserve"> </w:t>
      </w:r>
      <w:r w:rsidR="00D94289">
        <w:t xml:space="preserve">likely predict population responses better than models that ignore </w:t>
      </w:r>
      <w:r>
        <w:t>them</w:t>
      </w:r>
      <w:r w:rsidR="00D94289">
        <w:t xml:space="preserve"> </w:t>
      </w:r>
      <w:r w:rsidR="00D94289">
        <w:fldChar w:fldCharType="begin"/>
      </w:r>
      <w:r w:rsidR="00D94289">
        <w:instrText xml:space="preserve"> ADDIN ZOTERO_ITEM CSL_CITATION {"citationID":"vrA0fAXJ","properties":{"formattedCitation":"(Lee\\uc0\\u8208{}Yaw et al., 2022)","plainCitation":"(Lee‐Yaw et al., 2022)","noteIndex":0},"citationItems":[{"id":3140,"uris":["http://zotero.org/groups/5634119/items/QGZFIRV9"],"itemData":{"id":3140,"type":"article-journal","container-title":"Ecography","DOI":"10.1111/ecog.05877","ISSN":"0906-7590, 1600-0587","issue":"6","journalAbbreviation":"Ecography","language":"en","source":"DOI.org (Crossref)","title":"Species distribution models rarely predict the biology of real populations","URL":"https://onlinelibrary.wiley.com/doi/10.1111/ecog.05877","volume":"2022","author":[{"family":"Lee‐Yaw","given":"Julie A."},{"family":"McCune","given":"Jenny L."},{"family":"Pironon","given":"Samuel"},{"family":"Sheth","given":"Seema N"}],"accessed":{"date-parts":[["2023",3,27]]},"issued":{"date-parts":[["2022",6]]}}}],"schema":"https://github.com/citation-style-language/schema/raw/master/csl-citation.json"} </w:instrText>
      </w:r>
      <w:r w:rsidR="00D94289">
        <w:fldChar w:fldCharType="separate"/>
      </w:r>
      <w:r w:rsidR="00D94289" w:rsidRPr="00D94289">
        <w:rPr>
          <w:rFonts w:cs="Times New Roman"/>
        </w:rPr>
        <w:t>(Lee‐Yaw et al., 2022)</w:t>
      </w:r>
      <w:r w:rsidR="00D94289">
        <w:fldChar w:fldCharType="end"/>
      </w:r>
      <w:r w:rsidR="00D94289">
        <w:t>.</w:t>
      </w:r>
    </w:p>
    <w:p w14:paraId="1E38249D" w14:textId="0C3DAB5A" w:rsidR="009E6BD1" w:rsidRPr="00D56CAF" w:rsidRDefault="008734E2" w:rsidP="00D56CAF">
      <w:pPr>
        <w:pStyle w:val="BodyText"/>
        <w:spacing w:before="0" w:after="0"/>
        <w:rPr>
          <w:i/>
          <w:iCs/>
        </w:rPr>
      </w:pPr>
      <w:r>
        <w:rPr>
          <w:i/>
          <w:iCs/>
        </w:rPr>
        <w:t>3</w:t>
      </w:r>
      <w:r w:rsidR="00EB3D45">
        <w:rPr>
          <w:i/>
          <w:iCs/>
        </w:rPr>
        <w:t xml:space="preserve">.3 </w:t>
      </w:r>
      <w:r w:rsidR="00D94289">
        <w:rPr>
          <w:i/>
          <w:iCs/>
        </w:rPr>
        <w:t>Including species interactions in population models</w:t>
      </w:r>
    </w:p>
    <w:p w14:paraId="68ED2782" w14:textId="45C8F592" w:rsidR="009E6BD1" w:rsidRDefault="00D94289" w:rsidP="009058BB">
      <w:pPr>
        <w:pStyle w:val="BodyText"/>
        <w:spacing w:before="0" w:after="0"/>
        <w:ind w:firstLine="720"/>
      </w:pPr>
      <w:r>
        <w:t xml:space="preserve">Including species interactions into models of population trends is no small feat – it requires information on </w:t>
      </w:r>
      <w:r w:rsidR="00770AED">
        <w:t xml:space="preserve">the abundance or presence of </w:t>
      </w:r>
      <w:r>
        <w:t>multiple species, their interactions, and how those interactions change through space and time. However, we demonstrate that these interactions are likely to be important drivers of population trends.</w:t>
      </w:r>
      <w:r w:rsidR="009058BB">
        <w:t xml:space="preserve"> Further, we demonstrate the importance of not only including these relationships but also including their temporal </w:t>
      </w:r>
      <w:r w:rsidR="00FD37E1">
        <w:t>legacies</w:t>
      </w:r>
      <w:r w:rsidR="009058BB">
        <w:t xml:space="preserve"> and </w:t>
      </w:r>
      <w:r w:rsidR="00FD37E1">
        <w:t xml:space="preserve">spatiotemporal </w:t>
      </w:r>
      <w:r w:rsidR="009058BB">
        <w:t xml:space="preserve">variation. </w:t>
      </w:r>
      <w:r w:rsidR="00A272CA">
        <w:t>For seed dispersal, in particular, our approach advances previous methods</w:t>
      </w:r>
      <w:r>
        <w:t xml:space="preserve"> (e.g., model selection or </w:t>
      </w:r>
      <w:r>
        <w:rPr>
          <w:i/>
          <w:iCs/>
        </w:rPr>
        <w:t xml:space="preserve">a priori </w:t>
      </w:r>
      <w:r>
        <w:t xml:space="preserve">assumptions; </w:t>
      </w:r>
      <w:r>
        <w:fldChar w:fldCharType="begin"/>
      </w:r>
      <w:r>
        <w:instrText xml:space="preserve"> ADDIN ZOTERO_ITEM CSL_CITATION {"citationID":"iN8m6GZd","properties":{"formattedCitation":"(Bergeron et al., 2011; Boutin et al., 2006; Gamelon et al., 2017; Lind\\uc0\\u233{}n et al., 2011; Selonen et al., 2015)","plainCitation":"(Bergeron et al., 2011; Boutin et al., 2006; Gamelon et al., 2017; Lindén et al., 2011; Selonen et al., 2015)","noteIndex":0},"citationItems":[{"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id":3041,"uris":["http://zotero.org/users/6391447/items/CFKW38LX"],"itemData":{"id":3041,"type":"article-journal","abstract":"Irruptive migrants are partially migrating species showing pronounced temporal variation in the number of migrants. Occasional irruptions are often explained by increased population density (per area) or lack of food. Similarly to population dynamics, these explanations are not mutually exclusive, but probably act in concert. Here we do a parallel analysis on the migration intensity and population dynamics of an irruptive migratory bird species, the great spotted woodpecker\n              Dendrocopos major\n              , in southern Finland. Both analyses include simultaneous effects of breeding density and cone crops of Scots pine\n              Pinus sylvestris\n              and Norway spruce\n              Picea abies\n              . A novel model for statistical analyses of irruptive migration intensity is developed. Population dynamics are investigated using log‐linear state‐space models. Woodpecker migration intensity is well explained by lack of spruce cones and increases proportionally to population density. Population dynamics is most successfully described with a density dependent model, where the natural logarithm of spruce cone availability previous autumn has a strong positive effect on population growth. This is likely to be due to lowered winter mortality and lowered emigration rates resulting from plentiful food availability. Although the species uses pine cones as a food resource in winter, the estimated impacts of pine cone crops on migration intensity and population dynamics are low, probably due to low annual variation in crop comparing to spruce cones. Large irruptions also tend to occur earlier in season, often before cones are a crucial food resource for the woodpeckers, suggesting that the woodpeckers use the amount of maturing cones as a cue for upcoming conditions. Our results show that the ecological role of different resources can differ considerably from the expected pattern based on the proportion of the resources in a species’ diet. Advantages of examining patterns of bird migration, population density and dynamics in unison are apparent.","container-title":"Oikos","DOI":"10.1111/j.1600-0706.2010.18970.x","ISSN":"0030-1299, 1600-0706","issue":"7","journalAbbreviation":"Oikos","language":"en","page":"1065-1075","source":"DOI.org (Crossref)","title":"Modelling irruptions and population dynamics of the great spotted woodpecker – joint effects of density and cone crops","volume":"120","author":[{"family":"Lindén","given":"Andreas"},{"family":"Lehikoinen","given":"Aleksi"},{"family":"Hokkanen","given":"Tatu"},{"family":"Väisänen","given":"Risto A."}],"issued":{"date-parts":[["2011",7]]}}},{"id":3040,"uris":["http://zotero.org/users/6391447/items/59M8T9YE"],"itemData":{"id":3040,"type":"article-journal","container-title":"Oecologia","DOI":"10.1007/s00442-014-3148-7","ISSN":"0029-8549, 1432-1939","issue":"2","journalAbbreviation":"Oecologia","language":"en","page":"401-411","source":"DOI.org (Crossref)","title":"Immediate or lagged responses of a red squirrel population to pulsed resources","volume":"177","author":[{"family":"Selonen","given":"Vesa"},{"family":"Varjonen","given":"Rauno"},{"family":"Korpimäki","given":"Erkki"}],"issued":{"date-parts":[["2015",2]]}}}],"schema":"https://github.com/citation-style-language/schema/raw/master/csl-citation.json"} </w:instrText>
      </w:r>
      <w:r>
        <w:fldChar w:fldCharType="separate"/>
      </w:r>
      <w:r w:rsidRPr="00D94289">
        <w:rPr>
          <w:rFonts w:cs="Times New Roman"/>
        </w:rPr>
        <w:t>(Bergeron et al., 2011; Boutin et al., 2006; Gamelon et al., 2017; Lindén et al., 2011; Selonen et al., 2015)</w:t>
      </w:r>
      <w:r>
        <w:fldChar w:fldCharType="end"/>
      </w:r>
      <w:r>
        <w:t xml:space="preserve"> by simultaneously weighting the relative importance of multiple competing hypotheses about temporal mechanisms. This modeling framework can help inform observational or experimental studies examining how these temporal signals vary across environmental conditions (e.g., </w:t>
      </w:r>
      <w:r>
        <w:fldChar w:fldCharType="begin"/>
      </w:r>
      <w:r>
        <w:instrText xml:space="preserve"> ADDIN ZOTERO_ITEM CSL_CITATION {"citationID":"0TX8EjTZ","properties":{"formattedCitation":"(Gamelon et al., 2017)","plainCitation":"(Gamelon et al., 2017)","dontUpdate":true,"noteIndex":0},"citationItems":[{"id":3044,"uris":["http://zotero.org/users/6391447/items/LRKIMZTG"],"itemData":{"id":3044,"type":"article-journal","container-title":"Oecologia","DOI":"10.1007/s00442-017-3821-8","ISSN":"0029-8549,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schema":"https://github.com/citation-style-language/schema/raw/master/csl-citation.json"} </w:instrText>
      </w:r>
      <w:r>
        <w:fldChar w:fldCharType="separate"/>
      </w:r>
      <w:r>
        <w:rPr>
          <w:noProof/>
        </w:rPr>
        <w:t>Gamelon et al., 2017)</w:t>
      </w:r>
      <w:r>
        <w:fldChar w:fldCharType="end"/>
      </w:r>
      <w:r>
        <w:t>.</w:t>
      </w:r>
      <w:r w:rsidR="009058BB">
        <w:t xml:space="preserve"> It may be particularly important to capture temporal dynamics in </w:t>
      </w:r>
      <w:r w:rsidR="00A272CA">
        <w:t>seed dispersal interactions in which species cache seeds</w:t>
      </w:r>
      <w:r w:rsidR="00E255F5">
        <w:t xml:space="preserve"> since responses to resource availability are likely to have multiple temporal relationships</w:t>
      </w:r>
      <w:r w:rsidR="00A272CA">
        <w:t xml:space="preserve"> </w:t>
      </w:r>
      <w:r w:rsidR="00E05B0A">
        <w:t>(more than 122</w:t>
      </w:r>
      <w:r w:rsidR="00A272CA">
        <w:t xml:space="preserve"> species of </w:t>
      </w:r>
      <w:r w:rsidR="00E05B0A">
        <w:t xml:space="preserve">vertebrates </w:t>
      </w:r>
      <w:r w:rsidR="00A272CA">
        <w:t>cache seeds</w:t>
      </w:r>
      <w:r w:rsidR="00E05B0A">
        <w:t xml:space="preserve">; </w:t>
      </w:r>
      <w:r w:rsidR="00E05B0A">
        <w:fldChar w:fldCharType="begin"/>
      </w:r>
      <w:r w:rsidR="00B332AB">
        <w:instrText xml:space="preserve"> ADDIN ZOTERO_ITEM CSL_CITATION {"citationID":"hOLwCs96","properties":{"formattedCitation":"(Bogdziewicz et al., 2016)","plainCitation":"(Bogdziewicz et al., 2016)","dontUpdate":true,"noteIndex":0},"citationItems":[{"id":2991,"uris":["http://zotero.org/groups/5634119/items/8NUB2F2E"],"itemData":{"id":2991,"type":"article-journal","abstract":"Mast‐seeding is the synchronized and intermittent production of a large seed crop by a population of plants. The cascading effects of masting on wildlife have been well documented in granivorous rodents. Yet, the effects of mast‐seeding are potentially further reaching, since a number of generalist species can take advantage of mast years. We employed a full‐text search algorithm to identify all papers that discussed effects of mast‐seeding on wildlife, in addition to typical searches of titles and abstracts. We aimed to evaluate the breadth of wildlife species for which mast years are thought to be important drivers. In addition, we tested three hypotheses derived from past reviews: 1) species with lower reproductive potential (lower average litter size) are more likely to show aggregative responses to mast‐seeding, 2) species with lower body sizes (lower mobility) are more likely to show reproductive responses, and 3) indirect consumers of mast (predators) are more likely to show aggregative responses than direct consumers. We found 186 articles including reports of response of 122 species of vertebrates to mast‐seeding. Expectations were partly confirmed: relationships 1) and 2) held for mammals, but not for birds. However, 3) direct consumers were more likely than indirect consumers to show aggregative responses. Our tests of the first two hypotheses question the generality of past predictions for taxa other than mammals. Our test of the third hypothesis suggests that responses of direct and indirect consumers might depend on the type of resource pulse. Many of the examples in our analysis come from systems in which wildlife responses to mast have been less rigorously documented than the examples in past reviews. They suggest the range of wildlife responses to mast‐seeding are more taxonomically and ecologically diverse than past reviews have widely recognized and point to directions for future research.\n            \n              \n                \n                  Synthesis\n                \n                Mast seeding is a pulsed resource with numerous cascading effects on wildlife. Yet, because masting is largely unpredictable, it is inherently difficult to study. We developed a full‐text search algorithm to identify incidental reports as well as deliberate studies of vertebrate reactions to masting. We found that the type of response to mast seeding (reproductive or through immigration) varies predictably as a function of life history traits (litter size and body mass) in mammals, but not in birds.  Our literature search also shows that responses to mast‐seeding are more taxonomically and ecologically diverse than past reviews have recognized.","container-title":"Oikos","DOI":"10.1111/oik.03012","ISSN":"0030-1299, 1600-0706","issue":"3","journalAbbreviation":"Oikos","language":"en","page":"300-307","source":"DOI.org (Crossref)","title":"How do vertebrates respond to mast seeding?","volume":"125","author":[{"family":"Bogdziewicz","given":"Michał"},{"family":"Zwolak","given":"Rafał"},{"family":"Crone","given":"Elizabeth E."}],"issued":{"date-parts":[["2016",3]]}}}],"schema":"https://github.com/citation-style-language/schema/raw/master/csl-citation.json"} </w:instrText>
      </w:r>
      <w:r w:rsidR="00E05B0A">
        <w:fldChar w:fldCharType="separate"/>
      </w:r>
      <w:r w:rsidR="00E05B0A">
        <w:rPr>
          <w:noProof/>
        </w:rPr>
        <w:t>Bogdziewicz et al., 2016)</w:t>
      </w:r>
      <w:r w:rsidR="00E05B0A">
        <w:fldChar w:fldCharType="end"/>
      </w:r>
      <w:r w:rsidR="00A272CA">
        <w:t xml:space="preserve">. </w:t>
      </w:r>
      <w:r w:rsidR="00FE2ED5">
        <w:t xml:space="preserve">In any system, understanding </w:t>
      </w:r>
      <w:r w:rsidR="009058BB">
        <w:t xml:space="preserve">how species interactions are impacted by temporal legacies and environmental context </w:t>
      </w:r>
      <w:r w:rsidR="00FE2ED5">
        <w:t xml:space="preserve">will aid in building better predictive models </w:t>
      </w:r>
      <w:r w:rsidR="0093338E">
        <w:t xml:space="preserve">not only </w:t>
      </w:r>
      <w:r w:rsidR="00FE2ED5">
        <w:t xml:space="preserve">of </w:t>
      </w:r>
      <w:r w:rsidR="001F5D31">
        <w:t>population trends</w:t>
      </w:r>
      <w:r w:rsidR="00D16839">
        <w:t xml:space="preserve"> </w:t>
      </w:r>
      <w:r w:rsidR="00D16839">
        <w:fldChar w:fldCharType="begin"/>
      </w:r>
      <w:r w:rsidR="00D16839">
        <w:instrText xml:space="preserve"> ADDIN ZOTERO_ITEM CSL_CITATION {"citationID":"sJyFar07","properties":{"formattedCitation":"(Bogdziewicz et al., 2016)","plainCitation":"(Bogdziewicz et al., 2016)","noteIndex":0},"citationItems":[{"id":2991,"uris":["http://zotero.org/groups/5634119/items/8NUB2F2E"],"itemData":{"id":2991,"type":"article-journal","abstract":"Mast‐seeding is the synchronized and intermittent production of a large seed crop by a population of plants. The cascading effects of masting on wildlife have been well documented in granivorous rodents. Yet, the effects of mast‐seeding are potentially further reaching, since a number of generalist species can take advantage of mast years. We employed a full‐text search algorithm to identify all papers that discussed effects of mast‐seeding on wildlife, in addition to typical searches of titles and abstracts. We aimed to evaluate the breadth of wildlife species for which mast years are thought to be important drivers. In addition, we tested three hypotheses derived from past reviews: 1) species with lower reproductive potential (lower average litter size) are more likely to show aggregative responses to mast‐seeding, 2) species with lower body sizes (lower mobility) are more likely to show reproductive responses, and 3) indirect consumers of mast (predators) are more likely to show aggregative responses than direct consumers. We found 186 articles including reports of response of 122 species of vertebrates to mast‐seeding. Expectations were partly confirmed: relationships 1) and 2) held for mammals, but not for birds. However, 3) direct consumers were more likely than indirect consumers to show aggregative responses. Our tests of the first two hypotheses question the generality of past predictions for taxa other than mammals. Our test of the third hypothesis suggests that responses of direct and indirect consumers might depend on the type of resource pulse. Many of the examples in our analysis come from systems in which wildlife responses to mast have been less rigorously documented than the examples in past reviews. They suggest the range of wildlife responses to mast‐seeding are more taxonomically and ecologically diverse than past reviews have widely recognized and point to directions for future research.\n            \n              \n                \n                  Synthesis\n                \n                Mast seeding is a pulsed resource with numerous cascading effects on wildlife. Yet, because masting is largely unpredictable, it is inherently difficult to study. We developed a full‐text search algorithm to identify incidental reports as well as deliberate studies of vertebrate reactions to masting. We found that the type of response to mast seeding (reproductive or through immigration) varies predictably as a function of life history traits (litter size and body mass) in mammals, but not in birds.  Our literature search also shows that responses to mast‐seeding are more taxonomically and ecologically diverse than past reviews have recognized.","container-title":"Oikos","DOI":"10.1111/oik.03012","ISSN":"0030-1299, 1600-0706","issue":"3","journalAbbreviation":"Oikos","language":"en","page":"300-307","source":"DOI.org (Crossref)","title":"How do vertebrates respond to mast seeding?","volume":"125","author":[{"family":"Bogdziewicz","given":"Michał"},{"family":"Zwolak","given":"Rafał"},{"family":"Crone","given":"Elizabeth E."}],"issued":{"date-parts":[["2016",3]]}}}],"schema":"https://github.com/citation-style-language/schema/raw/master/csl-citation.json"} </w:instrText>
      </w:r>
      <w:r w:rsidR="00D16839">
        <w:fldChar w:fldCharType="separate"/>
      </w:r>
      <w:r w:rsidR="00D16839">
        <w:rPr>
          <w:noProof/>
        </w:rPr>
        <w:t>(Bogdziewicz et al., 2016)</w:t>
      </w:r>
      <w:r w:rsidR="00D16839">
        <w:fldChar w:fldCharType="end"/>
      </w:r>
      <w:r w:rsidR="001F5D31">
        <w:t xml:space="preserve">, </w:t>
      </w:r>
      <w:r w:rsidR="0093338E">
        <w:t xml:space="preserve">but also </w:t>
      </w:r>
      <w:r w:rsidR="0033080B">
        <w:t>of</w:t>
      </w:r>
      <w:r w:rsidR="009058BB">
        <w:t xml:space="preserve"> other community patterns such </w:t>
      </w:r>
      <w:r w:rsidR="009058BB">
        <w:lastRenderedPageBreak/>
        <w:t xml:space="preserve">as </w:t>
      </w:r>
      <w:r w:rsidR="00D16839">
        <w:t>multi-trophic food web</w:t>
      </w:r>
      <w:r w:rsidR="0033080B">
        <w:t>s</w:t>
      </w:r>
      <w:r w:rsidR="00D16839">
        <w:t xml:space="preserve"> </w:t>
      </w:r>
      <w:r w:rsidR="00D16839">
        <w:fldChar w:fldCharType="begin"/>
      </w:r>
      <w:r w:rsidR="0093338E">
        <w:instrText xml:space="preserve"> ADDIN ZOTERO_ITEM CSL_CITATION {"citationID":"vyXS2OSa","properties":{"formattedCitation":"(Bergeron et al., 2011; Ostfeld &amp; Keesing, 2000; Poisot et al., 2015)","plainCitation":"(Bergeron et al., 2011; Ostfeld &amp; Keesing, 2000; Poisot et al., 2015)","noteIndex":0},"citationItems":[{"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M."},{"family":"Garant","given":"Dany"}],"issued":{"date-parts":[["2011",11]]}}},{"id":2990,"uris":["http://zotero.org/groups/5634119/items/EW2YI756"],"itemData":{"id":2990,"type":"article-journal","container-title":"Trends in Ecology &amp; Evolution","DOI":"10.1016/S0169-5347(00)01862-0","ISSN":"01695347","issue":"6","journalAbbreviation":"Trends in Ecology &amp; Evolution","language":"en","license":"https://www.elsevier.com/tdm/userlicense/1.0/","page":"232-237","source":"DOI.org (Crossref)","title":"Pulsed resources and community dynamics of consumers in terrestrial ecosystems","volume":"15","author":[{"family":"Ostfeld","given":"Richard S."},{"family":"Keesing","given":"Felicia"}],"issued":{"date-parts":[["2000",6]]}}},{"id":2996,"uris":["http://zotero.org/groups/5634119/items/98XVULPE"],"itemData":{"id":2996,"type":"article-journal","abstract":"Community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rsidR="00D16839">
        <w:fldChar w:fldCharType="separate"/>
      </w:r>
      <w:r w:rsidR="0093338E">
        <w:rPr>
          <w:noProof/>
        </w:rPr>
        <w:t>(Bergeron et al., 2011; Ostfeld &amp; Keesing, 2000; Poisot et al., 2015)</w:t>
      </w:r>
      <w:r w:rsidR="00D16839">
        <w:fldChar w:fldCharType="end"/>
      </w:r>
      <w:r w:rsidR="00D16839">
        <w:t xml:space="preserve"> and </w:t>
      </w:r>
      <w:r w:rsidR="00A272CA">
        <w:t>disease dynamics</w:t>
      </w:r>
      <w:r w:rsidR="00FE2ED5">
        <w:t xml:space="preserve"> </w:t>
      </w:r>
      <w:r w:rsidR="00A272CA">
        <w:fldChar w:fldCharType="begin"/>
      </w:r>
      <w:r w:rsidR="00D16839">
        <w:instrText xml:space="preserve"> ADDIN ZOTERO_ITEM CSL_CITATION {"citationID":"5xEMvllo","properties":{"formattedCitation":"(Bregnard et al., 2021)","plainCitation":"(Bregnard et al., 2021)","noteIndex":0},"citationItems":[{"id":2988,"uris":["http://zotero.org/groups/5634119/items/VDENFAUA"],"itemData":{"id":2988,"type":"article-journal","abstract":"Abstract\n            \n              Background\n              \n                The incidence of Lyme borreliosis and other tick-borne diseases is increasing in Europe and North America. There is currently much interest in identifying the ecological factors that determine the density of infected ticks as this variable determines the risk of Lyme borreliosis to vertebrate hosts, including humans. Lyme borreliosis is caused by the bacterium\n                Borrelia burgdorferi\n                sensu lato (s.l.) and in western Europe, the hard tick\n                Ixodes ricinus\n                is the most important vector.\n              \n            \n            \n              Methods\n              \n                Over a 15-year period (2004–2018), we monitored the monthly abundance of\n                I. ricinus\n                ticks (nymphs and adults) and their\n                B. burgdorferi\n                s.l. infection status at four different elevations on a mountain in western Switzerland. We collected climate variables in the field and from nearby weather stations. We obtained data on beech tree seed production (masting) from the literature, as the abundance of\n                Ixodes\n                nymphs can increase dramatically 2 years after a masting event. We used generalized linear mixed effects models and AIC-based model selection to identify the ecological factors that influence inter-annual variation in the nymphal infection prevalence (NIP) and the density of infected nymphs (DIN).\n              \n            \n            \n              Results\n              \n                We found that the NIP decreased by 78% over the study period. Inter-annual variation in the NIP was explained by the mean precipitation in the present year, and the duration that the DNA extraction was stored in the freezer prior to pathogen detection. The DIN decreased over the study period at all four elevation sites, and the decrease was significant at the top elevation. Inter-annual variation in the DIN was best explained by elevation site, year, beech tree masting index 2 years prior and the mean relative humidity in the present year. This is the first study in Europe to demonstrate that seed production by deciduous trees influences the density of nymphs infected with\n                B. burgdorferi\n                s.l. and hence the risk of Lyme borreliosis.\n              \n            \n            \n              Conclusions\n              Public health officials in Europe should be aware that masting by deciduous trees is an important predictor of the risk of Lyme borreliosis.\n            \n            \n              Graphical Abstract","container-title":"Parasites &amp; Vectors","DOI":"10.1186/s13071-021-04646-0","ISSN":"1756-3305","issue":"1","journalAbbreviation":"Parasites Vectors","language":"en","page":"168","source":"DOI.org (Crossref)","title":"Masting by beech trees predicts the risk of Lyme disease","volume":"14","author":[{"family":"Bregnard","given":"Cindy"},{"family":"Rais","given":"Olivier"},{"family":"Voordouw","given":"Maarten Jeroen"}],"issued":{"date-parts":[["2021",3,20]]}}}],"schema":"https://github.com/citation-style-language/schema/raw/master/csl-citation.json"} </w:instrText>
      </w:r>
      <w:r w:rsidR="00A272CA">
        <w:fldChar w:fldCharType="separate"/>
      </w:r>
      <w:r w:rsidR="00D16839">
        <w:rPr>
          <w:noProof/>
        </w:rPr>
        <w:t>(Bregnard et al., 2021)</w:t>
      </w:r>
      <w:r w:rsidR="00A272CA">
        <w:fldChar w:fldCharType="end"/>
      </w:r>
      <w:r w:rsidR="00A272CA">
        <w:t>.</w:t>
      </w:r>
    </w:p>
    <w:p w14:paraId="63A4ED57" w14:textId="0DB276A1" w:rsidR="00A2792A" w:rsidRPr="000C1F3C" w:rsidRDefault="008734E2" w:rsidP="000C1F3C">
      <w:pPr>
        <w:pStyle w:val="BodyText"/>
        <w:rPr>
          <w:i/>
          <w:iCs/>
        </w:rPr>
      </w:pPr>
      <w:r>
        <w:rPr>
          <w:i/>
          <w:iCs/>
        </w:rPr>
        <w:t>3</w:t>
      </w:r>
      <w:r w:rsidR="00EC6B0C" w:rsidRPr="000C1F3C">
        <w:rPr>
          <w:i/>
          <w:iCs/>
        </w:rPr>
        <w:t>.</w:t>
      </w:r>
      <w:r w:rsidR="006332F8">
        <w:rPr>
          <w:i/>
          <w:iCs/>
        </w:rPr>
        <w:t>4</w:t>
      </w:r>
      <w:r w:rsidR="00EC6B0C" w:rsidRPr="000C1F3C">
        <w:rPr>
          <w:i/>
          <w:iCs/>
        </w:rPr>
        <w:t xml:space="preserve"> </w:t>
      </w:r>
      <w:r w:rsidR="00E05B0A">
        <w:rPr>
          <w:i/>
          <w:iCs/>
        </w:rPr>
        <w:t>Conclusion</w:t>
      </w:r>
      <w:r w:rsidR="00E71E3F" w:rsidRPr="000C1F3C">
        <w:rPr>
          <w:i/>
          <w:iCs/>
        </w:rPr>
        <w:t xml:space="preserve"> </w:t>
      </w:r>
    </w:p>
    <w:p w14:paraId="222C5149" w14:textId="7E242CF3" w:rsidR="00773F71" w:rsidRDefault="00D16839" w:rsidP="005C1865">
      <w:pPr>
        <w:pStyle w:val="BodyText"/>
        <w:spacing w:before="0" w:after="0"/>
        <w:ind w:firstLine="720"/>
      </w:pPr>
      <w:r>
        <w:t>Species exist in the context of their environment and biological community – thus declines in any species lead to cascading impacts on communities and ecosystem states</w:t>
      </w:r>
      <w:r w:rsidR="009F63B2">
        <w:t xml:space="preserve"> </w:t>
      </w:r>
      <w:r w:rsidR="009F63B2">
        <w:fldChar w:fldCharType="begin"/>
      </w:r>
      <w:r w:rsidR="009F63B2">
        <w:instrText xml:space="preserve"> ADDIN ZOTERO_ITEM CSL_CITATION {"citationID":"rZXD83Qv","properties":{"formattedCitation":"(Donoso et al., 2020; Kehoe et al., 2021)","plainCitation":"(Donoso et al., 2020; Kehoe et al., 2021)","noteIndex":0},"citationItems":[{"id":2530,"uris":["http://zotero.org/users/6391447/items/B5R8FK83"],"itemData":{"id":2530,"type":"article-journal","abstract":"Abstract\n            Downsizing of animal communities due to defaunation is prevalent in many ecosystems. Yet, we know little about its consequences for ecosystem functions such as seed dispersal. Here, we use eight seed-dispersal networks sampled across the Andes and simulate how downsizing of avian frugivores impacts structural network robustness and seed dispersal. We use a trait-based modeling framework to quantify the consequences of downsizing—relative to random extinctions—for the number of interactions and secondary plant extinctions (as measures of structural robustness) and for long-distance seed dispersal (as a measure of ecosystem function). We find that downsizing leads to stronger functional than structural losses. For instance, 10% size-structured loss of bird species results in almost 40% decline of long-distance seed dispersal, but in less than 10% of structural loss. Our simulations reveal that measures of the structural robustness of ecological networks underestimate the consequences of animal extinction and downsizing for ecosystem functioning.","container-title":"Nature Communications","DOI":"10.1038/s41467-020-15438-y","ISSN":"2041-1723","issue":"1","journalAbbreviation":"Nat Commun","language":"en","page":"1582","source":"DOI.org (Crossref)","title":"Downsizing of animal communities triggers stronger functional than structural decay in seed-dispersal networks","volume":"11","author":[{"family":"Donoso","given":"Isabel"},{"family":"Sorensen","given":"Marjorie C."},{"family":"Blendinger","given":"Pedro G."},{"family":"Kissling","given":"W. Daniel"},{"family":"Neuschulz","given":"Eike Lena"},{"family":"Mueller","given":"Thomas"},{"family":"Schleuning","given":"Matthias"}],"issued":{"date-parts":[["2020",3,27]]}}},{"id":3124,"uris":["http://zotero.org/groups/5634119/items/GZAN58IC"],"itemData":{"id":3124,"type":"article-journal","abstract":"1. The decline in insect abundance and diversity observed in many ecosystems is of major concern because of the long‐term consequences for ecosystem function and stability.\n            2. Species in ecological communities are connected through interactions forming complex networks. Therefore, initial extinctions can cause further species losses through co‐extinctions and extinction cascades, where single extinctions can lead to waves of secondary extinctions. Such knock‐on effects can multiply the initial impact of disturbances, thereby largely adding to the erosion of biodiversity. However, our knowledge of their importance for the current insect decline is hampered because secondary extinctions are challenging to both detect and predict.\n            3. In this review, we bring together theory and knowledge about secondary extinctions in the light of the main drivers of insect decline. We evaluate potential and evidence for cascading extinction for the different drivers and identify major pathways. By providing selected examples we discuss how habitat loss, pollution, species invasions, climate change and overexploitation can cause cascading extinctions. We argue that habitat loss and pollution in particular have the largest potential for such extinctions by changing community structure, the physical environment, and community robustness.\n            4. Overall, cascading extinction are part of an ecosystems' response to anthropogenic drivers but are so far not explicitly measured in their contribution when evaluating biodiversity loss. This knowledge is necessary to predict biodiversity loss and find strategies to buffer against the devastating long‐term impact of habitat loss, pollution, species invasions, and climate change.","container-title":"Ecological Entomology","DOI":"10.1111/een.12985","ISSN":"0307-6946, 1365-2311","issue":"4","journalAbbreviation":"Ecological Entomology","language":"en","page":"743-756","source":"DOI.org (Crossref)","title":"Cascading extinctions as a hidden driver of insect decline","volume":"46","author":[{"family":"Kehoe","given":"Rachel"},{"family":"Frago","given":"Enric"},{"family":"Sanders","given":"Dirk"}],"issued":{"date-parts":[["2021",8]]}}}],"schema":"https://github.com/citation-style-language/schema/raw/master/csl-citation.json"} </w:instrText>
      </w:r>
      <w:r w:rsidR="009F63B2">
        <w:fldChar w:fldCharType="separate"/>
      </w:r>
      <w:r w:rsidR="009F63B2">
        <w:rPr>
          <w:noProof/>
        </w:rPr>
        <w:t>(Donoso et al., 2020; Kehoe et al., 2021)</w:t>
      </w:r>
      <w:r w:rsidR="009F63B2">
        <w:fldChar w:fldCharType="end"/>
      </w:r>
      <w:r>
        <w:t xml:space="preserve">. </w:t>
      </w:r>
      <w:r w:rsidR="00E05B0A">
        <w:t>Furthermore, s</w:t>
      </w:r>
      <w:r>
        <w:t>pecies interactions are fundamentally dynamic across space and time</w:t>
      </w:r>
      <w:r w:rsidR="00770AED">
        <w:t>:</w:t>
      </w:r>
      <w:r>
        <w:t xml:space="preserve"> we need long-term, large-scale analyses of these interactions to understand how they </w:t>
      </w:r>
      <w:r w:rsidR="00E255F5">
        <w:t>change with</w:t>
      </w:r>
      <w:r>
        <w:t xml:space="preserve"> climate and habitat context</w:t>
      </w:r>
      <w:r w:rsidR="009058BB">
        <w:t xml:space="preserve"> </w:t>
      </w:r>
      <w:r w:rsidR="009058BB">
        <w:fldChar w:fldCharType="begin"/>
      </w:r>
      <w:r w:rsidR="009058BB">
        <w:instrText xml:space="preserve"> ADDIN ZOTERO_ITEM CSL_CITATION {"citationID":"zd63JrQG","properties":{"formattedCitation":"(Liu &amp; Gaines, 2022)","plainCitation":"(Liu &amp; Gaines, 2022)","noteIndex":0},"citationItems":[{"id":3001,"uris":["http://zotero.org/groups/5634119/items/LW73UBXP"],"itemData":{"id":3001,"type":"article-journal","abstract":"Ecological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009058BB">
        <w:fldChar w:fldCharType="separate"/>
      </w:r>
      <w:r w:rsidR="009058BB">
        <w:rPr>
          <w:noProof/>
        </w:rPr>
        <w:t>(Liu &amp; Gaines, 2022)</w:t>
      </w:r>
      <w:r w:rsidR="009058BB">
        <w:fldChar w:fldCharType="end"/>
      </w:r>
      <w:r>
        <w:t xml:space="preserve">. </w:t>
      </w:r>
      <w:r w:rsidR="00E05B0A">
        <w:t>Incorporating species interactions and all their complex</w:t>
      </w:r>
      <w:r w:rsidR="009058BB">
        <w:t>ity</w:t>
      </w:r>
      <w:r w:rsidR="00E05B0A">
        <w:t xml:space="preserve"> into our understanding of population trends will help us build better predictive models of the future of biodiversity across the globe</w:t>
      </w:r>
      <w:r w:rsidR="009F63B2">
        <w:t xml:space="preserve"> </w:t>
      </w:r>
      <w:r w:rsidR="009F63B2">
        <w:fldChar w:fldCharType="begin"/>
      </w:r>
      <w:r w:rsidR="009F63B2">
        <w:instrText xml:space="preserve"> ADDIN ZOTERO_ITEM CSL_CITATION {"citationID":"XvMnl9ql","properties":{"formattedCitation":"(Ockendon et al., 2014; Svenning et al., 2014; Tylianakis et al., 2008)","plainCitation":"(Ockendon et al., 2014; Svenning et al., 2014; Tylianakis et al., 2008)","noteIndex":0},"citationItems":[{"id":3133,"uris":["http://zotero.org/groups/5634119/items/CLHR7P24"],"itemData":{"id":3133,"type":"article-journal","abstract":"Abstract\n            Shifts in species' distribution and abundance in response to climate change have been well documented, but the underpinning processes are still poorly understood. We present the results of a systematic literature review and meta‐analysis investigating the frequency and importance of different mechanisms by which climate has impacted natural populations. Most studies were from temperate latitudes of North America and Europe; almost half investigated bird populations. We found significantly greater support for indirect, biotic mechanisms than direct, abiotic mechanisms as mediators of the impact of climate on populations. In addition, biotic effects tended to have greater support than abiotic factors in studies of species from higher trophic levels. For primary consumers, the impact of climate was equally mediated by biotic and abiotic mechanisms, whereas for higher level consumers the mechanisms were most frequently biotic, such as predation or food availability. Biotic mechanisms were more frequently supported in studies that reported a directional trend in climate than in studies with no such climatic change, although sample sizes for this comparison were small. We call for more mechanistic studies of climate change impacts on populations, particularly in tropical systems.","container-title":"Global Change Biology","DOI":"10.1111/gcb.12559","ISSN":"1354-1013, 1365-2486","issue":"7","journalAbbreviation":"Global Change Biology","language":"en","license":"http://onlinelibrary.wiley.com/termsAndConditions#vor","page":"2221-2229","source":"DOI.org (Crossref)","title":"Mechanisms underpinning climatic impacts on natural populations: altered species interactions are more important than direct effects","title-short":"Mechanisms underpinning climatic impacts on natural populations","volume":"20","author":[{"family":"Ockendon","given":"Nancy"},{"family":"Baker","given":"David J."},{"family":"Carr","given":"Jamie A."},{"family":"White","given":"Elizabeth C."},{"family":"Almond","given":"Rosamunde E. A."},{"family":"Amano","given":"Tatsuya"},{"family":"Bertram","given":"Esther"},{"family":"Bradbury","given":"Richard B."},{"family":"Bradley","given":"Cassie"},{"family":"Butchart","given":"Stuart H. M."},{"family":"Doswald","given":"Nathalie"},{"family":"Foden","given":"Wendy"},{"family":"Gill","given":"David J. C."},{"family":"Green","given":"Rhys E."},{"family":"Sutherland","given":"William J."},{"family":"Tanner","given":"Edmund V. J."},{"family":"Pearce‐Higgins","given":"James W."}],"issued":{"date-parts":[["2014",7]]}}},{"id":3152,"uris":["http://zotero.org/groups/5634119/items/4XVHA4BB"],"itemData":{"id":3152,"type":"article-journal","abstract":"Ongoing and predicted global change makes understanding and predicting species' range shifts an urgent scientific priority. Here, we provide a synthetic perspective on the so far poorly understood effects of interspecific interactions on range expansion rates. We present theoretical foundations for how interspecific interactions may modulate range expansion rates, consider examples from empirical studies of biological invasions and natural range expansions as well as process‐based simulations, and discuss how interspecific interactions can be more broadly represented in process‐based, spatiotemporally explicit range forecasts. Theory tells us that interspecific interactions affect expansion rates via alteration of local population growth rates and spatial displacement rates, but also via effects on other demographic parameters. The best empirical evidence for interspecific effects on expansion rates comes from studies of biological invasions. Notably, invasion studies indicate that competitive dominance and release from specialized enemies can enhance expansion rates. Studies of natural range expansions especially point to the potential for competition from resident species to reduce expansion rates. Overall, it is clear that interspecific interactions may have important consequences for range dynamics, but also that their effects have received too little attention to robustly generalize on their importance. We then discuss how interspecific interactions effects can be more widely incorporated in dynamic modeling of range expansions. Importantly, models must describe spatiotemporal variation in both local population dynamics and dispersal. Finally, we derive the following guidelines for when it is particularly important to explicitly represent interspecific interactions in dynamic range expansion forecasts: if most interacting species show correlated spatial or temporal trends in their effects on the target species, if the number of interacting species is low, and if the abundance of one or more strongly interacting species is not closely linked to the abundance of the target species.","container-title":"Ecography","DOI":"10.1111/j.1600-0587.2013.00574.x","ISSN":"0906-7590, 1600-0587","issue":"12","journalAbbreviation":"Ecography","language":"en","page":"1198-1209","source":"DOI.org (Crossref)","title":"The influence of interspecific interactions on species range expansion rates","volume":"37","author":[{"family":"Svenning","given":"Jens‐Christian"},{"family":"Gravel","given":"Dominique"},{"family":"Holt","given":"Robert D."},{"family":"Schurr","given":"Frank M."},{"family":"Thuiller","given":"Wilfried"},{"family":"Münkemüller","given":"Tamara"},{"family":"Schiffers","given":"Katja H."},{"family":"Dullinger","given":"Stefan"},{"family":"Edwards","given":"Thomas C."},{"family":"Hickler","given":"Thomas"},{"family":"Higgins","given":"Steven I."},{"family":"Nabel","given":"Julia E. M. S."},{"family":"Pagel","given":"Jörn"},{"family":"Normand","given":"Signe"}],"issued":{"date-parts":[["2014",12]]}}},{"id":138,"uris":["http://zotero.org/users/6391447/items/695HTSZE"],"itemData":{"id":138,"type":"article-journal","abstract":"The main drivers of global environmental change (CO2 enrichment, nitrogen deposition, climate, biotic invasions and land use) cause extinctions and alter species distributions, and recent evidence shows that they exert pervasive impacts on various antagonistic and mutualistic interactions among species. In this review, we synthesize data from 688 published studies to show that these drivers often alter competitive interactions among plants and animals, exert multitrophic effects on the decomposer food web, increase intensity of pathogen infection, weaken mutualisms involving plants, and enhance herbivory while having variable effects on predation. A recurrent ﬁnding is that there is substantial variability among studies in both the magnitude and direction of effects of any given GEC driver on any given type of biotic interaction. Further, we show that higher order effects among multiple drivers acting simultaneously create challenges in predicting future responses to global environmental change, and that extrapolating these complex impacts across entire networks of species interactions yields unanticipated effects on ecosystems. Finally, we conclude that in order to reliably predict the effects of GEC on community and ecosystem processes, the greatest single challenge will be to determine how biotic and abiotic context alters the direction and magnitude of GEC effects on biotic interactions.","container-title":"Ecology Letters","DOI":"10.1111/j.1461-0248.2008.01250.x","ISSN":"1461023X, 14610248","issue":"12","language":"en","page":"1351-1363","source":"DOI.org (Crossref)","title":"Global change and species interactions in terrestrial ecosystems","volume":"11","author":[{"family":"Tylianakis","given":"Jason M."},{"family":"Didham","given":"Raphael K."},{"family":"Bascompte","given":"Jordi"},{"family":"Wardle","given":"David A."}],"issued":{"date-parts":[["2008",12]]}}}],"schema":"https://github.com/citation-style-language/schema/raw/master/csl-citation.json"} </w:instrText>
      </w:r>
      <w:r w:rsidR="009F63B2">
        <w:fldChar w:fldCharType="separate"/>
      </w:r>
      <w:r w:rsidR="009F63B2">
        <w:rPr>
          <w:noProof/>
        </w:rPr>
        <w:t>(Ockendon et al., 2014; Svenning et al., 2014; Tylianakis et al., 2008)</w:t>
      </w:r>
      <w:r w:rsidR="009F63B2">
        <w:fldChar w:fldCharType="end"/>
      </w:r>
      <w:r w:rsidR="00E05B0A">
        <w:t xml:space="preserve">. </w:t>
      </w:r>
      <w:bookmarkEnd w:id="9"/>
    </w:p>
    <w:p w14:paraId="43522470" w14:textId="45665B17" w:rsidR="00773F71" w:rsidRDefault="008734E2" w:rsidP="00773F71">
      <w:pPr>
        <w:pStyle w:val="Heading1"/>
        <w:spacing w:before="180" w:after="180"/>
      </w:pPr>
      <w:r>
        <w:t>4</w:t>
      </w:r>
      <w:r w:rsidR="005C1865">
        <w:t xml:space="preserve"> </w:t>
      </w:r>
      <w:r w:rsidR="00773F71">
        <w:t>Materials and Methods</w:t>
      </w:r>
    </w:p>
    <w:p w14:paraId="414CC7D6" w14:textId="4D011301" w:rsidR="00773F71" w:rsidRDefault="008734E2" w:rsidP="00773F71">
      <w:pPr>
        <w:pStyle w:val="Heading3"/>
        <w:spacing w:before="180" w:after="180" w:line="480" w:lineRule="auto"/>
      </w:pPr>
      <w:r>
        <w:t>4</w:t>
      </w:r>
      <w:r w:rsidR="00773F71">
        <w:t>.1 Study system and study region</w:t>
      </w:r>
    </w:p>
    <w:p w14:paraId="399B2CD7" w14:textId="244E9458" w:rsidR="00773F71" w:rsidRDefault="00773F71" w:rsidP="00773F71">
      <w:pPr>
        <w:pStyle w:val="BodyText"/>
        <w:ind w:firstLine="720"/>
      </w:pPr>
      <w:r>
        <w:t>The pinyon jay (</w:t>
      </w:r>
      <w:r w:rsidRPr="00BE3A4A">
        <w:rPr>
          <w:i/>
          <w:iCs/>
        </w:rPr>
        <w:t>Gymnorhinus cyanocephalus</w:t>
      </w:r>
      <w:r>
        <w:t xml:space="preserve">) is an iconic </w:t>
      </w:r>
      <w:r w:rsidR="00BB7680">
        <w:t>avian</w:t>
      </w:r>
      <w:r>
        <w:t xml:space="preserve"> species that resides across the western USA </w:t>
      </w:r>
      <w:r>
        <w:fldChar w:fldCharType="begin"/>
      </w:r>
      <w:r>
        <w:instrText xml:space="preserve"> ADDIN ZOTERO_ITEM CSL_CITATION {"citationID":"4Adz4IWD","properties":{"formattedCitation":"(Fink et al., 2025)","plainCitation":"(Fink et al., 2025)","dontUpdate":true,"noteIndex":0},"citationItems":[{"id":3030,"uris":["http://zotero.org/users/6391447/items/L7QCJM7G"],"itemData":{"id":3030,"type":"dataset","abstract":"The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10,14]]},"issued":{"date-parts":[["2025",4,30]]}}}],"schema":"https://github.com/citation-style-language/schema/raw/master/csl-citation.json"} </w:instrText>
      </w:r>
      <w:r>
        <w:fldChar w:fldCharType="separate"/>
      </w:r>
      <w:r>
        <w:rPr>
          <w:noProof/>
        </w:rPr>
        <w:t>(Fink et al., 2025, Figure 1)</w:t>
      </w:r>
      <w:r>
        <w:fldChar w:fldCharType="end"/>
      </w:r>
      <w:r>
        <w:t>. To quantify relationships between pinyon jays and pinyon pine seed production, we focused on the intermountain and southwest regions of the USA, where broad-scale information is available on two-needle pinyon pine (</w:t>
      </w:r>
      <w:r w:rsidRPr="00BE3A4A">
        <w:rPr>
          <w:i/>
          <w:iCs/>
        </w:rPr>
        <w:t>Pinus edulis</w:t>
      </w:r>
      <w:r>
        <w:t xml:space="preserve">) cone production, providing a proxy for seed availability </w:t>
      </w:r>
      <w:r>
        <w:fldChar w:fldCharType="begin"/>
      </w:r>
      <w:r>
        <w:instrText xml:space="preserve"> ADDIN ZOTERO_ITEM CSL_CITATION {"citationID":"PhwQuiUj","properties":{"formattedCitation":"(Wion 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fldChar w:fldCharType="separate"/>
      </w:r>
      <w:r>
        <w:rPr>
          <w:noProof/>
        </w:rPr>
        <w:t>(Wion et al., 2025)</w:t>
      </w:r>
      <w:r>
        <w:fldChar w:fldCharType="end"/>
      </w:r>
      <w:r w:rsidRPr="00450279">
        <w:t xml:space="preserve">. </w:t>
      </w:r>
      <w:r w:rsidRPr="00BE3A4A">
        <w:t>While</w:t>
      </w:r>
      <w:r w:rsidRPr="00450279">
        <w:t xml:space="preserve"> two-needle pinyon </w:t>
      </w:r>
      <w:r w:rsidRPr="00BE3A4A">
        <w:t>(hereafter,</w:t>
      </w:r>
      <w:r w:rsidRPr="00450279">
        <w:t xml:space="preserve"> “pinyon”</w:t>
      </w:r>
      <w:r w:rsidRPr="00BE3A4A">
        <w:t xml:space="preserve">) is an important seed source, </w:t>
      </w:r>
      <w:r w:rsidRPr="00450279">
        <w:t>i</w:t>
      </w:r>
      <w:r w:rsidRPr="00186ED6">
        <w:t xml:space="preserve">t is likely that pinyon jays rely on other species of pinyon pine (e.g., </w:t>
      </w:r>
      <w:r w:rsidRPr="00186ED6">
        <w:rPr>
          <w:i/>
          <w:iCs/>
        </w:rPr>
        <w:t>P. cembroides, P. monophyla</w:t>
      </w:r>
      <w:r w:rsidRPr="00186ED6">
        <w:t xml:space="preserve">) and other </w:t>
      </w:r>
      <w:r>
        <w:t>seed-producing</w:t>
      </w:r>
      <w:r w:rsidRPr="00186ED6">
        <w:t xml:space="preserve"> species (e.g., oaks</w:t>
      </w:r>
      <w:r>
        <w:t xml:space="preserve">, </w:t>
      </w:r>
      <w:r w:rsidRPr="008266CE">
        <w:rPr>
          <w:i/>
          <w:iCs/>
        </w:rPr>
        <w:t>P. ponderosa</w:t>
      </w:r>
      <w:r w:rsidRPr="00186ED6">
        <w:t xml:space="preserve">) </w:t>
      </w:r>
      <w:r>
        <w:t xml:space="preserve">for food and habitat </w:t>
      </w:r>
      <w:r w:rsidRPr="00186ED6">
        <w:t xml:space="preserve">across their range, </w:t>
      </w:r>
      <w:r>
        <w:t>yet</w:t>
      </w:r>
      <w:r w:rsidRPr="00186ED6">
        <w:t xml:space="preserve"> </w:t>
      </w:r>
      <w:r>
        <w:t xml:space="preserve">we lack </w:t>
      </w:r>
      <w:r w:rsidRPr="00186ED6">
        <w:t>wide-scale estimates of seed production</w:t>
      </w:r>
      <w:r>
        <w:t xml:space="preserve"> for these other species</w:t>
      </w:r>
      <w:r w:rsidRPr="00186ED6">
        <w:t xml:space="preserve">. </w:t>
      </w:r>
      <w:r>
        <w:t xml:space="preserve">Overall, our study region represents ~55% </w:t>
      </w:r>
      <w:r>
        <w:lastRenderedPageBreak/>
        <w:t xml:space="preserve">of the total population range for pinyon jays, </w:t>
      </w:r>
      <w:commentRangeStart w:id="12"/>
      <w:commentRangeStart w:id="13"/>
      <w:r>
        <w:t>and spans a wide range of elevations (</w:t>
      </w:r>
      <w:r w:rsidRPr="00B65D7D">
        <w:rPr>
          <w:highlight w:val="yellow"/>
        </w:rPr>
        <w:t>X-Y</w:t>
      </w:r>
      <w:r>
        <w:t xml:space="preserve"> m), mean annual precipitation (</w:t>
      </w:r>
      <w:r w:rsidRPr="00B65D7D">
        <w:rPr>
          <w:highlight w:val="yellow"/>
        </w:rPr>
        <w:t>X-Y</w:t>
      </w:r>
      <w:r>
        <w:t xml:space="preserve"> mm), mean annual temperature (</w:t>
      </w:r>
      <w:r w:rsidRPr="00B65D7D">
        <w:rPr>
          <w:highlight w:val="yellow"/>
        </w:rPr>
        <w:t>X-Y</w:t>
      </w:r>
      <w:r>
        <w:t xml:space="preserve"> </w:t>
      </w:r>
      <w:r w:rsidRPr="00B65D7D">
        <w:rPr>
          <w:vertAlign w:val="superscript"/>
        </w:rPr>
        <w:t>o</w:t>
      </w:r>
      <w:r>
        <w:t xml:space="preserve">C), </w:t>
      </w:r>
      <w:commentRangeEnd w:id="12"/>
      <w:r>
        <w:rPr>
          <w:rStyle w:val="CommentReference"/>
          <w:sz w:val="24"/>
          <w:szCs w:val="24"/>
        </w:rPr>
        <w:commentReference w:id="12"/>
      </w:r>
      <w:commentRangeEnd w:id="13"/>
      <w:r w:rsidR="00A9396E">
        <w:rPr>
          <w:rStyle w:val="CommentReference"/>
          <w:sz w:val="24"/>
          <w:szCs w:val="24"/>
        </w:rPr>
        <w:commentReference w:id="13"/>
      </w:r>
      <w:r>
        <w:t>and pinyon basal area (0-12 m</w:t>
      </w:r>
      <w:r w:rsidRPr="00E03D50">
        <w:rPr>
          <w:vertAlign w:val="superscript"/>
        </w:rPr>
        <w:t>2</w:t>
      </w:r>
      <w:r>
        <w:t xml:space="preserve"> ha</w:t>
      </w:r>
      <w:r w:rsidRPr="00E03D50">
        <w:rPr>
          <w:vertAlign w:val="superscript"/>
        </w:rPr>
        <w:t>-1</w:t>
      </w:r>
      <w:r>
        <w:t>).</w:t>
      </w:r>
    </w:p>
    <w:p w14:paraId="1114149E" w14:textId="5BC7ADE7" w:rsidR="00773F71" w:rsidRPr="004B339F" w:rsidRDefault="008734E2" w:rsidP="00773F71">
      <w:pPr>
        <w:pStyle w:val="BodyText"/>
        <w:rPr>
          <w:i/>
          <w:iCs/>
        </w:rPr>
      </w:pPr>
      <w:r>
        <w:rPr>
          <w:i/>
          <w:iCs/>
        </w:rPr>
        <w:t>4</w:t>
      </w:r>
      <w:r w:rsidR="00773F71">
        <w:rPr>
          <w:i/>
          <w:iCs/>
        </w:rPr>
        <w:t>.2 Conceptualizing temporal relationships between pinyon jays and pinyon seeds</w:t>
      </w:r>
    </w:p>
    <w:p w14:paraId="0F70CE08" w14:textId="684FF005" w:rsidR="00976682" w:rsidRDefault="00773F71" w:rsidP="00516F48">
      <w:pPr>
        <w:pStyle w:val="BodyText"/>
        <w:ind w:firstLine="720"/>
      </w:pPr>
      <w:r>
        <w:t>Previous work suggests that p</w:t>
      </w:r>
      <w:r w:rsidRPr="00186ED6">
        <w:t xml:space="preserve">inyon jays “predict” cone availability </w:t>
      </w:r>
      <w:r>
        <w:t xml:space="preserve">in response to visual cues associated with initial cone development and maturation </w:t>
      </w:r>
      <w:r w:rsidRPr="00186ED6">
        <w:fldChar w:fldCharType="begin"/>
      </w:r>
      <w:r w:rsidRPr="00186ED6">
        <w:instrText xml:space="preserve"> ADDIN ZOTERO_ITEM CSL_CITATION {"citationID":"tFXXiTRH","properties":{"formattedCitation":"(Ligon,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Pr="00186ED6">
        <w:fldChar w:fldCharType="separate"/>
      </w:r>
      <w:r w:rsidRPr="00186ED6">
        <w:rPr>
          <w:noProof/>
        </w:rPr>
        <w:t>(Ligon, 1978)</w:t>
      </w:r>
      <w:r w:rsidRPr="00186ED6">
        <w:fldChar w:fldCharType="end"/>
      </w:r>
      <w:r>
        <w:t xml:space="preserve">. Conversely, other work has documented pinyon jays “responding” to masting events by nesting near sites where they cached seeds produced during the previous masting year </w:t>
      </w:r>
      <w:r w:rsidRPr="00186ED6">
        <w:fldChar w:fldCharType="begin"/>
      </w:r>
      <w:r w:rsidRPr="00186ED6">
        <w:instrText xml:space="preserve"> ADDIN ZOTERO_ITEM CSL_CITATION {"citationID":"3ILg4EqR","properties":{"formattedCitation":"(Stotz &amp; Balda, 1995)","plainCitation":"(Stotz &amp; Balda, 1995)","noteIndex":0},"citationItems":[{"id":2860,"uris":["http://zotero.org/groups/5634119/items/MRSH59Y5"],"itemData":{"id":2860,"type":"article-journal","container-title":"The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Pr="00186ED6">
        <w:fldChar w:fldCharType="separate"/>
      </w:r>
      <w:r w:rsidRPr="00186ED6">
        <w:rPr>
          <w:noProof/>
        </w:rPr>
        <w:t>(Stotz &amp; Balda, 1995)</w:t>
      </w:r>
      <w:r w:rsidRPr="00186ED6">
        <w:fldChar w:fldCharType="end"/>
      </w:r>
      <w:r w:rsidRPr="00186ED6">
        <w:t xml:space="preserve">. </w:t>
      </w:r>
      <w:r>
        <w:t xml:space="preserve">In addition, pinyon jays undergo delayed maturity such that individuals enter the breeding population 1.5-2 years after fledging </w:t>
      </w:r>
      <w:r>
        <w:fldChar w:fldCharType="begin"/>
      </w:r>
      <w:r w:rsidR="0093338E">
        <w:instrText xml:space="preserve"> ADDIN ZOTERO_ITEM CSL_CITATION {"citationID":"uJmFfHDE","properties":{"formattedCitation":"(Marzluff &amp; Balda, 1988)","plainCitation":"(Marzluff &amp; Balda, 1988)","noteIndex":0},"citationItems":[{"id":2861,"uris":["http://zotero.org/groups/5634119/items/CQUD9PTD"],"itemData":{"id":2861,"type":"article-journal","container-title":"The Auk","DOI":"10.2307/4087492","ISSN":"0004-8038, 1938-4254","issue":"2","note":"publisher: Oxford University Press (OUP)","page":"286-295","source":"Crossref","title":"The Advantages of, and Constraints Forcing, Mate Fidelity in Pinyon Jays","volume":"105","author":[{"family":"Marzluff","given":"John M."},{"family":"Balda","given":"Russell P."}],"issued":{"date-parts":[["1988",4]]}}}],"schema":"https://github.com/citation-style-language/schema/raw/master/csl-citation.json"} </w:instrText>
      </w:r>
      <w:r>
        <w:fldChar w:fldCharType="separate"/>
      </w:r>
      <w:r w:rsidR="0093338E">
        <w:rPr>
          <w:noProof/>
        </w:rPr>
        <w:t>(Marzluff &amp; Balda, 1988)</w:t>
      </w:r>
      <w:r>
        <w:fldChar w:fldCharType="end"/>
      </w:r>
      <w:r w:rsidR="00516F48">
        <w:t xml:space="preserve">. Thus, pinyon seed resource pulses may have delayed effects on pinyon jay abundance if these resource pulses stimulate events earlier in the life cycle (e.g., productivity or fledging success). The typical lifespan of a pinyon jay is 5-6 years </w:t>
      </w:r>
      <w:r w:rsidR="00516F48">
        <w:fldChar w:fldCharType="begin"/>
      </w:r>
      <w:r w:rsidR="00516F48">
        <w:instrText xml:space="preserve"> ADDIN ZOTERO_ITEM CSL_CITATION {"citationID":"ZF3pC3Xh","properties":{"formattedCitation":"(Marzluff &amp; Balda, 1992)","plainCitation":"(Marzluff &amp; Balda, 1992)","noteIndex":0},"citationItems":[{"id":3031,"uris":["http://zotero.org/users/6391447/items/ADY52QPF"],"itemData":{"id":3031,"type":"book","event-place":"London","publisher":"T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rsidR="00516F48">
        <w:fldChar w:fldCharType="separate"/>
      </w:r>
      <w:r w:rsidR="00516F48">
        <w:rPr>
          <w:noProof/>
        </w:rPr>
        <w:t>(Marzluff &amp; Balda, 1992)</w:t>
      </w:r>
      <w:r w:rsidR="00516F48">
        <w:fldChar w:fldCharType="end"/>
      </w:r>
      <w:r w:rsidR="00516F48">
        <w:t xml:space="preserve"> and high cone production (“masting”) events in pinyon pines in the southwestern USA occurred infrequently during the study period (~1-2 events in any location; </w:t>
      </w:r>
      <w:r w:rsidR="00516F48">
        <w:fldChar w:fldCharType="begin"/>
      </w:r>
      <w:r w:rsidR="00516F48">
        <w:instrText xml:space="preserve"> ADDIN ZOTERO_ITEM CSL_CITATION {"citationID":"f0TgtLM7","properties":{"formattedCitation":"(Wion et al., 2020)","plainCitation":"(Wion et al., 2020)","dontUpdate":true,"noteIndex":0},"citationItems":[{"id":3033,"uris":["http://zotero.org/users/6391447/items/ELR5CA5R"],"itemData":{"id":3033,"type":"article-journal","abstract":"Masting, or the synchronous and irregular production of seed crops, is controlled by environmental conditions and resource budgets. Increasing temperatures and shifting precipitation regimes may alter the frequency and magnitude of masting, especially in species that experience chronic resource stress. Yet the effects of a changing climate on seed production are unlikely to be uniform across populations, particularly those that span broad abiotic gradients. In this study, we assessed the spatiotemporal patterns of masting across the latitudinal distribution of a widely distributed dryland conifer species, piñon pine\n              Pinus edulis\n              . We quantified seed cone production from 2004 to 2017 using cone abscission scars in 187 trees from 28 sites along an 1100 km latitudinal gradient to investigate the spatiotemporal drivers of seed cone production and synchrony across populations. Populations from chronically hot and dry areas (greater climatic water deficits and less monsoonal precipitation) tended to have greater interannual variability in seed cone production and smaller crop sizes. Mast years generally followed years with low vapor pressure deficits and high precipitation during key periods of the reproductive process, but the strength of these relationships varied across the region. Populations that received greater monsoonal precipitation were less sensitive to late summer vapor pressure deficits during seed cone initiation yet more sensitive to spring vapor pressure deficits during pollination. Spatially correlated patterns of vapor pressure deficit better predicted synchrony in seed cone production than geographic distance, and these patterns were conserved at distances up to 500 km. These results demonstrate that aridity drives spatiotemporal variability in seed cone production. As a result, projected increases in aridity are likely to decrease the frequency and magnitude of masting in these dry forests and woodlands. Declines in seed production may compound climatic limitations to recruitment and impede tree regeneration, with cascading effects for numerous wildlife species.","container-title":"Ecography","DOI":"10.1111/ecog.04856","ISSN":"0906-7590, 1600-0587","issue":"4","journalAbbreviation":"Ecography","language":"en","page":"569-580","source":"DOI.org (Crossref)","title":"Aridity drives spatiotemporal patterns of masting across the latitudinal range of a dryland conifer","volume":"43","author":[{"family":"Wion","given":"Andreas P."},{"family":"Weisberg","given":"Peter J."},{"family":"Pearse","given":"Ian S."},{"family":"Redmond","given":"Miranda D."}],"issued":{"date-parts":[["2020",4]]}}}],"schema":"https://github.com/citation-style-language/schema/raw/master/csl-citation.json"} </w:instrText>
      </w:r>
      <w:r w:rsidR="00516F48">
        <w:fldChar w:fldCharType="separate"/>
      </w:r>
      <w:r w:rsidR="00516F48">
        <w:rPr>
          <w:noProof/>
        </w:rPr>
        <w:t>Wion et al., 2020)</w:t>
      </w:r>
      <w:r w:rsidR="00516F48">
        <w:fldChar w:fldCharType="end"/>
      </w:r>
      <w:r w:rsidR="00516F48">
        <w:t xml:space="preserve">. Further, the timing of these masting events can be highly variable. Thus, pinyon jays may experience one or two high cone events during their lifetime, despite relying heavily on pinyon seeds when seeds are available </w:t>
      </w:r>
      <w:r w:rsidR="00516F48">
        <w:fldChar w:fldCharType="begin"/>
      </w:r>
      <w:r w:rsidR="00516F48">
        <w:instrText xml:space="preserve"> ADDIN ZOTERO_ITEM CSL_CITATION {"citationID":"nei9nhMQ","properties":{"formattedCitation":"(Ligon,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516F48">
        <w:fldChar w:fldCharType="separate"/>
      </w:r>
      <w:r w:rsidR="00516F48">
        <w:rPr>
          <w:noProof/>
        </w:rPr>
        <w:t>(Ligon, 1978)</w:t>
      </w:r>
      <w:r w:rsidR="00516F48">
        <w:fldChar w:fldCharType="end"/>
      </w:r>
      <w:r w:rsidR="00516F48">
        <w:t xml:space="preserve">. </w:t>
      </w:r>
    </w:p>
    <w:p w14:paraId="04E7FA28" w14:textId="4EA320E9" w:rsidR="00773F71" w:rsidRPr="00207146" w:rsidRDefault="00773F71" w:rsidP="00773F71">
      <w:pPr>
        <w:pStyle w:val="BodyText"/>
        <w:ind w:firstLine="720"/>
      </w:pPr>
      <w:r>
        <w:t>Given the potential for multiple, non-exclusive temporal coupling patterns between pinyon masting and pinyon jay abundance</w:t>
      </w:r>
      <w:r w:rsidRPr="00186ED6">
        <w:t>,</w:t>
      </w:r>
      <w:r>
        <w:t xml:space="preserve"> we developed a model with a stochastic component that simultaneously incorporates these three hypothesized temporal relationships between pinyon jays and pinyon cones (a proxy for seeds,</w:t>
      </w:r>
      <w:r w:rsidRPr="00095BA5">
        <w:t xml:space="preserve"> </w:t>
      </w:r>
      <w:r>
        <w:t xml:space="preserve">see Figure 2). </w:t>
      </w:r>
      <w:r w:rsidRPr="005C6E8E">
        <w:t>The first (H1) hypothesizes that pinyon jays exhibit predictive or anticipatory behavior whereby their population abundance</w:t>
      </w:r>
      <w:r w:rsidRPr="002A02DF">
        <w:t xml:space="preserve"> </w:t>
      </w:r>
      <w:r w:rsidRPr="005C6E8E">
        <w:t>correlates</w:t>
      </w:r>
      <w:r>
        <w:t xml:space="preserve"> </w:t>
      </w:r>
      <w:r>
        <w:lastRenderedPageBreak/>
        <w:t>with</w:t>
      </w:r>
      <w:r w:rsidRPr="002A02DF">
        <w:t xml:space="preserve"> pinyon seed availability in subsequent (future) years. This anticipatory response would occur if jays respond to production of young, developing </w:t>
      </w:r>
      <w:r w:rsidRPr="005C6E8E">
        <w:t>cone</w:t>
      </w:r>
      <w:r w:rsidRPr="002A02DF">
        <w:t xml:space="preserve">s </w:t>
      </w:r>
      <w:r w:rsidRPr="005C6E8E">
        <w:t>and/or they use seeds from other plant species that develop more quickly in response to favorable climate conditions that also stimulate pinyon pine cone formation</w:t>
      </w:r>
      <w:r>
        <w:t xml:space="preserve"> (e.g., juniper berries and acorns; </w:t>
      </w:r>
      <w:r>
        <w:fldChar w:fldCharType="begin"/>
      </w:r>
      <w:r w:rsidR="00DD1543">
        <w:instrText xml:space="preserve"> ADDIN ZOTERO_ITEM CSL_CITATION {"citationID":"R1TLYn3E","properties":{"formattedCitation":"(Parmenter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fldChar w:fldCharType="separate"/>
      </w:r>
      <w:r w:rsidR="00DD1543">
        <w:rPr>
          <w:noProof/>
        </w:rPr>
        <w:t>(Parmenter et al., 2018)</w:t>
      </w:r>
      <w:r>
        <w:fldChar w:fldCharType="end"/>
      </w:r>
      <w:r>
        <w:t xml:space="preserve">). </w:t>
      </w:r>
      <w:r w:rsidRPr="005C6E8E">
        <w:t xml:space="preserve">The second (H2) </w:t>
      </w:r>
      <w:r w:rsidRPr="002A02DF">
        <w:t xml:space="preserve">hypothesizes that </w:t>
      </w:r>
      <w:r w:rsidRPr="005C6E8E">
        <w:t xml:space="preserve">pinyon jays respond </w:t>
      </w:r>
      <w:r w:rsidRPr="002A02DF">
        <w:t xml:space="preserve">quickly </w:t>
      </w:r>
      <w:r w:rsidRPr="005C6E8E">
        <w:t xml:space="preserve">to </w:t>
      </w:r>
      <w:r w:rsidRPr="002A02DF">
        <w:t>pinyon pine seed availability such that jay abundance in the spring</w:t>
      </w:r>
      <w:r>
        <w:t xml:space="preserve"> breeding season</w:t>
      </w:r>
      <w:r w:rsidRPr="002A02DF">
        <w:t xml:space="preserve"> is highly correlated with seed</w:t>
      </w:r>
      <w:r>
        <w:t>s produced</w:t>
      </w:r>
      <w:r w:rsidRPr="002A02DF">
        <w:t xml:space="preserve"> during the prior fall or winter.</w:t>
      </w:r>
      <w:r>
        <w:t xml:space="preserve"> This immediate response would likely be due to birds nesting near caches from the previous fall and winter.</w:t>
      </w:r>
      <w:r w:rsidRPr="005C6E8E">
        <w:t xml:space="preserve"> Finally, </w:t>
      </w:r>
      <w:r>
        <w:t>the third (</w:t>
      </w:r>
      <w:r w:rsidRPr="005C6E8E">
        <w:t>H3</w:t>
      </w:r>
      <w:r>
        <w:t>)</w:t>
      </w:r>
      <w:r w:rsidRPr="005C6E8E">
        <w:t xml:space="preserve"> describes</w:t>
      </w:r>
      <w:r>
        <w:t xml:space="preserve"> a delayed response whereby pinyon jay abundance is highly correlated with seed availability during previous years (e.g., 1 or 2 fall seasons prior), reflecting a growth in the breeding jay population 1.5-2 years following pinyon seed resource pulses. Importantly, our modeling framework facilities explicit quantification of the relative importance of each of these hypotheses, and it allows for the possibility that one or more can occur simultaneously. These predicted temporal relationships between pinyon jays and pinyon cone (seed) production are illustrated in Figure 2. </w:t>
      </w:r>
    </w:p>
    <w:p w14:paraId="5274735F" w14:textId="099891B9" w:rsidR="00773F71" w:rsidRDefault="008734E2" w:rsidP="00773F71">
      <w:pPr>
        <w:pStyle w:val="Heading3"/>
        <w:spacing w:before="180" w:after="180" w:line="480" w:lineRule="auto"/>
      </w:pPr>
      <w:r>
        <w:t>4</w:t>
      </w:r>
      <w:r w:rsidR="00773F71">
        <w:t>.</w:t>
      </w:r>
      <w:r>
        <w:t>3</w:t>
      </w:r>
      <w:r w:rsidR="00773F71">
        <w:t xml:space="preserve"> Data sources</w:t>
      </w:r>
    </w:p>
    <w:p w14:paraId="587AEF1C" w14:textId="58AB8124" w:rsidR="00773F71" w:rsidRDefault="00773F71" w:rsidP="00773F71">
      <w:pPr>
        <w:pStyle w:val="BodyText"/>
      </w:pPr>
      <w:r>
        <w:tab/>
        <w:t>We compiled data for pinyon jays, pinyon pine</w:t>
      </w:r>
      <w:r w:rsidR="00A67345">
        <w:t xml:space="preserve"> ecosystem</w:t>
      </w:r>
      <w:r>
        <w:t xml:space="preserve"> attributes, </w:t>
      </w:r>
      <w:r w:rsidR="00A67345">
        <w:t>and climate</w:t>
      </w:r>
      <w:r>
        <w:t xml:space="preserve"> covariates from a variety of sources. Bird data came from eBird (Sullivan et al., 2009, more in Section </w:t>
      </w:r>
      <w:r w:rsidR="008734E2">
        <w:t>4.3</w:t>
      </w:r>
      <w:r>
        <w:t xml:space="preserve">.1 below) and pinyon cone abundance came from hindcast estimates from a previous study </w:t>
      </w:r>
      <w:r w:rsidRPr="00315E09">
        <w:fldChar w:fldCharType="begin"/>
      </w:r>
      <w:r>
        <w:instrText xml:space="preserve"> ADDIN ZOTERO_ITEM CSL_CITATION {"citationID":"5mp59DfK","properties":{"formattedCitation":"(Wion et al., 2025)","plainCitation":"(Wion et al., 2025)","dontUpdate":true,"noteIndex":0},"citationItems":[{"id":2858,"uris":["http://zotero.org/groups/5634119/items/5C7JLPYL"],"itemData":{"id":2858,"type":"article-journal","abstract":"SummaryPredicting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Pr="00315E09">
        <w:fldChar w:fldCharType="separate"/>
      </w:r>
      <w:r w:rsidRPr="00315E09">
        <w:rPr>
          <w:noProof/>
        </w:rPr>
        <w:t xml:space="preserve">(Wion et al., 2025, see Section </w:t>
      </w:r>
      <w:r w:rsidR="008734E2">
        <w:rPr>
          <w:noProof/>
        </w:rPr>
        <w:t>4.3</w:t>
      </w:r>
      <w:r w:rsidRPr="00315E09">
        <w:rPr>
          <w:noProof/>
        </w:rPr>
        <w:t>.2)</w:t>
      </w:r>
      <w:r w:rsidRPr="00315E09">
        <w:fldChar w:fldCharType="end"/>
      </w:r>
      <w:r w:rsidRPr="00315E09">
        <w:t>.</w:t>
      </w:r>
      <w:r>
        <w:t xml:space="preserve"> We also examined the mediating effects of habitat and climate on jay-cone relationships (see Section </w:t>
      </w:r>
      <w:r w:rsidR="008734E2">
        <w:t>4.3</w:t>
      </w:r>
      <w:r>
        <w:t xml:space="preserve">.3). In particular, we compiled two variables describing habitat quality: pinyon pine basal area (as a proxy of tree abundance) and the North American Monsoon contributions </w:t>
      </w:r>
      <w:r>
        <w:fldChar w:fldCharType="begin"/>
      </w:r>
      <w:r w:rsidR="00B332AB">
        <w:instrText xml:space="preserve"> ADDIN ZOTERO_ITEM CSL_CITATION {"citationID":"TzGEhOgB","properties":{"formattedCitation":"(Branson, 2008; Maurer et al., 2020)","plainCitation":"(Branson, 2008; Maurer et al., 2020)","dontUpdate":true,"noteIndex":0},"citationItems":[{"id":2498,"uris":["http://zotero.org/users/6391447/items/VVC4E3XE"],"itemData":{"id":2498,"type":"article-journal","container-title":"Environmental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L."}],"editor":[{"family":"Coulson","given":"Tim"}],"issued":{"date-parts":[["2020",3]]}}}],"schema":"https://github.com/citation-style-language/schema/raw/master/csl-citation.json"} </w:instrText>
      </w:r>
      <w:r>
        <w:fldChar w:fldCharType="separate"/>
      </w:r>
      <w:r>
        <w:rPr>
          <w:noProof/>
        </w:rPr>
        <w:t>(</w:t>
      </w:r>
      <w:r w:rsidR="00A67345">
        <w:rPr>
          <w:noProof/>
        </w:rPr>
        <w:t xml:space="preserve">late summer and early fall precipitation in the region; </w:t>
      </w:r>
      <w:r>
        <w:rPr>
          <w:noProof/>
        </w:rPr>
        <w:t>Branson, 2008; Maurer et al., 2020)</w:t>
      </w:r>
      <w:r>
        <w:fldChar w:fldCharType="end"/>
      </w:r>
      <w:r>
        <w:t xml:space="preserve">. We also incorporated two variables describing </w:t>
      </w:r>
      <w:r>
        <w:lastRenderedPageBreak/>
        <w:t xml:space="preserve">climate suitability: seasonal maximum temperature and total seasonal precipitation during seasons that matter for pinyon jay biology </w:t>
      </w:r>
      <w:r>
        <w:fldChar w:fldCharType="begin"/>
      </w:r>
      <w:r>
        <w:instrText xml:space="preserve"> ADDIN ZOTERO_ITEM CSL_CITATION {"citationID":"hq0WvKdr","properties":{"formattedCitation":"(Ligon, 1978; McDermott &amp; DeGroote, 2016; Skagen &amp; Adams, 2012; Stotz &amp; Balda, 1995)","plainCitation":"(Ligon, 1978; McDermott &amp; DeGroote, 2016; Skagen &amp; Adams, 2012; Stotz &amp; Balda, 1995)","dontUpdate":true,"noteIndex":0},"citationItems":[{"id":2753,"uris":["http://zotero.org/groups/5634119/items/4RGGXF3K"],"itemData":{"id":2753,"type":"article-journal","abstract":"Pinon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1939-5582","issue":"4","language":"en","license":"http://onlinelibrary.wiley.com/termsAndConditions#vor","note":"publisher: Wiley","page":"1131-1145","source":"Crossref","title":"Weather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fldChar w:fldCharType="separate"/>
      </w:r>
      <w:r w:rsidRPr="10F02EB4">
        <w:rPr>
          <w:noProof/>
        </w:rPr>
        <w:t>(</w:t>
      </w:r>
      <w:r>
        <w:rPr>
          <w:noProof/>
        </w:rPr>
        <w:t xml:space="preserve">see Section </w:t>
      </w:r>
      <w:r w:rsidR="008734E2">
        <w:rPr>
          <w:noProof/>
        </w:rPr>
        <w:t>4.3</w:t>
      </w:r>
      <w:r>
        <w:rPr>
          <w:noProof/>
        </w:rPr>
        <w:t xml:space="preserve">.3; </w:t>
      </w:r>
      <w:r w:rsidRPr="10F02EB4">
        <w:rPr>
          <w:noProof/>
        </w:rPr>
        <w:t>Ligon, 1978; McDermott &amp; DeGroote, 2016; Skagen &amp; Adams, 2012; Stotz &amp; Balda, 1995)</w:t>
      </w:r>
      <w:r>
        <w:fldChar w:fldCharType="end"/>
      </w:r>
      <w:r>
        <w:t xml:space="preserve">. </w:t>
      </w:r>
    </w:p>
    <w:p w14:paraId="7F33D8B7" w14:textId="48445CEF" w:rsidR="00773F71" w:rsidRDefault="008734E2" w:rsidP="00773F71">
      <w:pPr>
        <w:pStyle w:val="BodyText"/>
      </w:pPr>
      <w:r>
        <w:rPr>
          <w:i/>
          <w:iCs/>
        </w:rPr>
        <w:t>4.3</w:t>
      </w:r>
      <w:r w:rsidR="00773F71">
        <w:rPr>
          <w:i/>
          <w:iCs/>
        </w:rPr>
        <w:t>.1 Pinyon jay abundance data</w:t>
      </w:r>
    </w:p>
    <w:p w14:paraId="030DD2A1" w14:textId="177A8138" w:rsidR="00773F71" w:rsidRDefault="00773F71" w:rsidP="00773F71">
      <w:pPr>
        <w:pStyle w:val="FirstParagraph"/>
        <w:spacing w:after="0"/>
        <w:ind w:firstLine="720"/>
      </w:pPr>
      <w:r>
        <w:t xml:space="preserve">To estimate pinyon jay abundance, we leveraged data from eBird </w:t>
      </w:r>
      <w:r>
        <w:fldChar w:fldCharType="begin"/>
      </w:r>
      <w:r>
        <w:instrText xml:space="preserve"> ADDIN ZOTERO_ITEM CSL_CITATION {"citationID":"IgecEyH7","properties":{"formattedCitation":"(Sullivan et al., 2009)","plainCitation":"(Sullivan et al., 2009)","noteIndex":0},"citationItems":[{"id":2330,"uris":["http://zotero.org/groups/4936574/items/WEAIMI7B"],"itemData":{"id":2330,"type":"article-journal","container-title":"Biological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fldChar w:fldCharType="separate"/>
      </w:r>
      <w:r w:rsidRPr="5A83A434">
        <w:rPr>
          <w:noProof/>
        </w:rPr>
        <w:t>(Sullivan et al., 2009)</w:t>
      </w:r>
      <w:r>
        <w:fldChar w:fldCharType="end"/>
      </w:r>
      <w:r>
        <w:t xml:space="preserve"> for the southwestern USA (Arizona, Colorado, New Mexico, and Utah; Figure 1). eBird has broad spatial and temporal coverage within the region of interest and its spatial scale aligns with the spatial resolution of the climate covariates (4 km </w:t>
      </w:r>
      <w:r>
        <w:sym w:font="Symbol" w:char="F0B4"/>
      </w:r>
      <w:r>
        <w:t xml:space="preserve"> 4 km grid cells). We downloaded all checklists and kept years with good checklist coverage for the region (2010-2022). We filtered checklists to include areas supporting pinyon pine cover in the 2000s </w:t>
      </w:r>
      <w:r>
        <w:fldChar w:fldCharType="begin"/>
      </w:r>
      <w:r>
        <w:instrText xml:space="preserve"> ADDIN ZOTERO_ITEM CSL_CITATION {"citationID":"SfHl3NX0","properties":{"formattedCitation":"(Wilson et al., 2013)","plainCitation":"(Wilson et al., 2013)","dontUpdate":true,"noteIndex":0},"citationItems":[{"id":2974,"uris":["http://zotero.org/groups/5634119/items/C475LZBY"],"itemData":{"id":2974,"type":"dataset","DOI":"10.2737/RDS-2013-0013","language":"en","publisher":"Forest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fldChar w:fldCharType="separate"/>
      </w:r>
      <w:r>
        <w:rPr>
          <w:noProof/>
        </w:rPr>
        <w:t xml:space="preserve">(see Section </w:t>
      </w:r>
      <w:r w:rsidR="008734E2">
        <w:rPr>
          <w:noProof/>
        </w:rPr>
        <w:t>4.3</w:t>
      </w:r>
      <w:r>
        <w:rPr>
          <w:noProof/>
        </w:rPr>
        <w:t>.3; Wilson et al., 2013)</w:t>
      </w:r>
      <w:r>
        <w:fldChar w:fldCharType="end"/>
      </w:r>
      <w:r>
        <w:t xml:space="preserve">. eBird is a participatory (“citizen” or “community”) science data product whereby members from the public collect bird observation data and contribute to the eBird database. Thus, these data require filtering to ensure spatial and temporal consistency. We followed the well-developed filtering methods suggested by the eBird database curators and others </w:t>
      </w:r>
      <w:r>
        <w:fldChar w:fldCharType="begin"/>
      </w:r>
      <w:r>
        <w:instrText xml:space="preserve"> ADDIN ZOTERO_ITEM CSL_CITATION {"citationID":"H6WJr4kD","properties":{"formattedCitation":"(Robinson et al., 2018; Strimas-Mackey et al., 2023)","plainCitation":"(Robinson et al., 2018; Strimas-Mackey et al., 2023)","noteIndex":0},"citationItems":[{"id":2758,"uris":["http://zotero.org/groups/5634119/items/FSB6BQ9W"],"itemData":{"id":2758,"type":"article-journal","container-title":"Biological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G."}],"issued":{"date-parts":[["2018",11]]}}},{"id":2880,"uris":["http://zotero.org/groups/5634119/items/CGBBLBHT"],"itemData":{"id":2880,"type":"book","event-place":"Ithaca, New York","publisher":"Cornell Lab of Ornithology","publisher-place":"Ithaca, New York","title":"Best Practices for Using eBird Data","URL":"https://doi.org/10.5281/zenodo.3620739","volume":"Version 2.0","author":[{"family":"Strimas-Mackey","given":"M"},{"family":"Hochachka","given":"W.M."},{"family":"Ruiz-Gutierrez","given":"V"},{"family":"Robinson","given":"O.J."},{"family":"Miller","given":"E.T."},{"family":"Auer","given":"T"},{"family":"Kelling","given":"S"},{"family":"Fink","given":"D"},{"family":"Johnston","given":"A"}],"issued":{"date-parts":[["2023"]]}}}],"schema":"https://github.com/citation-style-language/schema/raw/master/csl-citation.json"} </w:instrText>
      </w:r>
      <w:r>
        <w:fldChar w:fldCharType="separate"/>
      </w:r>
      <w:r w:rsidRPr="10F02EB4">
        <w:rPr>
          <w:noProof/>
        </w:rPr>
        <w:t>(Robinson et al., 2018; Strimas-Mackey et al., 2023)</w:t>
      </w:r>
      <w:r>
        <w:fldChar w:fldCharType="end"/>
      </w:r>
      <w:r>
        <w:t xml:space="preserve">. Specifically, we selected data that represented only complete checklists (e.g., observers recorded all birds of all species observed, not just individuals of species of interest). We selected checklists from the nesting season (late February to early May </w:t>
      </w:r>
      <w:r>
        <w:fldChar w:fldCharType="begin"/>
      </w:r>
      <w:r>
        <w:instrText xml:space="preserve"> ADDIN ZOTERO_ITEM CSL_CITATION {"citationID":"6uWkVYgU","properties":{"formattedCitation":"(Wiggins,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Pr="10F02EB4">
        <w:rPr>
          <w:noProof/>
        </w:rPr>
        <w:t>(Wiggins, 2005)</w:t>
      </w:r>
      <w:r>
        <w:fldChar w:fldCharType="end"/>
      </w:r>
      <w:r>
        <w:t xml:space="preserve">) and included only observations from two common protocol types (“stationary” and “traveling”), thus excluding data from 14 uncommon protocols. We considered only the nesting season because this is a time of year during which birds are more stationary, so drivers of local bird abundance are easier to evaluate </w:t>
      </w:r>
      <w:r>
        <w:fldChar w:fldCharType="begin"/>
      </w:r>
      <w:r>
        <w:instrText xml:space="preserve"> ADDIN ZOTERO_ITEM CSL_CITATION {"citationID":"xcN4DEcr","properties":{"formattedCitation":"(Ligon, 1978; Wiggins, 2005)","plainCitation":"(Ligon, 1978; Wiggins, 2005)","noteIndex":0},"citationItems":[{"id":2753,"uris":["http://zotero.org/groups/5634119/items/4RGGXF3K"],"itemData":{"id":2753,"type":"article-journal","abstract":"Pinon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Pr="10F02EB4">
        <w:rPr>
          <w:noProof/>
        </w:rPr>
        <w:t>(Ligon, 1978; Wiggins, 2005)</w:t>
      </w:r>
      <w:r>
        <w:fldChar w:fldCharType="end"/>
      </w:r>
      <w:r>
        <w:t>. We also only included checklists with relatively similar effort: 1) collected in under five hours, 2) 0-5 km in survey distance, and 3) with 10 or fewer observers.</w:t>
      </w:r>
    </w:p>
    <w:p w14:paraId="44561E90" w14:textId="607D3699" w:rsidR="00773F71" w:rsidRDefault="00773F71" w:rsidP="00773F71">
      <w:pPr>
        <w:pStyle w:val="BodyText"/>
        <w:spacing w:before="0" w:after="0"/>
        <w:ind w:firstLine="720"/>
      </w:pPr>
      <w:r>
        <w:lastRenderedPageBreak/>
        <w:t xml:space="preserve">Because of its participatory nature, eBird data have no control over sampling location, effort, or survey methods, so we also performed data subsampling following standard practices </w:t>
      </w:r>
      <w:r>
        <w:fldChar w:fldCharType="begin"/>
      </w:r>
      <w:r>
        <w:instrText xml:space="preserve"> ADDIN ZOTERO_ITEM CSL_CITATION {"citationID":"QiVrPmaA","properties":{"formattedCitation":"(Robinson et al., 2018)","plainCitation":"(Robinson et al., 2018)","noteIndex":0},"citationItems":[{"id":2758,"uris":["http://zotero.org/groups/5634119/items/FSB6BQ9W"],"itemData":{"id":2758,"type":"article-journal","container-title":"Biological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G."}],"issued":{"date-parts":[["2018",11]]}}}],"schema":"https://github.com/citation-style-language/schema/raw/master/csl-citation.json"} </w:instrText>
      </w:r>
      <w:r>
        <w:fldChar w:fldCharType="separate"/>
      </w:r>
      <w:r>
        <w:rPr>
          <w:noProof/>
        </w:rPr>
        <w:t>(Robinson et al., 2018)</w:t>
      </w:r>
      <w:r>
        <w:fldChar w:fldCharType="end"/>
      </w:r>
      <w:r>
        <w:t xml:space="preserve">. To do this, we first divided the study region into 4 km </w:t>
      </w:r>
      <w:r>
        <w:sym w:font="Symbol" w:char="F0B4"/>
      </w:r>
      <w:r>
        <w:t xml:space="preserve"> 4 km grid cells to match the spatial scale of the covariates. Then, we spatially sub-sampled eBird observations to include a set of checklists in each grid cell that represented relatively equal sampling effort across all years (time) and all grid cells (space). This meant we subsampled the number of checklists per grid cell based on the year with the fewest checklists per grid cell (i.e., 2010 had </w:t>
      </w:r>
      <m:oMath>
        <m:r>
          <m:rPr>
            <m:sty m:val="p"/>
          </m:rPr>
          <w:rPr>
            <w:rFonts w:ascii="Cambria Math" w:hAnsi="Cambria Math"/>
          </w:rPr>
          <m:t>≤</m:t>
        </m:r>
      </m:oMath>
      <w:r>
        <w:t>4 checklists per cell). After filtering to this level, we still had fewer checklists overall in earlier years. Thus, we further reduced temporal bias by randomly subsampling checklists again so that we had equal sample sizes across years based on the year with the fewest checklists (</w:t>
      </w:r>
      <w:r w:rsidRPr="10F02EB4">
        <w:rPr>
          <w:i/>
          <w:iCs/>
        </w:rPr>
        <w:t>n</w:t>
      </w:r>
      <w:r>
        <w:t xml:space="preserve"> = 1,715 checklists in 2010 across all grid cells). We then removed all checklists within 10 km of the exterior edges of the four focal states (Arizona, Colorado, New Mexico, and Utah)</w:t>
      </w:r>
      <w:r w:rsidR="00A67345">
        <w:t xml:space="preserve">. </w:t>
      </w:r>
      <w:r>
        <w:t xml:space="preserve">Of the 833,834 original checklists available for the region in the nesting seasons between 2010-2022, we fit our model to data based on the final (filtered) 22,295 checklists (1.4 </w:t>
      </w:r>
      <w:r>
        <w:sym w:font="Symbol" w:char="F0B1"/>
      </w:r>
      <w:r>
        <w:t xml:space="preserve"> 0.01 [mean </w:t>
      </w:r>
      <w:r>
        <w:sym w:font="Symbol" w:char="F0B1"/>
      </w:r>
      <w:r>
        <w:t xml:space="preserve"> s.e.] checklists per grid cell in a specific year, Figure 1). We downloaded eBird data in May 2024 (Colorado and New Mexico) and June 2024 (Arizona and Utah) </w:t>
      </w:r>
      <w:r>
        <w:fldChar w:fldCharType="begin"/>
      </w:r>
      <w:r>
        <w:instrText xml:space="preserve"> ADDIN ZOTERO_ITEM CSL_CITATION {"citationID":"ELLIoTcz","properties":{"formattedCitation":"(Cornell Lab of Ornithology, 2024a, 2024b)","plainCitation":"(Cornell Lab of Ornithology, 2024a, 2024b)","noteIndex":0},"citationItems":[{"id":2836,"uris":["http://zotero.org/groups/5634119/items/UZJFU6TD"],"itemData":{"id":2836,"type":"dataset","event-place":"Ithaca, New York","publisher-place":"Ithaca, New York","title":"eBird Basic Dataset","version":"EBD_relJun-2024","author":[{"family":"Cornell Lab of Ornithology","given":""}],"issued":{"date-parts":[["2024",6]]}}},{"id":2835,"uris":["http://zotero.org/groups/5634119/items/HBL24FAA"],"itemData":{"id":2835,"type":"dataset","event-place":"Ithaca, New York","publisher-place":"Ithaca, New York","title":"eBird Basic Dataset","version":"EBD_relMay-2024","author":[{"family":"Cornell Lab of Ornithology","given":""}],"issued":{"date-parts":[["2024",5]]}}}],"schema":"https://github.com/citation-style-language/schema/raw/master/csl-citation.json"} </w:instrText>
      </w:r>
      <w:r>
        <w:fldChar w:fldCharType="separate"/>
      </w:r>
      <w:r>
        <w:rPr>
          <w:noProof/>
        </w:rPr>
        <w:t>(Cornell Lab of Ornithology, 2024a, 2024b)</w:t>
      </w:r>
      <w:r>
        <w:fldChar w:fldCharType="end"/>
      </w:r>
      <w:r>
        <w:t xml:space="preserve">. In our final dataset, pinyon jays were observed in 600 of the selected checklists (2.7%). The maximum number of pinyon jays observed in one checklist was 350 (mean number of birds: 0.42 </w:t>
      </w:r>
      <w:r>
        <w:sym w:font="Symbol" w:char="F0B1"/>
      </w:r>
      <w:r>
        <w:t xml:space="preserve"> 0.04 s.e.).</w:t>
      </w:r>
    </w:p>
    <w:p w14:paraId="36DF5D5F" w14:textId="642F9095" w:rsidR="00773F71" w:rsidRPr="0003237A" w:rsidRDefault="008734E2" w:rsidP="00773F71">
      <w:pPr>
        <w:pStyle w:val="BodyText"/>
        <w:rPr>
          <w:i/>
          <w:iCs/>
        </w:rPr>
      </w:pPr>
      <w:r>
        <w:rPr>
          <w:i/>
          <w:iCs/>
        </w:rPr>
        <w:t>4.3</w:t>
      </w:r>
      <w:r w:rsidR="00773F71">
        <w:rPr>
          <w:i/>
          <w:iCs/>
        </w:rPr>
        <w:t>.2 Pinyon cone data</w:t>
      </w:r>
    </w:p>
    <w:p w14:paraId="320DD4F0" w14:textId="686C00D1" w:rsidR="00773F71" w:rsidRDefault="00773F71" w:rsidP="00773F71">
      <w:pPr>
        <w:pStyle w:val="FirstParagraph"/>
        <w:ind w:firstLine="720"/>
      </w:pPr>
      <w:r>
        <w:t xml:space="preserve">For cone abundance data, we used annual cone production estimates for two-needle pinyon produced at a 4 km </w:t>
      </w:r>
      <w:r>
        <w:sym w:font="Symbol" w:char="F0B4"/>
      </w:r>
      <w:r>
        <w:t xml:space="preserve"> 4 km gridded resolution by Wion et al (2025). More detailed </w:t>
      </w:r>
      <w:r>
        <w:lastRenderedPageBreak/>
        <w:t xml:space="preserve">methods on how cone availability was modeled are provided in the original publication. While this model predicts cone availability, not seeds, cone and seed abundances are highly correlated in co-occurring pine species (e.g., </w:t>
      </w:r>
      <w:r>
        <w:rPr>
          <w:i/>
          <w:iCs/>
        </w:rPr>
        <w:t>P. ponderosa</w:t>
      </w:r>
      <w:r>
        <w:t xml:space="preserve"> </w:t>
      </w:r>
      <w:r>
        <w:fldChar w:fldCharType="begin"/>
      </w:r>
      <w:r>
        <w:instrText xml:space="preserve"> ADDIN ZOTERO_ITEM CSL_CITATION {"citationID":"KrAxn3l5","properties":{"formattedCitation":"(Shepperd et al., 2006)","plainCitation":"(Shepperd et al., 2006)","noteIndex":0},"citationItems":[{"id":2975,"uris":["http://zotero.org/groups/5634119/items/GSQBHDW9"],"itemData":{"id":2975,"type":"article-journal","abstract":"Abstract\n            Seedfall, natural regeneration establishment, and growth of planted seedlings was observed from 1981 to 2001 under shelterwood and seedtree overstories in a replicated study in ponderosa pine in the Manitou Experimental Forest in the Colorado Front Range. Good seed crops were produced only every 4 to 6 years, with almost no viable seed produced in intervening years. With seed predation, only 14% of total seedfall was available for germination. Shelterwood overstories containing between 6 and 14 m2 ha−1 stem basal area over scarified seedbeds provided optimal conditions for natural seedling establishment. Survival and growth of planted seedlings was much better than that of natural seedlings. However, poor survival and slow initial growth may require many years to establish a fully stocked forest of natural seedlings.","container-title":"Western Journal of Applied Forestry","DOI":"10.1093/wjaf/21.1.19","ISSN":"0885-6095, 1938-3770","issue":"1","language":"en","page":"19-26","source":"DOI.org (Crossref)","title":"Long-Term Seedfall, Establishment, Survival, and Growth of Natural and Planted Ponderosa Pine in the Colorado Front Range","volume":"21","author":[{"family":"Shepperd","given":"Wayne D."},{"family":"Edminster","given":"Carleton B."},{"family":"Mata","given":"Stephen A."}],"issued":{"date-parts":[["2006",1,1]]}}}],"schema":"https://github.com/citation-style-language/schema/raw/master/csl-citation.json"} </w:instrText>
      </w:r>
      <w:r>
        <w:fldChar w:fldCharType="separate"/>
      </w:r>
      <w:r>
        <w:rPr>
          <w:noProof/>
        </w:rPr>
        <w:t>(Shepperd et al., 2006)</w:t>
      </w:r>
      <w:r>
        <w:fldChar w:fldCharType="end"/>
      </w:r>
      <w:r>
        <w:t xml:space="preserve">). We used the cone production dataset both as a direct measure of pinyon seed availability and as a proxy for the availability of other seeds eaten by pinyon jay (e.g., acorns, juniper berries) that respond to similar climate signals as pinyon pine, but with different temporal speed. Specifically, oaks and junipers produce seeds one year after favorable climate conditions, whereas pinyon pine seeds mature two years after </w:t>
      </w:r>
      <w:r>
        <w:fldChar w:fldCharType="begin"/>
      </w:r>
      <w:r w:rsidR="00DD1543">
        <w:instrText xml:space="preserve"> ADDIN ZOTERO_ITEM CSL_CITATION {"citationID":"1Dj7dile","properties":{"formattedCitation":"(Parmenter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fldChar w:fldCharType="separate"/>
      </w:r>
      <w:r w:rsidR="00DD1543">
        <w:rPr>
          <w:noProof/>
        </w:rPr>
        <w:t>(Parmenter et al., 2018)</w:t>
      </w:r>
      <w:r>
        <w:fldChar w:fldCharType="end"/>
      </w:r>
      <w:r>
        <w:t xml:space="preserve"> (see Figure 2).</w:t>
      </w:r>
    </w:p>
    <w:p w14:paraId="57AEC358" w14:textId="79C6CA64" w:rsidR="00773F71" w:rsidRPr="0003237A" w:rsidRDefault="008734E2" w:rsidP="00773F71">
      <w:pPr>
        <w:pStyle w:val="BodyText"/>
        <w:rPr>
          <w:i/>
          <w:iCs/>
        </w:rPr>
      </w:pPr>
      <w:r>
        <w:rPr>
          <w:i/>
          <w:iCs/>
        </w:rPr>
        <w:t>4.3</w:t>
      </w:r>
      <w:r w:rsidR="00773F71">
        <w:rPr>
          <w:i/>
          <w:iCs/>
        </w:rPr>
        <w:t>.3 Habitat and climate covariates</w:t>
      </w:r>
    </w:p>
    <w:p w14:paraId="6688DDBC" w14:textId="32F9D314" w:rsidR="00773F71" w:rsidRDefault="00773F71" w:rsidP="00773F71">
      <w:pPr>
        <w:pStyle w:val="FirstParagraph"/>
        <w:spacing w:before="0" w:after="0"/>
        <w:ind w:firstLine="720"/>
      </w:pPr>
      <w:r>
        <w:t>As an indicator of habitat structure</w:t>
      </w:r>
      <w:r w:rsidR="00F23F30">
        <w:t xml:space="preserve">, which influences pinyon jay habitat use </w:t>
      </w:r>
      <w:r w:rsidR="00F23F30">
        <w:fldChar w:fldCharType="begin"/>
      </w:r>
      <w:r w:rsidR="00F23F30">
        <w:instrText xml:space="preserve"> ADDIN ZOTERO_ITEM CSL_CITATION {"citationID":"7QH0kAUr","properties":{"formattedCitation":"(Van Lanen et al., 2023)","plainCitation":"(Van Lanen et al., 2023)","noteIndex":0},"citationItems":[{"id":2767,"uris":["http://zotero.org/groups/5634119/items/SFTJSXEN"],"itemData":{"id":2767,"type":"article-journal","container-title":"Biological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F23F30">
        <w:fldChar w:fldCharType="separate"/>
      </w:r>
      <w:r w:rsidR="00F23F30">
        <w:rPr>
          <w:noProof/>
        </w:rPr>
        <w:t>(Van Lanen et al., 2023)</w:t>
      </w:r>
      <w:r w:rsidR="00F23F30">
        <w:fldChar w:fldCharType="end"/>
      </w:r>
      <w:r>
        <w:t>, and to filter eBird observations to areas supporting pinyon (Figure 1), we derived yearly basal area (m</w:t>
      </w:r>
      <w:r w:rsidRPr="00B65D7D">
        <w:rPr>
          <w:vertAlign w:val="superscript"/>
        </w:rPr>
        <w:t>2</w:t>
      </w:r>
      <w:r>
        <w:t xml:space="preserve"> ha</w:t>
      </w:r>
      <w:r w:rsidRPr="00B65D7D">
        <w:rPr>
          <w:vertAlign w:val="superscript"/>
        </w:rPr>
        <w:t>-1</w:t>
      </w:r>
      <w:r>
        <w:t xml:space="preserve">) estimates for pinyon from 2010 to 2022 by combining pinyon BA maps 2000-2009 </w:t>
      </w:r>
      <w:r>
        <w:fldChar w:fldCharType="begin"/>
      </w:r>
      <w:r>
        <w:instrText xml:space="preserve"> ADDIN ZOTERO_ITEM CSL_CITATION {"citationID":"AmSs7PHB","properties":{"formattedCitation":"(Wilson et al., 2013)","plainCitation":"(Wilson et al., 2013)","noteIndex":0},"citationItems":[{"id":2974,"uris":["http://zotero.org/groups/5634119/items/C475LZBY"],"itemData":{"id":2974,"type":"dataset","DOI":"10.2737/RDS-2013-0013","language":"en","publisher":"Forest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fldChar w:fldCharType="separate"/>
      </w:r>
      <w:r>
        <w:rPr>
          <w:noProof/>
        </w:rPr>
        <w:t>(Wilson et al., 2013)</w:t>
      </w:r>
      <w:r>
        <w:fldChar w:fldCharType="end"/>
      </w:r>
      <w:r>
        <w:t xml:space="preserve"> with annual maps of pinyon cover from the Rangelands Analysis Platform (RAP, v.3.0) </w:t>
      </w:r>
      <w:r>
        <w:fldChar w:fldCharType="begin"/>
      </w:r>
      <w:r>
        <w:instrText xml:space="preserve"> ADDIN ZOTERO_ITEM CSL_CITATION {"citationID":"jfneReVW","properties":{"formattedCitation":"(Allred et al., 2021)","plainCitation":"(Allred et al., 2021)","noteIndex":0},"citationItems":[{"id":2977,"uris":["http://zotero.org/users/6391447/items/48C8US5Q"],"itemData":{"id":2977,"type":"article-journal","abstract":"Abstract\n            \n              \n                \n                  Operational satellite remote sensing products are transforming rangeland management and science. Advancements in computation, data storage and processing have removed barriers that previously blocked or hindered the development and use of remote sensing products. When combined with local data and knowledge, remote sensing products can inform decision‐making at multiple scales.\n                \n                \n                  We used temporal convolutional networks to produce a fractional cover product that spans western United States rangelands. We trained the model with 52,012 on‐the‐ground vegetation plots to simultaneously predict fractional cover for annual forbs and grasses, perennial forbs and grasses, shrubs, trees, litter and bare ground. To assist interpretation and to provide a measure of prediction confidence, we also produced spatiotemporal‐explicit, pixel‐level estimates of uncertainty. We evaluated the model with 5,780 on‐the‐ground vegetation plots removed from the training data.\n                \n                \n                  Model evaluation averaged 6.3% mean absolute error and 9.6% root mean squared error. Evaluation with additional datasets that were not part of the training dataset, and that varied in geographic range, method of collection, scope and size, revealed similar metrics. Model performance increased across all functional groups compared to the previously produced fractional product.\n                \n                \n                  \n                    The advancements achieved with the new rangeland fractional cover product expand the management toolbox with improved predictions of fractional cover and pixel‐level uncertainty. The new product is available on the Rangeland Analysis Platform (\n                    https://rangelands.app/\n                    ), an interactive web application that tracks rangeland vegetation through time. This product is intended to be used alongside local on‐the‐ground data, expert knowledge, land use history, scientific literature and other sources of information when making interpretations. When being used to inform decision‐making, remotely sensed products should be evaluated and utilized according to the context of the decision and not be used in isolation.","container-title":"Methods in Ecology and Evolution","DOI":"10.1111/2041-210X.13564","ISSN":"2041-210X, 2041-210X","issue":"5","journalAbbreviation":"Methods Ecol Evol","language":"en","page":"841-849","source":"DOI.org (Crossref)","title":"Improving Landsat predictions of rangeland fractional cover with multitask learning and uncertainty","volume":"12","author":[{"family":"Allred","given":"Brady W."},{"family":"Bestelmeyer","given":"Brandon T."},{"family":"Boyd","given":"Chad S."},{"family":"Brown","given":"Christopher"},{"family":"Davies","given":"Kirk W."},{"family":"Duniway","given":"Michael C."},{"family":"Ellsworth","given":"Lisa M."},{"family":"Erickson","given":"Tyler A."},{"family":"Fuhlendorf","given":"Samuel D."},{"family":"Griffiths","given":"Timothy V."},{"family":"Jansen","given":"Vincent"},{"family":"Jones","given":"Matthew O."},{"family":"Karl","given":"Jason"},{"family":"Knight","given":"Anna"},{"family":"Maestas","given":"Jeremy D."},{"family":"Maynard","given":"Jonathan J."},{"family":"McCord","given":"Sarah E."},{"family":"Naugle","given":"David E."},{"family":"Starns","given":"Heath D."},{"family":"Twidwell","given":"Dirac"},{"family":"Uden","given":"Daniel R."}],"editor":[{"family":"Freckleton","given":"Robert"}],"issued":{"date-parts":[["2021",5]]}}}],"schema":"https://github.com/citation-style-language/schema/raw/master/csl-citation.json"} </w:instrText>
      </w:r>
      <w:r>
        <w:fldChar w:fldCharType="separate"/>
      </w:r>
      <w:r>
        <w:rPr>
          <w:noProof/>
        </w:rPr>
        <w:t>(Allred et al., 2021)</w:t>
      </w:r>
      <w:r>
        <w:fldChar w:fldCharType="end"/>
      </w:r>
      <w:r>
        <w:t xml:space="preserve">. We used the RAP canopy cover maps to annualize spatially explicit pinyon BA estimates, and to project them forward in time. First, we aggregated RAP canopy cover for each year to scale up from 30 m to 250 m resolution (using the mean value) to align with the BA maps. Next, for each 250 m pixel, we divided pinyon BA by percent canopy cover in that same location (i.e., the mean canopy cover from 2000 to 2009) to calculate the amount of pinyon BA represented by each unit of canopy cover (i.e., an expansion factor). Finally, we used these pixel-specific expansion factors, differences between 2000 and 2009 cover, and the cover of a focal year (e.g., 2010) to adjust pinyon BA up or down in each pixel and year, giving annual BA estimated from 2010 to </w:t>
      </w:r>
      <w:r w:rsidRPr="00F23F30">
        <w:t>2022.</w:t>
      </w:r>
      <w:r w:rsidR="00F23F30" w:rsidRPr="00F23F30">
        <w:t xml:space="preserve"> </w:t>
      </w:r>
      <w:r w:rsidRPr="00F23F30">
        <w:t>This</w:t>
      </w:r>
      <w:r>
        <w:t xml:space="preserve"> approach accounted for both increasing and decreasing trends in pinyon BA during our study period, reflecting patterns </w:t>
      </w:r>
      <w:r>
        <w:lastRenderedPageBreak/>
        <w:t xml:space="preserve">of ingrowth or mortality, respectively. The resulting BA estimates qualitatively aligned with patterns of forest change in different locations throughout the southwestern USA. For this study, we aggregated the BA estimates for the 250 m pixels to produce estimates at a 4 km </w:t>
      </w:r>
      <w:r>
        <w:sym w:font="Symbol" w:char="F0B4"/>
      </w:r>
      <w:r>
        <w:t xml:space="preserve"> 4 km resolution to align with other covariates.</w:t>
      </w:r>
    </w:p>
    <w:p w14:paraId="2BAF5C2D" w14:textId="4DE04203" w:rsidR="00773F71" w:rsidRDefault="00773F71" w:rsidP="00773F71">
      <w:pPr>
        <w:pStyle w:val="FirstParagraph"/>
        <w:spacing w:before="0" w:after="0"/>
        <w:ind w:firstLine="720"/>
      </w:pPr>
      <w:r>
        <w:t xml:space="preserve">Monsoon moisture from the North American Monsoon (NAM) is critical to ecosystem productivity in the drylands of the southwestern USA </w:t>
      </w:r>
      <w:r>
        <w:fldChar w:fldCharType="begin"/>
      </w:r>
      <w:r>
        <w:instrText xml:space="preserve"> ADDIN ZOTERO_ITEM CSL_CITATION {"citationID":"b5o65znT","properties":{"formattedCitation":"(Maurer et al., 2020; Munson et al., 2022)","plainCitation":"(Maurer et al., 2020; Munson et al., 2022)","noteIndex":0},"citationItems":[{"id":3022,"uris":["http://zotero.org/groups/5634119/items/8223Q6ZZ"],"itemData":{"id":3022,"type":"article-journal","abstract":"Abstract\n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L."}],"editor":[{"family":"Coulson","given":"Tim"}],"issued":{"date-parts":[["2020",3]]}}},{"id":3023,"uris":["http://zotero.org/groups/5634119/items/RC6M7S4G"],"itemData":{"id":3023,"type":"article-journal","abstract":"Abstract\n            \n              \n                \n                  Primary production in dryland ecosystems is limited by water availability and projected to be strongly affected by future shifts in seasonal precipitation. Warm‐season precipitation derived from the North American Monsoon contributes 40% of annual precipitation to dryland ecosystems in the southwestern United States and is projected to become more variable. However, there is large uncertainty on whether this variability will be expressed as either extreme wet or dry years and how primary production of different plant functional types will respond across widespread elevation gradients in this region.\n                \n                \n                  We experimentally imposed extreme drought and water addition treatments from 2016 to 2020, during which ambient warm‐season precipitation declined to reach historic lows, to understand production sensitivity of dominant plant functional types along a 1000 m elevation gradient.\n                \n                \n                  \n                    We found that the production responses of plant functional types to monsoon precipitation extremes were dependent on the number of treatment years that occurred across sites along the elevation gradient. C\n                    4\n                    perennial grasses were most responsive to precipitation manipulation treatments, followed by C\n                    3\n                    perennial grasses and annuals, while perennial forbs and shrubs had weak or no responses. C\n                    4\n                    perennial grass reductions due to extreme drought were generally stronger or occurred earlier at low elevation sites, while multi‐year extreme drought extended negative effects to C\n                    3\n                    perennial grasses at high elevation, and all sites showed delayed responses to multi‐year water addition. We found that the sensitivity of C\n                    3\n                    perennial grass production differed for extreme drought and water addition compared to ambient precipitation at one site, but other sites and plant functional types had similar sensitivities to the different treatment types.\n                  \n                \n                \n                  \n                    Synthesis\n                    . The upward advance of primary production responsiveness from single‐ to multi‐year extreme changes in warm‐season precipitation suggests more immediate shifts in functional composition and carbon cycling at low elevation, while high elevation ecosystems may become less resistant as the effects of extreme precipitation compound through time.","container-title":"Journal of Ecology","DOI":"10.1111/1365-2745.13947","ISSN":"0022-0477, 1365-2745","issue":"9","journalAbbreviation":"Journal of Ecology","language":"en","page":"2232-2245","source":"DOI.org (Crossref)","title":"Primary production responses to extreme changes in North American Monsoon precipitation vary by elevation and plant functional composition through time","volume":"110","author":[{"family":"Munson","given":"Seth M."},{"family":"Bradford","given":"John B."},{"family":"Butterfield","given":"Bradley J."},{"family":"Gremer","given":"Jennifer R."}],"issued":{"date-parts":[["2022",9]]}}}],"schema":"https://github.com/citation-style-language/schema/raw/master/csl-citation.json"} </w:instrText>
      </w:r>
      <w:r>
        <w:fldChar w:fldCharType="separate"/>
      </w:r>
      <w:r>
        <w:rPr>
          <w:noProof/>
        </w:rPr>
        <w:t>(Maurer et al., 2020; Munson et al., 2022)</w:t>
      </w:r>
      <w:r>
        <w:fldChar w:fldCharType="end"/>
      </w:r>
      <w:r>
        <w:t xml:space="preserve">. Greater monsoon moisture can lead to increased invertebrate abundance, which is relevant to pinyon jays as they rely on invertebrates during the nesting season </w:t>
      </w:r>
      <w:r>
        <w:fldChar w:fldCharType="begin"/>
      </w:r>
      <w:r>
        <w:instrText xml:space="preserve"> ADDIN ZOTERO_ITEM CSL_CITATION {"citationID":"PQv9v6Ja","properties":{"formattedCitation":"(Branson, 2008; Ligon, 1978)","plainCitation":"(Branson, 2008; Ligon, 1978)","noteIndex":0},"citationItems":[{"id":2498,"uris":["http://zotero.org/users/6391447/items/VVC4E3XE"],"itemData":{"id":2498,"type":"article-journal","container-title":"Environmental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fldChar w:fldCharType="separate"/>
      </w:r>
      <w:r>
        <w:rPr>
          <w:noProof/>
        </w:rPr>
        <w:t>(Branson, 2008; Ligon, 1978)</w:t>
      </w:r>
      <w:r>
        <w:fldChar w:fldCharType="end"/>
      </w:r>
      <w:r>
        <w:t>. The location and intensity of the NAM is highly variable from year to year, but the long-term patterns strongly shape biogeography, and are more ecologically relevant than variables like MAT or MAP</w:t>
      </w:r>
      <w:r w:rsidR="00F23F30">
        <w:t xml:space="preserve"> </w:t>
      </w:r>
      <w:r w:rsidR="00F23F30">
        <w:fldChar w:fldCharType="begin"/>
      </w:r>
      <w:r w:rsidR="00F23F30">
        <w:instrText xml:space="preserve"> ADDIN ZOTERO_ITEM CSL_CITATION {"citationID":"Aw5XpQ0V","properties":{"formattedCitation":"(Michalet et al., 2021)","plainCitation":"(Michalet et al., 2021)","noteIndex":0},"citationItems":[{"id":3154,"uris":["http://zotero.org/groups/5634119/items/PM7HT9WA"],"itemData":{"id":3154,"type":"article-journal","abstract":"Abstract\n            \n              Aim\n              Drought stress has focused on water availability during the growing season, thus primarily on summer. However, variation in rainfall continentality can produce striking vegetation differences. We aim to disentangle summer water balance from winter rainfall continentality, to better understand how climate regulates the distributions of woody plants in the western USA.\n            \n            \n              Location\n              Western USA.\n            \n            \n              Time period\n              Actual.\n            \n            \n              Major taxa studied\n              Angiosperms and conifers.\n            \n            \n              Methods\n              We used redundancy analysis (RDA) to investigate correlations between rainfall continentality, summer water balance, minimum winter temperature and length of growing season on the distributions of 130 tree and shrub species in 467 plots. Rainfall continentality was calculated using the Gams index, modified for winter precipitation, and summer water balance with the ratio of summer precipitation to temperature. We estimated actual evapotranspiration (AET), deficit (DEF), mean annual temperature and rainfall from global gridded data sets and correlated them with RDA axes.\n            \n            \n              Results\n              Rainfall continentality measured with the Gams index and minimum temperatures best explained the contrast between oceanic vegetation in the Pacific Coast Ranges and continental vegetation in the Intermountain Region and Rocky Mountains. Growing season length (GSL) was the second strongest factor correlated with vegetation distributions. Summer water balance, despite being the most widely used climatic factor to assess drought stress in biogeography, was the third strongest factor correlating with vegetation classes of the western US. AET was equally correlated with RDA axes 1 and 3, and, thus, could not discriminate between the contrasts in the RDA.\n            \n            \n              Main conclusions\n              Rainfall continentality measured with the winter Gams index provides a more precise metric than summer water balance for understanding the biogeography of woody plants in the western USA. Broadly integrating the Gams index of continentality into plant distributions may improve our understanding of biogeographical distributions and predictions of responses to climate change.","container-title":"Global Ecology and Biogeography","DOI":"10.1111/geb.13223","ISSN":"1466-822X, 1466-8238","issue":"2","journalAbbreviation":"Global Ecol. Biogeogr.","language":"en","page":"384-397","source":"DOI.org (Crossref)","title":"Rainfall continentality, via the winter Gams angle, provides a new dimension to biogeographical distributions in the western United States","volume":"30","author":[{"family":"Michalet","given":"Richard"},{"family":"Choler","given":"Philippe"},{"family":"Callaway","given":"Ragan M."},{"family":"Whitham","given":"Thomas G."}],"editor":[{"family":"Meireles","given":"Jose Eduardo"}],"issued":{"date-parts":[["2021",2]]}}}],"schema":"https://github.com/citation-style-language/schema/raw/master/csl-citation.json"} </w:instrText>
      </w:r>
      <w:r w:rsidR="00F23F30">
        <w:fldChar w:fldCharType="separate"/>
      </w:r>
      <w:r w:rsidR="00F23F30">
        <w:rPr>
          <w:noProof/>
        </w:rPr>
        <w:t>(Michalet et al., 2021)</w:t>
      </w:r>
      <w:r w:rsidR="00F23F30">
        <w:fldChar w:fldCharType="end"/>
      </w:r>
      <w:r w:rsidR="00F23F30">
        <w:t xml:space="preserve">. </w:t>
      </w:r>
      <w:r w:rsidR="00B332AB">
        <w:t>Therefore,</w:t>
      </w:r>
      <w:r>
        <w:t xml:space="preserve"> we calculated an index of the NAM that represents the proportion contribution to annual precipitation for a given location. Higher values indicate a greater contribution of summer precipitation, and lower values indicate a cool-season precipitation regime.  We calculated the percentage of the 30-year monthly normal precipitation in each 4 km </w:t>
      </w:r>
      <w:r>
        <w:sym w:font="Symbol" w:char="F0B4"/>
      </w:r>
      <w:r>
        <w:t xml:space="preserve"> 4 km grid cell falling in the months of July-September , referred to as “monsoonality” </w:t>
      </w:r>
      <w:r>
        <w:fldChar w:fldCharType="begin"/>
      </w:r>
      <w:r>
        <w:instrText xml:space="preserve"> ADDIN ZOTERO_ITEM CSL_CITATION {"citationID":"JmzjqNzJ","properties":{"formattedCitation":"(Adams &amp; Comrie, 1997)","plainCitation":"(Adams &amp; Comrie, 1997)","noteIndex":0},"citationItems":[{"id":2979,"uris":["http://zotero.org/users/6391447/items/MHR2P47Z"],"itemData":{"id":2979,"type":"article-journal","container-title":"Bulletin of the American Meteorological Society","DOI":"10.1175/1520-0477(1997)078&lt;2197:TNAM&gt;2.0.CO;2","ISSN":"0003-0007, 1520-0477","issue":"10","journalAbbreviation":"Bull. Amer. Meteor. Soc.","language":"en","page":"2197-2213","source":"DOI.org (Crossref)","title":"The North American Monsoon","volume":"78","author":[{"family":"Adams","given":"David K."},{"family":"Comrie","given":"Andrew C."}],"issued":{"date-parts":[["1997",10]]}}}],"schema":"https://github.com/citation-style-language/schema/raw/master/csl-citation.json"} </w:instrText>
      </w:r>
      <w:r>
        <w:fldChar w:fldCharType="separate"/>
      </w:r>
      <w:r>
        <w:rPr>
          <w:noProof/>
        </w:rPr>
        <w:t>(Adams &amp; Comrie, 1997)</w:t>
      </w:r>
      <w:r>
        <w:fldChar w:fldCharType="end"/>
      </w:r>
      <w:r>
        <w:t xml:space="preserve">. </w:t>
      </w:r>
    </w:p>
    <w:p w14:paraId="016FECE3" w14:textId="10A8E0F6" w:rsidR="00773F71" w:rsidRDefault="00773F71" w:rsidP="00773F71">
      <w:pPr>
        <w:pStyle w:val="FirstParagraph"/>
        <w:spacing w:before="0" w:after="0"/>
        <w:ind w:firstLine="720"/>
      </w:pPr>
      <w:r>
        <w:t xml:space="preserve">We also included </w:t>
      </w:r>
      <w:r w:rsidR="00F23F30">
        <w:t xml:space="preserve">two </w:t>
      </w:r>
      <w:r>
        <w:t>temporally varying climate covariates</w:t>
      </w:r>
      <w:r w:rsidR="00F23F30">
        <w:t xml:space="preserve"> that shape pinyon jay and other avian species’ resource acquisition and reproductive success: precipitation and maximum temperature </w:t>
      </w:r>
      <w:r w:rsidR="00F23F30">
        <w:fldChar w:fldCharType="begin"/>
      </w:r>
      <w:r w:rsidR="00F23F30">
        <w:instrText xml:space="preserve"> ADDIN ZOTERO_ITEM CSL_CITATION {"citationID":"kjWGRXYS","properties":{"formattedCitation":"(Ligon, 1978; Marzluff, 1988; McDermott &amp; DeGroote, 2016; Skagen &amp; Adams, 2012; Stotz &amp; Balda, 1995)","plainCitation":"(Ligon, 1978; Marzluff, 1988; McDermott &amp; DeGroote, 2016; Skagen &amp; Adams, 2012; Stotz &amp; Balda, 1995)","noteIndex":0},"citationItems":[{"id":2753,"uris":["http://zotero.org/groups/5634119/items/4RGGXF3K"],"itemData":{"id":2753,"type":"article-journal","abstract":"Pinon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Behaviour","DOI":"10.1016/s0003-3472(88)80244-6","ISSN":"0003-3472","issue":"1","language":"en","license":"https://www.elsevier.com/tdm/userlicense/1.0/","note":"publisher: Elsevier BV","page":"1-10","source":"Crossref","title":"Do pinyon jays alter nest placement based on prior experience?","volume":"36","author":[{"family":"Marzluff","given":"John M."}],"issued":{"date-parts":[["1988",2]]}}},{"id":2790,"uris":["http://zotero.org/groups/5634119/items/WUFX4TPL"],"itemData":{"id":2790,"type":"article-journal","abstract":"Abstract\n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1939-5582","issue":"4","language":"en","license":"http://onlinelibrary.wiley.com/termsAndConditions#vor","note":"publisher: Wiley","page":"1131-1145","source":"Crossref","title":"Weather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00F23F30">
        <w:fldChar w:fldCharType="separate"/>
      </w:r>
      <w:r w:rsidR="00F23F30">
        <w:rPr>
          <w:noProof/>
        </w:rPr>
        <w:t>(Ligon, 1978; Marzluff, 1988; McDermott &amp; DeGroote, 2016; Skagen &amp; Adams, 2012; Stotz &amp; Balda, 1995)</w:t>
      </w:r>
      <w:r w:rsidR="00F23F30">
        <w:fldChar w:fldCharType="end"/>
      </w:r>
      <w:r w:rsidR="00F23F30">
        <w:t xml:space="preserve">. </w:t>
      </w:r>
      <w:r>
        <w:t xml:space="preserve">In particular, we extracted gridded (4 km </w:t>
      </w:r>
      <w:r>
        <w:sym w:font="Symbol" w:char="F0B4"/>
      </w:r>
      <w:r>
        <w:t xml:space="preserve"> 4 km) monthly PRISM climate data for maximum temperature and total precipitatio</w:t>
      </w:r>
      <w:r w:rsidR="00F23F30">
        <w:t xml:space="preserve">n. </w:t>
      </w:r>
      <w:r>
        <w:t xml:space="preserve">These climate variables change through time for a given pixel and we combined monthly values into four seasonal variables based on important periods in the pinyon jay life cycle </w:t>
      </w:r>
      <w:r>
        <w:fldChar w:fldCharType="begin"/>
      </w:r>
      <w:r>
        <w:instrText xml:space="preserve"> ADDIN ZOTERO_ITEM CSL_CITATION {"citationID":"1cMIJv9N","properties":{"formattedCitation":"(Wiggins,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Pr>
          <w:noProof/>
        </w:rPr>
        <w:t>(Wiggins, 2005)</w:t>
      </w:r>
      <w:r>
        <w:fldChar w:fldCharType="end"/>
      </w:r>
      <w:r>
        <w:t xml:space="preserve">. These included: 1) </w:t>
      </w:r>
      <w:r>
        <w:lastRenderedPageBreak/>
        <w:t xml:space="preserve">breeding season (February-April; spring), 2) fledgling season (May-June; late spring/early summer) when adults are caring for young, 3) early summer (July), a period during which bird behavior is not well documented, and 4) late summer through winter (August-January), a period during which birds are caching seeds, and potentially dispersing broadly (irrupting) in search of seeds (Wiggins 2005); pinyon seeds also mature during this period (fall). Seasonal climate values (mean of monthly values for temperature, seasonal totals for precipitation) were calculated for each year spanning the full study period. </w:t>
      </w:r>
    </w:p>
    <w:p w14:paraId="3DDF7F55" w14:textId="4AD63912" w:rsidR="00773F71" w:rsidRDefault="008734E2" w:rsidP="00773F71">
      <w:pPr>
        <w:pStyle w:val="Heading3"/>
        <w:spacing w:before="180" w:after="180" w:line="480" w:lineRule="auto"/>
      </w:pPr>
      <w:r>
        <w:t>4.4</w:t>
      </w:r>
      <w:r w:rsidR="00773F71" w:rsidRPr="00E72E3D">
        <w:t xml:space="preserve"> Modeling relationships between cones and birds </w:t>
      </w:r>
    </w:p>
    <w:p w14:paraId="4224A291" w14:textId="77777777" w:rsidR="00773F71" w:rsidRDefault="00773F71" w:rsidP="00773F71">
      <w:pPr>
        <w:pStyle w:val="FirstParagraph"/>
        <w:spacing w:before="0" w:after="0"/>
        <w:ind w:firstLine="720"/>
      </w:pPr>
      <w:r>
        <w:t xml:space="preserve">To explore relationships between pinyon jay abundance, pinyon cone production, and other covariates related to seed availability, habitat, and climate, we used an N-mixture model that included an observation process model for the pinyon jay survey (eBird) data and a biological process model that estimates latent jay “abundance” values </w:t>
      </w:r>
      <w:r>
        <w:fldChar w:fldCharType="begin"/>
      </w:r>
      <w:r>
        <w:instrText xml:space="preserve"> ADDIN ZOTERO_ITEM CSL_CITATION {"citationID":"McOMtfiC","properties":{"formattedCitation":"(Royle, 2004)","plainCitation":"(Royle, 2004)","noteIndex":0},"citationItems":[{"id":2881,"uris":["http://zotero.org/groups/5634119/items/ESXTL444"],"itemData":{"id":2881,"type":"article-journal","abstract":"Summary.  Spatial replication is a common theme in count surveys of animals. Such surveys often generate sparse count data from which it is difficult to estimate population size while formally accounting for detection probability. In this article, I describe a class of models (N‐mixture models) which allow for estimation of population size from such data. The key idea is to view site‐specific population sizes, N, as independent random variables distributed according to some mixing distribution (e.g., Poisson). Prior parameters are estimated from the marginal likelihood of the data, having integrated over the prior distribution for N. Carroll and Lombard (1985, Journal of American Statistical Association80, 423–426) proposed a class of estimators based on mixing over a prior distribution for detection probability. Their estimator can be applied in limited settings, but is sensitive to prior parameter values that are fixed a priori. Spatial replication provides additional information regarding the parameters of the prior distribution on N that is exploited by the N‐mixture models and which leads to reasonable estimates of abundance from sparse data. A simulation study demonstrates superior operating characteristics (bias, confidence interval coverage) of the N‐mixture estimator compared to the Caroll and Lombard estimator. Both estimators are applied to point count data on six species of birds illustrating the sensitivity to choice of prior on p and substantially different estimates of abundance as a consequence.","container-title":"Biometrics","DOI":"10.1111/j.0006-341x.2004.00142.x","ISSN":"0006-341X, 1541-0420","issue":"1","language":"en","license":"http://onlinelibrary.wiley.com/termsAndConditions#vor","note":"publisher: Oxford University Press (OUP)","page":"108-115","source":"Crossref","title":"&lt;i&gt;N&lt;/i&gt;‐Mixture Models for Estimating Population Size from Spatially Replicated Counts","volume":"60","author":[{"family":"Royle","given":"J. Andrew"}],"issued":{"date-parts":[["2004",3]]}}}],"schema":"https://github.com/citation-style-language/schema/raw/master/csl-citation.json"} </w:instrText>
      </w:r>
      <w:r>
        <w:fldChar w:fldCharType="separate"/>
      </w:r>
      <w:r w:rsidRPr="5A83A434">
        <w:rPr>
          <w:noProof/>
        </w:rPr>
        <w:t>(Royle, 2004)</w:t>
      </w:r>
      <w:r>
        <w:fldChar w:fldCharType="end"/>
      </w:r>
      <w:r>
        <w:t xml:space="preserve">. The observation process model includes covariates that describe variation in detection probabilities (e.g., survey conditions). The biological process model includes a likelihood that describes the biological drivers of latent pinyon jay abundance and includes the primary covariates of interest. Because we were interested in temporal relationships between jay abundance and important covariates (e.g., cones, climate), we incorporated a stochastic antecedent model (SAM) structure into the biological process model </w:t>
      </w:r>
      <w:r>
        <w:fldChar w:fldCharType="begin"/>
      </w:r>
      <w:r>
        <w:instrText xml:space="preserve"> ADDIN ZOTERO_ITEM CSL_CITATION {"citationID":"qWGCO5Po","properties":{"formattedCitation":"(Ogle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fldChar w:fldCharType="separate"/>
      </w:r>
      <w:r>
        <w:rPr>
          <w:noProof/>
        </w:rPr>
        <w:t>(Ogle et al., 2015)</w:t>
      </w:r>
      <w:r>
        <w:fldChar w:fldCharType="end"/>
      </w:r>
      <w:r>
        <w:t xml:space="preserve">. Specifically, the framework allowed for the estimation of predictive (jays anticipated cone production in future years), immediate (cones produced in the fall stimulate a jay response in the following spring), and delayed (jay abundance peaks in the spring 2 and 3 years after cones are produced) responses of jays linked to yearly estimates of cone availability. We also included lagged seasonal climate effects to account for </w:t>
      </w:r>
      <w:r>
        <w:lastRenderedPageBreak/>
        <w:t xml:space="preserve">the potential influence of past climate on bird population dynamics that may be independent of pinyon cone production dynamics. </w:t>
      </w:r>
    </w:p>
    <w:p w14:paraId="127D6CF2" w14:textId="77777777" w:rsidR="00773F71" w:rsidRDefault="00773F71" w:rsidP="00773F71">
      <w:pPr>
        <w:pStyle w:val="BodyText"/>
        <w:spacing w:before="0" w:after="0"/>
        <w:ind w:firstLine="720"/>
      </w:pPr>
      <w:r>
        <w:t xml:space="preserve">Accounting for detection error is important for accurately estimating latent abundance </w:t>
      </w:r>
      <w:r>
        <w:fldChar w:fldCharType="begin"/>
      </w:r>
      <w:r>
        <w:instrText xml:space="preserve"> ADDIN ZOTERO_ITEM CSL_CITATION {"citationID":"nmQtKzuI","properties":{"formattedCitation":"(K\\uc0\\u233{}ry &amp; Schmidt, 2008)","plainCitation":"(Kéry &amp; Schmidt, 2008)","noteIndex":0},"citationItems":[{"id":3036,"uris":["http://zotero.org/users/6391447/items/7TEDZ7MS"],"itemData":{"id":3036,"type":"article-journal","container-title":"Community Ecology","DOI":"10.1556/ComEc.9.2008.2.10","ISSN":"1585-8553, 1588-2756","issue":"2","journalAbbreviation":"Community Ecology","language":"en","page":"207-216","source":"DOI.org (Crossref)","title":"Imperfect detection and its consequences for monitoring for conservation","volume":"9","author":[{"family":"Kéry","given":"M."},{"family":"Schmidt","given":"B."}],"issued":{"date-parts":[["2008",12]]}}}],"schema":"https://github.com/citation-style-language/schema/raw/master/csl-citation.json"} </w:instrText>
      </w:r>
      <w:r>
        <w:fldChar w:fldCharType="separate"/>
      </w:r>
      <w:r w:rsidRPr="003D1B61">
        <w:rPr>
          <w:rFonts w:cs="Times New Roman"/>
        </w:rPr>
        <w:t>(Kéry &amp; Schmidt, 2008)</w:t>
      </w:r>
      <w:r>
        <w:fldChar w:fldCharType="end"/>
      </w:r>
      <w:r>
        <w:t xml:space="preserve">. Replicate surveys within a closed time and location are required for successfully implementing N-mixture models that account for detection error </w:t>
      </w:r>
      <w:r>
        <w:fldChar w:fldCharType="begin"/>
      </w:r>
      <w:r>
        <w:instrText xml:space="preserve"> ADDIN ZOTERO_ITEM CSL_CITATION {"citationID":"BfqVeCcz","properties":{"formattedCitation":"(Royle et al., 2005)","plainCitation":"(Royle et al., 2005)","noteIndex":0},"citationItems":[{"id":2688,"uris":["http://zotero.org/users/6391447/items/V68MKT34"],"itemData":{"id":2688,"type":"article-journal","abstract":"Relationships between species abundance and occupancy are of considerable interest in metapopulation biology and in macroecology. Such relationships may be described concisely using probability models that characterize variation in abundance of a species. However, estimation of the parameters of these models in most ecological problems is impaired by imperfect detection. When organisms are detected imperfectly, observed counts are biased estimates of true abundance, and this induces bias in stated occupancy or occurrence probability. In this paper we consider a class of models that enable estimation of abundance/occupancy relationships from counts of organisms that result from surveys in which detection is imperfect. Under such models, parameter estimation and inference are based on conventional likelihood methods. We provide an application of these models to geographically extensive breeding bird survey data in which alternative models of abundance are considered that include factors that influence variation in abundance and detectability. Using these models, we produce estimates of abundance and occupancy maps that honor important sources of spatial variation in avian abundance and provide clearly interpretable characterizations of abundance and occupancy adjusted for imperfect detection.","container-title":"Oikos","DOI":"10.1111/j.0030-1299.2005.13534.x","ISSN":"0030-1299, 1600-0706","issue":"2","journalAbbreviation":"Oikos","language":"en","page":"353-359","source":"DOI.org (Crossref)","title":"Modelling occurrence and abundance of species when detection is imperfect","volume":"110","author":[{"family":"Royle","given":"J. Andrew"},{"family":"Nichols","given":"James D."},{"family":"Kéry","given":"Marc"}],"issued":{"date-parts":[["2005",8]]}}}],"schema":"https://github.com/citation-style-language/schema/raw/master/csl-citation.json"} </w:instrText>
      </w:r>
      <w:r>
        <w:fldChar w:fldCharType="separate"/>
      </w:r>
      <w:r>
        <w:rPr>
          <w:noProof/>
        </w:rPr>
        <w:t>(Royle et al., 2005)</w:t>
      </w:r>
      <w:r>
        <w:fldChar w:fldCharType="end"/>
      </w:r>
      <w:r>
        <w:t xml:space="preserve">. To use unstructured or semi-structured eBird data in this way (e.g., as a space-for-time substitution), checklists must represent locations across the range of potential covariate values (e.g., are not biased toward certain values of covariates of interest </w:t>
      </w:r>
      <w:r>
        <w:fldChar w:fldCharType="begin"/>
      </w:r>
      <w:r>
        <w:instrText xml:space="preserve"> ADDIN ZOTERO_ITEM CSL_CITATION {"citationID":"WtuBG0QJ","properties":{"formattedCitation":"(Hochachka et al., 2023)","plainCitation":"(Hochachka et al., 2023)","noteIndex":0},"citationItems":[{"id":2833,"uris":["http://zotero.org/groups/5634119/items/RHRHETY4"],"itemData":{"id":2833,"type":"article-journal","abstract":"Abstract               An occupancy model makes use of data that are structured as sets of repeated visits to each of many sites, in order to estimate the actual probability of occupancy (i.e. proportion of occupied sites) after correcting for imperfect detection using the information contained in the sets of repeated observations. We explore the conditions under which preexisting, volunteer-collected data from the citizen science project eBird can be used for fitting occupancy models. Because the majority of eBird’s data are not collected in the form of repeated observations at individual locations, we explore 2 ways in which the single-visit records could be used in occupancy models. First, we assess the potential for space-for-time substitution: aggregating single-visit records from different locations within a region into pseudo-repeat visits. On average, eBird’s observers did not make their observations at locations that were representative of the habitat in the surrounding area, which would lead to biased estimates of occupancy probabilities when using space-for-time substitution. Thus, the use of space-for-time substitution is not always appropriate. Second, we explored the utility of including data from single-visit records to supplement sets of repeated-visit data. In a simulation study we found that inclusion of single-visit records increased the precision of occupancy estimates, but only when detection probabilities are high. When detection probability was low, the addition of single-visit records exacerbated biases in estimates of occupancy probability. We conclude that subsets of data from eBird, and likely from similar projects, can be used for occupancy modeling either using space-for-time substitution or supplementing repeated-visit data with data from single-visit records. The appropriateness of either alternative will depend on the goals of a study and on the probabilities of detection and occupancy of the species of interest.","container-title":"Ornithology","DOI":"10.1093/ornithology/ukad035","ISSN":"0004-8038, 2732-4613","issue":"4","language":"en","license":"https://academic.oup.com/pages/standard-publication-reuse-rights","note":"publisher: Oxford University Press (OUP)","source":"Crossref","title":"Considerations for fitting occupancy models to data from eBird and similar volunteer-collected data","URL":"https://academic.oup.com/auk/article/doi/10.1093/ornithology/ukad035/7229681","volume":"140","author":[{"family":"Hochachka","given":"Wesley M"},{"family":"Ruiz-Gutierrez","given":"Viviana"},{"family":"Johnston","given":"Alison"}],"accessed":{"date-parts":[["2025",7,14]]},"issued":{"date-parts":[["2023",9,27]]}}}],"schema":"https://github.com/citation-style-language/schema/raw/master/csl-citation.json"} </w:instrText>
      </w:r>
      <w:r>
        <w:fldChar w:fldCharType="separate"/>
      </w:r>
      <w:r w:rsidRPr="10F02EB4">
        <w:rPr>
          <w:noProof/>
        </w:rPr>
        <w:t>(Hochachka et al., 2023)</w:t>
      </w:r>
      <w:r>
        <w:fldChar w:fldCharType="end"/>
      </w:r>
      <w:r>
        <w:t xml:space="preserve">). We verified that checklists within our filtered dataset met this assumption by comparing values for all covariates at locations with checklists to all gridded data available for those covariates </w:t>
      </w:r>
      <w:r w:rsidRPr="002B1C09">
        <w:t>(SI Figure 1).</w:t>
      </w:r>
      <w:r>
        <w:t xml:space="preserve"> </w:t>
      </w:r>
    </w:p>
    <w:p w14:paraId="70C93257" w14:textId="738DB3D1" w:rsidR="00773F71" w:rsidRDefault="008734E2" w:rsidP="00773F71">
      <w:pPr>
        <w:pStyle w:val="Heading3"/>
        <w:spacing w:before="180" w:after="180" w:line="480" w:lineRule="auto"/>
      </w:pPr>
      <w:r>
        <w:t>4.4</w:t>
      </w:r>
      <w:r w:rsidR="00773F71" w:rsidRPr="000A3078">
        <w:t>.1 Observation process model for pinyon jay abundance</w:t>
      </w:r>
    </w:p>
    <w:p w14:paraId="719D16CF" w14:textId="77777777" w:rsidR="00773F71" w:rsidRDefault="00773F71" w:rsidP="00773F71">
      <w:pPr>
        <w:pStyle w:val="FirstParagraph"/>
        <w:spacing w:before="0" w:after="0"/>
        <w:ind w:firstLine="720"/>
      </w:pPr>
      <w:r>
        <w:t xml:space="preserve">In our model, count data obtained from eBird checklists were used to estimate a “true” latent abundance, </w:t>
      </w:r>
      <m:oMath>
        <m:r>
          <w:rPr>
            <w:rFonts w:ascii="Cambria Math" w:hAnsi="Cambria Math"/>
          </w:rPr>
          <m:t>N</m:t>
        </m:r>
      </m:oMath>
      <w:r>
        <w:t xml:space="preserve">, that varies across space and time. eBird checklists are recorded with a geographical point location and often include information about travel distance of the observer (&lt; 5km in our dataset after filtering). Thus, there is spatial uncertainty arising from two sources: 1) uncertainty in the location that the survey was </w:t>
      </w:r>
      <w:r w:rsidRPr="00BF7B38">
        <w:t xml:space="preserve">conducted (e.g., </w:t>
      </w:r>
      <w:r>
        <w:t>eBird point locations have uncertain precision</w:t>
      </w:r>
      <w:r w:rsidRPr="00BF7B38">
        <w:t>)</w:t>
      </w:r>
      <w:r>
        <w:t xml:space="preserve"> and 2) for traveling surveys, uncertainty in the location along a survey at which pinyon jays were observed (e.g., were observed at the beginning, middle, or end of a walking survey). To account for this spatial uncertainty, we created circular buffers around each eBird checklist point location based on the sampling distance for that checklist; that is, we defined the radius of the buffer circle as 1/2 of the distance traveled for “traveling” checklists or 0.5 km for “stationary” checklists. Then, we created a merged polygon (“sample polygon”) of all </w:t>
      </w:r>
      <w:r>
        <w:lastRenderedPageBreak/>
        <w:t xml:space="preserve">the checklists within a 4 km </w:t>
      </w:r>
      <w:r>
        <w:sym w:font="Symbol" w:char="F0B4"/>
      </w:r>
      <w:r>
        <w:t xml:space="preserve"> 4 km grid cell for each year by delineating the perimeter of the overlapping buffers of all checklists within a grid cell. Thus, the sample polygon and not the underlying 4 km </w:t>
      </w:r>
      <w:r>
        <w:sym w:font="Symbol" w:char="F0B4"/>
      </w:r>
      <w:r>
        <w:t xml:space="preserve">4 km grid cell, is the spatial unit at which we incorporated covariates potentially shaping checklist level latent abundance, </w:t>
      </w:r>
      <w:r w:rsidRPr="10F02EB4">
        <w:rPr>
          <w:i/>
          <w:iCs/>
        </w:rPr>
        <w:t>N</w:t>
      </w:r>
      <w:r>
        <w:t>.</w:t>
      </w:r>
    </w:p>
    <w:p w14:paraId="3280EFEC" w14:textId="77777777" w:rsidR="00773F71" w:rsidRDefault="00773F71" w:rsidP="00773F71">
      <w:pPr>
        <w:pStyle w:val="BodyText"/>
        <w:spacing w:before="0" w:after="0"/>
        <w:ind w:firstLine="720"/>
      </w:pPr>
      <w:r>
        <w:t xml:space="preserve">For the observation process model, we define a likelihood for the observed eBird count data, </w:t>
      </w:r>
      <w:r w:rsidRPr="0058745E">
        <w:rPr>
          <w:i/>
          <w:iCs/>
        </w:rPr>
        <w:t>Y</w:t>
      </w:r>
      <w:r>
        <w:t xml:space="preserve">, for checklist, </w:t>
      </w:r>
      <m:oMath>
        <m:r>
          <w:rPr>
            <w:rFonts w:ascii="Cambria Math" w:hAnsi="Cambria Math"/>
          </w:rPr>
          <m:t>c</m:t>
        </m:r>
      </m:oMath>
      <w:r>
        <w:t xml:space="preserve">, in sample polygon, </w:t>
      </w:r>
      <m:oMath>
        <m:r>
          <w:rPr>
            <w:rFonts w:ascii="Cambria Math" w:hAnsi="Cambria Math"/>
          </w:rPr>
          <m:t>i</m:t>
        </m:r>
      </m:oMath>
      <w:r>
        <w:t xml:space="preserve">, and year, </w:t>
      </w:r>
      <m:oMath>
        <m:r>
          <w:rPr>
            <w:rFonts w:ascii="Cambria Math" w:hAnsi="Cambria Math"/>
          </w:rPr>
          <m:t>t</m:t>
        </m:r>
      </m:oMath>
      <w:r>
        <w:t xml:space="preserve">, based on a binomial distribution that accounts for the detection probability, </w:t>
      </w:r>
      <w:r>
        <w:rPr>
          <w:i/>
          <w:iCs/>
        </w:rPr>
        <w:t>p</w:t>
      </w:r>
      <w:r>
        <w:t xml:space="preserve">, and the latent true abundance of birds (“number of trials”), </w:t>
      </w:r>
      <w:r w:rsidRPr="00315E09">
        <w:rPr>
          <w:i/>
          <w:iCs/>
        </w:rPr>
        <w:t>N</w:t>
      </w:r>
      <w:r>
        <w:t>, in the checklist:</w:t>
      </w:r>
    </w:p>
    <w:tbl>
      <w:tblPr>
        <w:tblStyle w:val="Table"/>
        <w:tblW w:w="5000" w:type="pct"/>
        <w:tblLayout w:type="fixed"/>
        <w:tblLook w:val="0000" w:firstRow="0" w:lastRow="0" w:firstColumn="0" w:lastColumn="0" w:noHBand="0" w:noVBand="0"/>
      </w:tblPr>
      <w:tblGrid>
        <w:gridCol w:w="8124"/>
        <w:gridCol w:w="1236"/>
      </w:tblGrid>
      <w:tr w:rsidR="00773F71" w14:paraId="5404B9C8" w14:textId="77777777" w:rsidTr="00AD7105">
        <w:tc>
          <w:tcPr>
            <w:tcW w:w="6873" w:type="dxa"/>
          </w:tcPr>
          <w:p w14:paraId="1780F9CB" w14:textId="77777777" w:rsidR="00773F71" w:rsidRDefault="00000000" w:rsidP="00AD7105">
            <w:pPr>
              <w:pStyle w:val="Compac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oMath>
            </m:oMathPara>
          </w:p>
        </w:tc>
        <w:tc>
          <w:tcPr>
            <w:tcW w:w="1046" w:type="dxa"/>
          </w:tcPr>
          <w:p w14:paraId="49FB980B" w14:textId="77777777" w:rsidR="00773F71" w:rsidRDefault="00773F71" w:rsidP="00AD7105">
            <w:pPr>
              <w:pStyle w:val="Compact"/>
              <w:jc w:val="right"/>
            </w:pPr>
            <w:r>
              <w:t>Eqn 1</w:t>
            </w:r>
          </w:p>
        </w:tc>
      </w:tr>
    </w:tbl>
    <w:p w14:paraId="54581B0D" w14:textId="6D0C76F6" w:rsidR="00773F71" w:rsidRPr="00D86531" w:rsidRDefault="00773F71" w:rsidP="00773F71">
      <w:pPr>
        <w:pStyle w:val="FirstParagraph"/>
        <w:spacing w:before="0" w:after="0"/>
      </w:pPr>
      <w:r>
        <w:t xml:space="preserve">We modeled </w:t>
      </w:r>
      <w:r w:rsidRPr="0058745E">
        <w:rPr>
          <w:i/>
          <w:iCs/>
        </w:rPr>
        <w:t>p</w:t>
      </w:r>
      <w:r>
        <w:t xml:space="preserve"> as a function of covariates that likely impact detection accuracy, including start time of the survey, duration of the survey, speed of the survey, and the number of observers for each checklist. Again, we filtered the available eBird data (s</w:t>
      </w:r>
      <w:r w:rsidRPr="00DF16ED">
        <w:t xml:space="preserve">ee Section </w:t>
      </w:r>
      <w:r w:rsidR="008734E2">
        <w:t>4.3</w:t>
      </w:r>
      <w:r>
        <w:t>.1</w:t>
      </w:r>
      <w:r w:rsidRPr="00DF16ED">
        <w:t>)</w:t>
      </w:r>
      <w:r>
        <w:t xml:space="preserve"> to select checklists that represented similar effort. We implemented the following model for the logit-scale detection probability:</w:t>
      </w:r>
    </w:p>
    <w:tbl>
      <w:tblPr>
        <w:tblStyle w:val="Table"/>
        <w:tblW w:w="5000" w:type="pct"/>
        <w:tblLayout w:type="fixed"/>
        <w:tblLook w:val="0000" w:firstRow="0" w:lastRow="0" w:firstColumn="0" w:lastColumn="0" w:noHBand="0" w:noVBand="0"/>
      </w:tblPr>
      <w:tblGrid>
        <w:gridCol w:w="8060"/>
        <w:gridCol w:w="1300"/>
      </w:tblGrid>
      <w:tr w:rsidR="00773F71" w14:paraId="403B5E01" w14:textId="77777777" w:rsidTr="00AD7105">
        <w:tc>
          <w:tcPr>
            <w:tcW w:w="6820" w:type="dxa"/>
          </w:tcPr>
          <w:p w14:paraId="5312A30E" w14:textId="77777777" w:rsidR="00773F71" w:rsidRDefault="00773F71" w:rsidP="00AD7105">
            <w:pPr>
              <w:pStyle w:val="Compact"/>
            </w:pPr>
            <m:oMathPara>
              <m:oMathParaPr>
                <m:jc m:val="center"/>
              </m:oMathParaPr>
              <m:oMath>
                <m: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γ</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j</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sub>
                </m:sSub>
              </m:oMath>
            </m:oMathPara>
          </w:p>
        </w:tc>
        <w:tc>
          <w:tcPr>
            <w:tcW w:w="1100" w:type="dxa"/>
          </w:tcPr>
          <w:p w14:paraId="0D06280E" w14:textId="77777777" w:rsidR="00773F71" w:rsidRDefault="00773F71" w:rsidP="00AD7105">
            <w:pPr>
              <w:pStyle w:val="Compact"/>
              <w:jc w:val="right"/>
            </w:pPr>
            <w:r>
              <w:t>Eqn 2</w:t>
            </w:r>
          </w:p>
        </w:tc>
      </w:tr>
    </w:tbl>
    <w:p w14:paraId="409219B1" w14:textId="77777777" w:rsidR="00773F71" w:rsidRDefault="00773F71" w:rsidP="00773F71">
      <w:pPr>
        <w:pStyle w:val="FirstParagraph"/>
        <w:spacing w:before="0" w:after="0"/>
      </w:pPr>
      <w:r>
        <w:t xml:space="preserve">where </w:t>
      </w:r>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is intercept and each </w:t>
      </w:r>
      <m:oMath>
        <m:sSub>
          <m:sSubPr>
            <m:ctrlPr>
              <w:rPr>
                <w:rFonts w:ascii="Cambria Math" w:hAnsi="Cambria Math"/>
              </w:rPr>
            </m:ctrlPr>
          </m:sSubPr>
          <m:e>
            <m:r>
              <w:rPr>
                <w:rFonts w:ascii="Cambria Math" w:hAnsi="Cambria Math"/>
              </w:rPr>
              <m:t>γ</m:t>
            </m:r>
          </m:e>
          <m:sub>
            <m:r>
              <w:rPr>
                <w:rFonts w:ascii="Cambria Math" w:hAnsi="Cambria Math"/>
              </w:rPr>
              <m:t>j</m:t>
            </m:r>
          </m:sub>
        </m:sSub>
      </m:oMath>
      <w:r>
        <w:t xml:space="preserve"> is the coefficient (effect) associated with each covariate, </w:t>
      </w:r>
      <w:r w:rsidRPr="0058745E">
        <w:rPr>
          <w:i/>
          <w:iCs/>
        </w:rPr>
        <w:t>Xj</w:t>
      </w:r>
      <w:r>
        <w:t xml:space="preserve"> (</w:t>
      </w:r>
      <w:r w:rsidRPr="0058745E">
        <w:rPr>
          <w:i/>
          <w:iCs/>
        </w:rPr>
        <w:t>j</w:t>
      </w:r>
      <w:r>
        <w:t xml:space="preserve"> = 1, 2, … 4 covariates), whereby the covariates vary by checklist </w:t>
      </w:r>
      <w:r w:rsidRPr="0058745E">
        <w:rPr>
          <w:i/>
          <w:iCs/>
        </w:rPr>
        <w:t>c</w:t>
      </w:r>
      <w:r>
        <w:t xml:space="preserve">, sample polygon </w:t>
      </w:r>
      <w:r w:rsidRPr="0058745E">
        <w:rPr>
          <w:i/>
          <w:iCs/>
        </w:rPr>
        <w:t>i</w:t>
      </w:r>
      <w:r>
        <w:t xml:space="preserve">, and year </w:t>
      </w:r>
      <w:r w:rsidRPr="0058745E">
        <w:rPr>
          <w:i/>
          <w:iCs/>
        </w:rPr>
        <w:t>t</w:t>
      </w:r>
      <w:r>
        <w:t xml:space="preserve">. All covariates were standardized such that </w:t>
      </w:r>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describes the logit-scale baseline detection probability at average covariate values.</w:t>
      </w:r>
      <w:r w:rsidRPr="00B24923">
        <w:t xml:space="preserve"> </w:t>
      </w:r>
      <w:r>
        <w:t xml:space="preserve">We assigned relatively non-informative, vague normal priors to all coefficients including the intercept.  </w:t>
      </w:r>
    </w:p>
    <w:p w14:paraId="3FF06029" w14:textId="4F20313F" w:rsidR="00773F71" w:rsidRDefault="008734E2" w:rsidP="00773F71">
      <w:pPr>
        <w:pStyle w:val="Heading3"/>
        <w:spacing w:before="180" w:after="180" w:line="480" w:lineRule="auto"/>
      </w:pPr>
      <w:r>
        <w:lastRenderedPageBreak/>
        <w:t>4.4</w:t>
      </w:r>
      <w:r w:rsidR="00773F71">
        <w:t>.2 Biological process model for pinyon jay abundance</w:t>
      </w:r>
    </w:p>
    <w:p w14:paraId="03A5DBF7" w14:textId="77777777" w:rsidR="00773F71" w:rsidRDefault="00773F71" w:rsidP="00773F71">
      <w:pPr>
        <w:pStyle w:val="FirstParagraph"/>
        <w:spacing w:before="0" w:after="0"/>
        <w:ind w:firstLine="720"/>
      </w:pPr>
      <w:r>
        <w:t xml:space="preserve">Following standard assumptions for N-mixture models, we assumed that the latent abundance of jays, </w:t>
      </w: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oMath>
      <w:r>
        <w:t xml:space="preserve">, followed a Poisson distribution with the expected abundance given by the intensity,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(number of jays per km</w:t>
      </w:r>
      <w:r w:rsidRPr="00126373">
        <w:rPr>
          <w:vertAlign w:val="superscript"/>
        </w:rPr>
        <w:t>2</w:t>
      </w:r>
      <w:r>
        <w:t xml:space="preserve">), multiplied by the sample polygon area, </w:t>
      </w:r>
      <w:r w:rsidRPr="00126373">
        <w:rPr>
          <w:i/>
          <w:iCs/>
        </w:rPr>
        <w:t>A</w:t>
      </w:r>
      <w:r w:rsidRPr="00126373">
        <w:rPr>
          <w:i/>
          <w:iCs/>
          <w:vertAlign w:val="subscript"/>
        </w:rPr>
        <w:t>c</w:t>
      </w:r>
      <w:r>
        <w:rPr>
          <w:i/>
          <w:iCs/>
          <w:vertAlign w:val="subscript"/>
        </w:rPr>
        <w:t>,i,t</w:t>
      </w:r>
      <w:r>
        <w:t xml:space="preserve"> (km</w:t>
      </w:r>
      <w:r w:rsidRPr="00126373">
        <w:rPr>
          <w:vertAlign w:val="superscript"/>
        </w:rPr>
        <w:t>2</w:t>
      </w:r>
      <w:r>
        <w:t xml:space="preserve">), associated with observed checklist </w:t>
      </w:r>
      <w:r w:rsidRPr="00126373">
        <w:rPr>
          <w:i/>
          <w:iCs/>
        </w:rPr>
        <w:t>c</w:t>
      </w:r>
      <w:r>
        <w:t xml:space="preserve">, sample polygon </w:t>
      </w:r>
      <w:r>
        <w:rPr>
          <w:i/>
          <w:iCs/>
        </w:rPr>
        <w:t>i</w:t>
      </w:r>
      <w:r>
        <w:t xml:space="preserve">, and year </w:t>
      </w:r>
      <w:r w:rsidRPr="00315E09">
        <w:rPr>
          <w:i/>
          <w:iCs/>
        </w:rPr>
        <w:t>t</w:t>
      </w:r>
      <w:r>
        <w:t xml:space="preserve"> such that:</w:t>
      </w:r>
    </w:p>
    <w:tbl>
      <w:tblPr>
        <w:tblStyle w:val="Table"/>
        <w:tblW w:w="5000" w:type="pct"/>
        <w:tblLayout w:type="fixed"/>
        <w:tblLook w:val="0000" w:firstRow="0" w:lastRow="0" w:firstColumn="0" w:lastColumn="0" w:noHBand="0" w:noVBand="0"/>
      </w:tblPr>
      <w:tblGrid>
        <w:gridCol w:w="8190"/>
        <w:gridCol w:w="1170"/>
      </w:tblGrid>
      <w:tr w:rsidR="00773F71" w14:paraId="6959DDC4" w14:textId="77777777" w:rsidTr="00AD7105">
        <w:tc>
          <w:tcPr>
            <w:tcW w:w="6930" w:type="dxa"/>
          </w:tcPr>
          <w:p w14:paraId="0CF448C2" w14:textId="77777777" w:rsidR="00773F71" w:rsidRDefault="00000000" w:rsidP="00AD7105">
            <w:pPr>
              <w:pStyle w:val="Compac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Poisson</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c,i,t</m:t>
                        </m:r>
                      </m:sub>
                    </m:sSub>
                  </m:e>
                </m:d>
              </m:oMath>
            </m:oMathPara>
          </w:p>
        </w:tc>
        <w:tc>
          <w:tcPr>
            <w:tcW w:w="990" w:type="dxa"/>
          </w:tcPr>
          <w:p w14:paraId="1297EC88" w14:textId="77777777" w:rsidR="00773F71" w:rsidRDefault="00773F71" w:rsidP="00AD7105">
            <w:pPr>
              <w:pStyle w:val="Compact"/>
              <w:jc w:val="right"/>
            </w:pPr>
            <w:r>
              <w:t>Eqn 3</w:t>
            </w:r>
          </w:p>
        </w:tc>
      </w:tr>
    </w:tbl>
    <w:p w14:paraId="379DA988" w14:textId="77777777" w:rsidR="00773F71" w:rsidRDefault="00773F71" w:rsidP="00773F71">
      <w:pPr>
        <w:pStyle w:val="FirstParagraph"/>
        <w:spacing w:before="0" w:after="0"/>
      </w:pPr>
      <w:r>
        <w:t xml:space="preserve">Furthermore, we modeled the log-scale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as a function of environmental covariates that likely impact the abundance of pinyon jays across space and time:</w:t>
      </w:r>
    </w:p>
    <w:tbl>
      <w:tblPr>
        <w:tblStyle w:val="Table"/>
        <w:tblW w:w="5000" w:type="pct"/>
        <w:tblLayout w:type="fixed"/>
        <w:tblLook w:val="0000" w:firstRow="0" w:lastRow="0" w:firstColumn="0" w:lastColumn="0" w:noHBand="0" w:noVBand="0"/>
      </w:tblPr>
      <w:tblGrid>
        <w:gridCol w:w="8190"/>
        <w:gridCol w:w="1170"/>
      </w:tblGrid>
      <w:tr w:rsidR="00773F71" w:rsidRPr="00315E09" w14:paraId="770378AB" w14:textId="77777777" w:rsidTr="00AD7105">
        <w:tc>
          <w:tcPr>
            <w:tcW w:w="8190" w:type="dxa"/>
          </w:tcPr>
          <w:p w14:paraId="367D8D84" w14:textId="77777777" w:rsidR="00773F71" w:rsidRPr="00315E09" w:rsidRDefault="00773F71" w:rsidP="00AD7105">
            <w:pPr>
              <w:pStyle w:val="Compact"/>
              <w:rPr>
                <w:sz w:val="20"/>
                <w:szCs w:val="20"/>
              </w:rPr>
            </w:pPr>
            <m:oMathPara>
              <m:oMathParaPr>
                <m:jc m:val="center"/>
              </m:oMathParaPr>
              <m:oMath>
                <m:r>
                  <w:rPr>
                    <w:rFonts w:ascii="Cambria Math" w:hAnsi="Cambria Math"/>
                    <w:sz w:val="20"/>
                    <w:szCs w:val="20"/>
                  </w:rPr>
                  <m:t>log</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0</m:t>
                    </m:r>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2</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k</m:t>
                        </m:r>
                      </m:sub>
                    </m:sSub>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3</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2+k</m:t>
                        </m:r>
                      </m:sub>
                    </m:sSub>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2</m:t>
                    </m:r>
                  </m:sup>
                  <m:e>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5+k</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i,t</m:t>
                            </m:r>
                          </m:sub>
                        </m:sSub>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i,t</m:t>
                            </m:r>
                          </m:sub>
                        </m:sSub>
                      </m:sub>
                    </m:sSub>
                    <m:nary>
                      <m:naryPr>
                        <m:chr m:val="∑"/>
                        <m:limLoc m:val="undOvr"/>
                        <m:ctrlPr>
                          <w:rPr>
                            <w:rFonts w:ascii="Cambria Math" w:hAnsi="Cambria Math"/>
                            <w:sz w:val="20"/>
                            <w:szCs w:val="20"/>
                          </w:rPr>
                        </m:ctrlPr>
                      </m:naryPr>
                      <m:sub>
                        <m:r>
                          <w:rPr>
                            <w:rFonts w:ascii="Cambria Math" w:hAnsi="Cambria Math"/>
                            <w:sz w:val="20"/>
                            <w:szCs w:val="20"/>
                          </w:rPr>
                          <m:t>k=2</m:t>
                        </m:r>
                      </m:sub>
                      <m:sup>
                        <m:r>
                          <w:rPr>
                            <w:rFonts w:ascii="Cambria Math" w:hAnsi="Cambria Math"/>
                            <w:sz w:val="20"/>
                            <w:szCs w:val="20"/>
                          </w:rPr>
                          <m:t>3</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6+k</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i,t</m:t>
                                </m:r>
                              </m:sub>
                            </m:sSub>
                          </m:sub>
                        </m:sSub>
                      </m:e>
                    </m:nary>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oMath>
            </m:oMathPara>
          </w:p>
        </w:tc>
        <w:tc>
          <w:tcPr>
            <w:tcW w:w="1170" w:type="dxa"/>
          </w:tcPr>
          <w:p w14:paraId="09AAC2E5" w14:textId="77777777" w:rsidR="00773F71" w:rsidRPr="00281722" w:rsidRDefault="00773F71" w:rsidP="00AD7105">
            <w:pPr>
              <w:pStyle w:val="Compact"/>
              <w:jc w:val="right"/>
            </w:pPr>
            <w:r w:rsidRPr="00281722">
              <w:t>Eqn 4</w:t>
            </w:r>
          </w:p>
        </w:tc>
      </w:tr>
    </w:tbl>
    <w:p w14:paraId="5B394223" w14:textId="77777777" w:rsidR="00773F71" w:rsidRDefault="00773F71" w:rsidP="00773F71">
      <w:pPr>
        <w:pStyle w:val="FirstParagraph"/>
        <w:spacing w:before="0" w:after="0"/>
      </w:pPr>
      <w:r>
        <w:t xml:space="preserve">In this formulation,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includes the static covariate of monsoonality (</w:t>
      </w:r>
      <w:r w:rsidRPr="00315E09">
        <w:rPr>
          <w:i/>
          <w:iCs/>
        </w:rPr>
        <w:t>k</w:t>
      </w:r>
      <w:r>
        <w:t xml:space="preserve"> = 1), which varies across space (by sample polygon, </w:t>
      </w:r>
      <w:r>
        <w:rPr>
          <w:i/>
          <w:iCs/>
        </w:rPr>
        <w:t>i</w:t>
      </w:r>
      <w:r>
        <w:t xml:space="preserve">) but not across time, </w:t>
      </w:r>
      <w:r w:rsidRPr="006103F0">
        <w:rPr>
          <w:i/>
          <w:iCs/>
        </w:rPr>
        <w:t>t</w:t>
      </w:r>
      <w:r>
        <w:t xml:space="preserve">, and concurrent pinyon pine basal area (BA, </w:t>
      </w:r>
      <w:r w:rsidRPr="00315E09">
        <w:rPr>
          <w:i/>
          <w:iCs/>
        </w:rPr>
        <w:t>k</w:t>
      </w:r>
      <w:r>
        <w:t xml:space="preserve"> = 2), which varies across space and time. Importantly,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represents covariates that integrate over past and/or future time periods (i.e., pinyon cones [</w:t>
      </w:r>
      <w:r w:rsidRPr="00315E09">
        <w:rPr>
          <w:i/>
          <w:iCs/>
        </w:rPr>
        <w:t>k</w:t>
      </w:r>
      <w:r>
        <w:t xml:space="preserve"> = 1], maximum temperature [</w:t>
      </w:r>
      <w:r w:rsidRPr="00C348BE">
        <w:rPr>
          <w:i/>
          <w:iCs/>
        </w:rPr>
        <w:t>k</w:t>
      </w:r>
      <w:r>
        <w:t xml:space="preserve"> = 2], and precipitation [</w:t>
      </w:r>
      <w:r w:rsidRPr="00C348BE">
        <w:rPr>
          <w:i/>
          <w:iCs/>
        </w:rPr>
        <w:t>k</w:t>
      </w:r>
      <w:r>
        <w:t xml:space="preserve"> = 3]) and are defined using a SAM structure (Ogle et al., 2015). In particular, each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is defined as the weighted average of concurrent or past values for each focal covariate:</w:t>
      </w:r>
    </w:p>
    <w:tbl>
      <w:tblPr>
        <w:tblStyle w:val="Table"/>
        <w:tblW w:w="5000" w:type="pct"/>
        <w:tblLayout w:type="fixed"/>
        <w:tblLook w:val="0000" w:firstRow="0" w:lastRow="0" w:firstColumn="0" w:lastColumn="0" w:noHBand="0" w:noVBand="0"/>
      </w:tblPr>
      <w:tblGrid>
        <w:gridCol w:w="8424"/>
        <w:gridCol w:w="936"/>
      </w:tblGrid>
      <w:tr w:rsidR="00773F71" w14:paraId="2F4F0B91" w14:textId="77777777" w:rsidTr="00AD7105">
        <w:tc>
          <w:tcPr>
            <w:tcW w:w="7128" w:type="dxa"/>
          </w:tcPr>
          <w:p w14:paraId="3EAB2908" w14:textId="77777777" w:rsidR="00773F71" w:rsidRDefault="00000000" w:rsidP="00AD7105">
            <w:pPr>
              <w:pStyle w:val="Compact"/>
            </w:pPr>
            <m:oMathPara>
              <m:oMathParaPr>
                <m:jc m:val="center"/>
              </m:oMathParaP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NLags</m:t>
                    </m:r>
                  </m:sup>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m:oMathPara>
          </w:p>
        </w:tc>
        <w:tc>
          <w:tcPr>
            <w:tcW w:w="792" w:type="dxa"/>
          </w:tcPr>
          <w:p w14:paraId="4751FC76" w14:textId="77777777" w:rsidR="00773F71" w:rsidRDefault="00773F71" w:rsidP="00AD7105">
            <w:pPr>
              <w:pStyle w:val="Compact"/>
              <w:jc w:val="right"/>
            </w:pPr>
            <w:r>
              <w:t>Eqn 5</w:t>
            </w:r>
          </w:p>
        </w:tc>
      </w:tr>
    </w:tbl>
    <w:p w14:paraId="067B8535" w14:textId="77777777" w:rsidR="00773F71" w:rsidRDefault="00773F71" w:rsidP="00773F71">
      <w:pPr>
        <w:pStyle w:val="FirstParagraph"/>
        <w:spacing w:before="0" w:after="0"/>
      </w:pPr>
      <w:r>
        <w:t>The weights</w:t>
      </w:r>
      <w:r>
        <w:rPr>
          <w:rFonts w:eastAsiaTheme="minor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w:r>
        <w:t xml:space="preserve">, for each covariate, </w:t>
      </w:r>
      <w:r w:rsidRPr="006103F0">
        <w:rPr>
          <w:i/>
          <w:iCs/>
        </w:rPr>
        <w:t>k</w:t>
      </w:r>
      <w:r>
        <w:t xml:space="preserve">, across all seasonal or yearly periods, </w:t>
      </w:r>
      <w:r>
        <w:rPr>
          <w:i/>
          <w:iCs/>
        </w:rPr>
        <w:t>l</w:t>
      </w:r>
      <w:r>
        <w:t xml:space="preserve">, were assigned a Dirichlet prior, constraining the weights to sum to 1 across all periods. In particular, </w:t>
      </w:r>
      <w:r w:rsidRPr="00126373">
        <w:rPr>
          <w:i/>
          <w:iCs/>
        </w:rPr>
        <w:t>l</w:t>
      </w:r>
      <w:r>
        <w:t xml:space="preserve"> = -3, -2, -1, +1, +2, representing 5 yearly periods for cones (</w:t>
      </w:r>
      <w:r w:rsidRPr="00315E09">
        <w:rPr>
          <w:i/>
          <w:iCs/>
        </w:rPr>
        <w:t>k</w:t>
      </w:r>
      <w:r>
        <w:t xml:space="preserve"> = 1), and </w:t>
      </w:r>
      <w:r>
        <w:rPr>
          <w:i/>
          <w:iCs/>
        </w:rPr>
        <w:t xml:space="preserve">l </w:t>
      </w:r>
      <w:r>
        <w:t xml:space="preserve">= 1, 2, …, 13, representing </w:t>
      </w:r>
      <w:r>
        <w:lastRenderedPageBreak/>
        <w:t>concurrent and past seasonal periods for the climate variables (</w:t>
      </w:r>
      <w:r w:rsidRPr="00315E09">
        <w:rPr>
          <w:i/>
          <w:iCs/>
        </w:rPr>
        <w:t>k</w:t>
      </w:r>
      <w:r>
        <w:t xml:space="preserve"> = 2 or 3) (see Figure 2). The weights indicate the relative importance of each covariate </w:t>
      </w:r>
      <w:r w:rsidRPr="00315E09">
        <w:rPr>
          <w:i/>
          <w:iCs/>
        </w:rPr>
        <w:t>k</w:t>
      </w:r>
      <w:r>
        <w:t xml:space="preserve"> at time period </w:t>
      </w:r>
      <w:r w:rsidRPr="00126373">
        <w:rPr>
          <w:i/>
          <w:iCs/>
        </w:rPr>
        <w:t>l</w:t>
      </w:r>
      <w:r>
        <w:t xml:space="preserve"> to its overall effect on pinyon jay abundance. Larger values of a particular weight denote higher importance of that season or year to that covariate effect. We are particularly interested in the temporal relationships between jay abundance and pinyon seed availability; high weights for time periods denoted by </w:t>
      </w:r>
      <w:r w:rsidRPr="007C026E">
        <w:rPr>
          <w:i/>
          <w:iCs/>
        </w:rPr>
        <w:t>l</w:t>
      </w:r>
      <w:r>
        <w:t xml:space="preserve"> = +1 or </w:t>
      </w:r>
      <w:r w:rsidRPr="007C026E">
        <w:rPr>
          <w:i/>
          <w:iCs/>
        </w:rPr>
        <w:t>l</w:t>
      </w:r>
      <w:r>
        <w:t xml:space="preserve"> =  +2, </w:t>
      </w:r>
      <w:r w:rsidRPr="007C026E">
        <w:rPr>
          <w:i/>
          <w:iCs/>
        </w:rPr>
        <w:t>w</w:t>
      </w:r>
      <w:r w:rsidRPr="007C026E">
        <w:rPr>
          <w:i/>
          <w:iCs/>
          <w:vertAlign w:val="subscript"/>
        </w:rPr>
        <w:t>k</w:t>
      </w:r>
      <w:r w:rsidRPr="007C026E">
        <w:rPr>
          <w:vertAlign w:val="subscript"/>
        </w:rPr>
        <w:t>,+1</w:t>
      </w:r>
      <w:r>
        <w:t xml:space="preserve"> and/or </w:t>
      </w:r>
      <w:r w:rsidRPr="007C026E">
        <w:rPr>
          <w:i/>
          <w:iCs/>
        </w:rPr>
        <w:t>w</w:t>
      </w:r>
      <w:r w:rsidRPr="007C026E">
        <w:rPr>
          <w:i/>
          <w:iCs/>
          <w:vertAlign w:val="subscript"/>
        </w:rPr>
        <w:t>k</w:t>
      </w:r>
      <w:r w:rsidRPr="007C026E">
        <w:rPr>
          <w:vertAlign w:val="subscript"/>
        </w:rPr>
        <w:t>+2</w:t>
      </w:r>
      <w:r>
        <w:t xml:space="preserve">, would support a strong anticipatory response, a high weight for </w:t>
      </w:r>
      <w:r w:rsidRPr="007C026E">
        <w:rPr>
          <w:i/>
          <w:iCs/>
        </w:rPr>
        <w:t>w</w:t>
      </w:r>
      <w:r w:rsidRPr="007C026E">
        <w:rPr>
          <w:i/>
          <w:iCs/>
          <w:vertAlign w:val="subscript"/>
        </w:rPr>
        <w:t>k</w:t>
      </w:r>
      <w:r w:rsidRPr="007C026E">
        <w:rPr>
          <w:vertAlign w:val="subscript"/>
        </w:rPr>
        <w:t>,-1</w:t>
      </w:r>
      <w:r>
        <w:t xml:space="preserve"> would support a strong immediate response, and high weights for </w:t>
      </w:r>
      <w:r w:rsidRPr="007C026E">
        <w:rPr>
          <w:i/>
          <w:iCs/>
        </w:rPr>
        <w:t>w</w:t>
      </w:r>
      <w:r w:rsidRPr="007C026E">
        <w:rPr>
          <w:i/>
          <w:iCs/>
          <w:vertAlign w:val="subscript"/>
        </w:rPr>
        <w:t>k</w:t>
      </w:r>
      <w:r w:rsidRPr="007C026E">
        <w:rPr>
          <w:vertAlign w:val="subscript"/>
        </w:rPr>
        <w:t>,-2</w:t>
      </w:r>
      <w:r>
        <w:t xml:space="preserve"> and/or </w:t>
      </w:r>
      <w:r w:rsidRPr="007C026E">
        <w:rPr>
          <w:i/>
          <w:iCs/>
        </w:rPr>
        <w:t>w</w:t>
      </w:r>
      <w:r w:rsidRPr="007C026E">
        <w:rPr>
          <w:i/>
          <w:iCs/>
          <w:vertAlign w:val="subscript"/>
        </w:rPr>
        <w:t>k</w:t>
      </w:r>
      <w:r w:rsidRPr="007C026E">
        <w:rPr>
          <w:vertAlign w:val="subscript"/>
        </w:rPr>
        <w:t>,-3</w:t>
      </w:r>
      <w:r>
        <w:t xml:space="preserve"> would be suggestive of a delayed response to cones.</w:t>
      </w:r>
    </w:p>
    <w:p w14:paraId="4BB1F953" w14:textId="77777777" w:rsidR="00773F71" w:rsidRPr="00B24923" w:rsidRDefault="00773F71" w:rsidP="00773F71">
      <w:pPr>
        <w:pStyle w:val="FirstParagraph"/>
        <w:spacing w:before="0" w:after="0"/>
        <w:ind w:firstLine="720"/>
      </w:pPr>
      <w:r>
        <w:t>As depicted in Equation (4), we also considered interactions between seed (cone) abundance (</w:t>
      </w:r>
      <w:r w:rsidRPr="007C026E">
        <w:rPr>
          <w:i/>
          <w:iCs/>
        </w:rPr>
        <w:t>Z</w:t>
      </w:r>
      <w:r w:rsidRPr="007C026E">
        <w:rPr>
          <w:vertAlign w:val="subscript"/>
        </w:rPr>
        <w:t>1</w:t>
      </w:r>
      <w:r>
        <w:t>) and all other covariates, including monsoonality (</w:t>
      </w:r>
      <w:r w:rsidRPr="007C026E">
        <w:rPr>
          <w:i/>
          <w:iCs/>
        </w:rPr>
        <w:t>X</w:t>
      </w:r>
      <w:r w:rsidRPr="007C026E">
        <w:rPr>
          <w:vertAlign w:val="subscript"/>
        </w:rPr>
        <w:t>1</w:t>
      </w:r>
      <w:r>
        <w:t>), pinyon BA (</w:t>
      </w:r>
      <w:r w:rsidRPr="007C026E">
        <w:rPr>
          <w:i/>
          <w:iCs/>
        </w:rPr>
        <w:t>X</w:t>
      </w:r>
      <w:r w:rsidRPr="007C026E">
        <w:rPr>
          <w:vertAlign w:val="subscript"/>
        </w:rPr>
        <w:t>2</w:t>
      </w:r>
      <w:r>
        <w:t>), maximum temperature (</w:t>
      </w:r>
      <w:r w:rsidRPr="007C026E">
        <w:rPr>
          <w:i/>
          <w:iCs/>
        </w:rPr>
        <w:t>Z</w:t>
      </w:r>
      <w:r w:rsidRPr="007C026E">
        <w:rPr>
          <w:vertAlign w:val="subscript"/>
        </w:rPr>
        <w:t>2</w:t>
      </w:r>
      <w:r>
        <w:t>), and precipitation (</w:t>
      </w:r>
      <w:r w:rsidRPr="007C026E">
        <w:rPr>
          <w:i/>
          <w:iCs/>
        </w:rPr>
        <w:t>Z</w:t>
      </w:r>
      <w:r w:rsidRPr="007C026E">
        <w:rPr>
          <w:vertAlign w:val="subscript"/>
        </w:rPr>
        <w:t>3</w:t>
      </w:r>
      <w:r>
        <w:t>). This allowed us to evaluate how the relationship between pinyon jay abundance and pinyon seed production is mediated by other habitat and climate factors related to pinyon seed reliability and alternative food resources. We assigned relativ</w:t>
      </w:r>
      <w:r w:rsidRPr="00C01E47">
        <w:t>ely vague normal priors to the intercept (</w:t>
      </w:r>
      <w:r w:rsidRPr="00C01E47">
        <w:sym w:font="Symbol" w:char="F061"/>
      </w:r>
      <w:r w:rsidRPr="007C026E">
        <w:rPr>
          <w:vertAlign w:val="subscript"/>
        </w:rPr>
        <w:t>0</w:t>
      </w:r>
      <w:r w:rsidRPr="00C01E47">
        <w:t xml:space="preserve">) and all coefficients (covariate effects; </w:t>
      </w:r>
      <w:r w:rsidRPr="00C01E47">
        <w:sym w:font="Symbol" w:char="F061"/>
      </w:r>
      <w:r w:rsidRPr="00C01E47">
        <w:rPr>
          <w:vertAlign w:val="subscript"/>
        </w:rPr>
        <w:t xml:space="preserve">1, </w:t>
      </w:r>
      <w:r w:rsidRPr="007C026E">
        <w:sym w:font="Symbol" w:char="F061"/>
      </w:r>
      <w:r w:rsidRPr="00C01E47">
        <w:rPr>
          <w:vertAlign w:val="subscript"/>
        </w:rPr>
        <w:t xml:space="preserve">1, …, </w:t>
      </w:r>
      <w:r w:rsidRPr="007C026E">
        <w:sym w:font="Symbol" w:char="F061"/>
      </w:r>
      <w:r>
        <w:rPr>
          <w:vertAlign w:val="subscript"/>
        </w:rPr>
        <w:t>9</w:t>
      </w:r>
      <w:r>
        <w:t xml:space="preserve">) in Equation (4).  </w:t>
      </w:r>
    </w:p>
    <w:p w14:paraId="05B6D267" w14:textId="77777777" w:rsidR="00773F71" w:rsidRDefault="00773F71" w:rsidP="00773F71">
      <w:pPr>
        <w:pStyle w:val="BodyText"/>
        <w:spacing w:before="0" w:after="0"/>
        <w:ind w:firstLine="720"/>
      </w:pPr>
      <w:r>
        <w:t xml:space="preserve">Finally, because sample polygons sometimes covered more than one 4 km </w:t>
      </w:r>
      <w:r>
        <w:sym w:font="Symbol" w:char="F0B4"/>
      </w:r>
      <w:r>
        <w:t xml:space="preserve"> 4 km grid cell, we determined the percent of a sample polygon covering each grid cell and then calculated weighted averages of the covariate values based on the covariate values of all overlapping grid cells multiplied by the percent of the sample polygons overlapping that cell. On average, polygons overlapped approximately two (mean = 2.13 </w:t>
      </w:r>
      <w:r>
        <w:sym w:font="Symbol" w:char="F0B1"/>
      </w:r>
      <w:r>
        <w:t xml:space="preserve"> 0.01 s.e.) grid cells, with a minimum of one grid cell and a maximum of nine cells for a single polygon.</w:t>
      </w:r>
    </w:p>
    <w:p w14:paraId="51B26673" w14:textId="041C1D26" w:rsidR="00773F71" w:rsidRDefault="00773F71" w:rsidP="00773F71">
      <w:pPr>
        <w:pStyle w:val="Heading3"/>
        <w:spacing w:before="180" w:after="180" w:line="480" w:lineRule="auto"/>
      </w:pPr>
      <w:r>
        <w:lastRenderedPageBreak/>
        <w:t>4</w:t>
      </w:r>
      <w:r w:rsidR="008734E2">
        <w:t>.5</w:t>
      </w:r>
      <w:r>
        <w:t xml:space="preserve"> Model implementation, convergence, and diagnostics</w:t>
      </w:r>
    </w:p>
    <w:p w14:paraId="441129FC" w14:textId="77777777" w:rsidR="00773F71" w:rsidRDefault="00773F71" w:rsidP="00773F71">
      <w:pPr>
        <w:pStyle w:val="FirstParagraph"/>
        <w:spacing w:before="0" w:after="0"/>
        <w:ind w:firstLine="720"/>
      </w:pPr>
      <w:r>
        <w:t xml:space="preserve">We implemented the above model in the Bayesian software JAGS </w:t>
      </w:r>
      <w:r>
        <w:fldChar w:fldCharType="begin"/>
      </w:r>
      <w:r>
        <w:instrText xml:space="preserve"> ADDIN ZOTERO_ITEM CSL_CITATION {"citationID":"TZ9juuFg","properties":{"formattedCitation":"(Plummer, 2003)","plainCitation":"(Plummer, 2003)","dontUpdate":true,"noteIndex":0},"citationItems":[{"id":2379,"uris":["http://zotero.org/users/6391447/items/9RSFP5EG"],"itemData":{"id":2379,"type":"article-journal","container-title":"Proceedings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fldChar w:fldCharType="separate"/>
      </w:r>
      <w:r>
        <w:rPr>
          <w:noProof/>
        </w:rPr>
        <w:t>(Plummer, 2003, version 4.3.0)</w:t>
      </w:r>
      <w:r>
        <w:fldChar w:fldCharType="end"/>
      </w:r>
      <w:r>
        <w:t xml:space="preserve"> using R </w:t>
      </w:r>
      <w:r>
        <w:fldChar w:fldCharType="begin"/>
      </w:r>
      <w:r>
        <w:instrText xml:space="preserve"> ADDIN ZOTERO_ITEM CSL_CITATION {"citationID":"U3P1MDVz","properties":{"formattedCitation":"(R Core Team, 2020)","plainCitation":"(R Core Team, 2020)","dontUpdate":true,"noteIndex":0},"citationItems":[{"id":104,"uris":["http://zotero.org/users/6391447/items/V7TK7J44"],"itemData":{"id":104,"type":"software","event-place":"Vienna, Austria","publisher":"R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fldChar w:fldCharType="separate"/>
      </w:r>
      <w:r>
        <w:rPr>
          <w:noProof/>
        </w:rPr>
        <w:t>(R Core Team, 2020, version 4.5.1)</w:t>
      </w:r>
      <w:r>
        <w:fldChar w:fldCharType="end"/>
      </w:r>
      <w:r>
        <w:t xml:space="preserve"> and the jagsUI wrapper package </w:t>
      </w:r>
      <w:r>
        <w:fldChar w:fldCharType="begin"/>
      </w:r>
      <w:r>
        <w:instrText xml:space="preserve"> ADDIN ZOTERO_ITEM CSL_CITATION {"citationID":"J4TKAO6M","properties":{"formattedCitation":"(Kellner, 2021)","plainCitation":"(Kellner, 2021)","dontUpdate":true,"noteIndex":0},"citationItems":[{"id":2380,"uris":["http://zotero.org/users/6391447/items/3FKABM4L"],"itemData":{"id":2380,"type":"software","genre":"R","title":"jagsUI: a wrapper around 'rjags' to streamline JAGS analyses","URL":"https://CRAN.R-project.org/package=jagsUI","version":"1.5.2","author":[{"family":"Kellner","given":"K"}],"issued":{"date-parts":[["2021"]]}}}],"schema":"https://github.com/citation-style-language/schema/raw/master/csl-citation.json"} </w:instrText>
      </w:r>
      <w:r>
        <w:fldChar w:fldCharType="separate"/>
      </w:r>
      <w:r>
        <w:rPr>
          <w:noProof/>
        </w:rPr>
        <w:t>(Kellner, 2021, version 1.6.2)</w:t>
      </w:r>
      <w:r>
        <w:fldChar w:fldCharType="end"/>
      </w:r>
      <w:r>
        <w:t xml:space="preserve">. JAGS uses Markov chain Monte Carlo (MCMC) methods to sample from the joint posterior distribution of the model parameters. We initially simulated 4000 samples for three parallel MCMC sequences to determine the number of iterations (samples) needed to sufficiently sample from the posterior based on the Raftery diagnostic </w:t>
      </w:r>
      <w:r>
        <w:fldChar w:fldCharType="begin"/>
      </w:r>
      <w:r>
        <w:instrText xml:space="preserve"> ADDIN ZOTERO_ITEM CSL_CITATION {"citationID":"plsHxVHs","properties":{"formattedCitation":"(Raftery &amp; Lewis, 1995)","plainCitation":"(Raftery &amp; Lewis, 1995)","noteIndex":0},"citationItems":[{"id":2378,"uris":["http://zotero.org/users/6391447/items/JLZKIT24"],"itemData":{"id":2378,"type":"chapter","container-title":"Practical Markov Chain Monte Carlo","event-place":"London, U.K.","publisher":"Chapman and Hall","publisher-place":"London, U.K.","title":"The number of iterations, convergence diagnostics and generic Netropolis algorithms","author":[{"family":"Raftery","given":"A.E."},{"family":"Lewis","given":"S.M."}],"issued":{"date-parts":[["1995"]]}}}],"schema":"https://github.com/citation-style-language/schema/raw/master/csl-citation.json"} </w:instrText>
      </w:r>
      <w:r>
        <w:fldChar w:fldCharType="separate"/>
      </w:r>
      <w:r>
        <w:rPr>
          <w:noProof/>
        </w:rPr>
        <w:t>(Raftery &amp; Lewis, 1995)</w:t>
      </w:r>
      <w:r>
        <w:fldChar w:fldCharType="end"/>
      </w:r>
      <w:r>
        <w:t xml:space="preserve">, and we re-ran the model to obtain a sufficient number of iterations. We qualitatively assessed convergence of the MCMC sequences by inspecting history and autocorrelation plots generated with the mcmcplots package </w:t>
      </w:r>
      <w:r>
        <w:fldChar w:fldCharType="begin"/>
      </w:r>
      <w:r>
        <w:instrText xml:space="preserve"> ADDIN ZOTERO_ITEM CSL_CITATION {"citationID":"eoEaHWxj","properties":{"formattedCitation":"(Curtis, 2010)","plainCitation":"(Curtis, 2010)","dontUpdate":true,"noteIndex":0},"citationItems":[{"id":2742,"uris":["http://zotero.org/users/6391447/items/J9AIIYIQ"],"itemData":{"id":2742,"type":"dataset","abstract":"Functions for convenient plotting and viewing of MCMC output.","DOI":"10.32614/CRAN.package.mcmcplots","language":"en","note":"Institution: Comprehensive R Archive Network\npage: 0.4.3","source":"DOI.org (Crossref)","title":"mcmcplots: Create Plots from MCMC Output","title-short":"mcmcplots","URL":"https://CRAN.R-project.org/package=mcmcplots","author":[{"family":"Curtis","given":"S. McKay"}],"accessed":{"date-parts":[["2025",2,24]]},"issued":{"date-parts":[["2010",7,6]]}}}],"schema":"https://github.com/citation-style-language/schema/raw/master/csl-citation.json"} </w:instrText>
      </w:r>
      <w:r>
        <w:fldChar w:fldCharType="separate"/>
      </w:r>
      <w:r>
        <w:rPr>
          <w:noProof/>
        </w:rPr>
        <w:t>(Curtis, 2010, version 0.4.3)</w:t>
      </w:r>
      <w:r>
        <w:fldChar w:fldCharType="end"/>
      </w:r>
      <w:r>
        <w:t xml:space="preserve">. We quantitatively evaluated convergence using the raftery.diag function in the coda package </w:t>
      </w:r>
      <w:r>
        <w:fldChar w:fldCharType="begin"/>
      </w:r>
      <w:r>
        <w:instrText xml:space="preserve"> ADDIN ZOTERO_ITEM CSL_CITATION {"citationID":"BH742N9I","properties":{"formattedCitation":"(Plummer et al., 1999)","plainCitation":"(Plummer et al., 1999)","dontUpdate":true,"noteIndex":0},"citationItems":[{"id":2741,"uris":["http://zotero.org/users/6391447/items/G5FC7FXU"],"itemData":{"id":2741,"type":"dataset","abstract":"Provides functions for summarizing and plotting the output from Markov Chain Monte Carlo (MCMC) simulations, as well as diagnostic tests of convergence to the equilibrium distribution of the Markov chain.","DOI":"10.32614/CRAN.package.coda","language":"en","note":"Institution: Comprehensive R Archive Network\npage: 0.19-4.1","source":"DOI.org (Crossref)","title":"coda: Output Analysis and Diagnostics for MCMC","title-short":"coda","URL":"https://CRAN.R-project.org/package=coda","author":[{"family":"Plummer","given":"Martyn"},{"family":"Best","given":"Nicky"},{"family":"Cowles","given":"Kate"},{"family":"Vines","given":"Karen"},{"family":"Sarkar","given":"Deepayan"},{"family":"Bates","given":"Douglas"},{"family":"Almond","given":"Russell"},{"family":"Magnusson","given":"Arni"}],"accessed":{"date-parts":[["2025",2,24]]},"issued":{"date-parts":[["1999",6,4]]}}}],"schema":"https://github.com/citation-style-language/schema/raw/master/csl-citation.json"} </w:instrText>
      </w:r>
      <w:r>
        <w:fldChar w:fldCharType="separate"/>
      </w:r>
      <w:r>
        <w:rPr>
          <w:noProof/>
        </w:rPr>
        <w:t>(Plummer et al., 1999, version 0.19.4.1)</w:t>
      </w:r>
      <w:r>
        <w:fldChar w:fldCharType="end"/>
      </w:r>
      <w:r>
        <w:t xml:space="preserve">; the MCMC sequences were deemed to have converged if the Gelman-Rubin statistic, </w:t>
      </w:r>
      <m:oMath>
        <m:acc>
          <m:accPr>
            <m:ctrlPr>
              <w:rPr>
                <w:rFonts w:ascii="Cambria Math" w:hAnsi="Cambria Math"/>
              </w:rPr>
            </m:ctrlPr>
          </m:accPr>
          <m:e>
            <m:r>
              <w:rPr>
                <w:rFonts w:ascii="Cambria Math" w:hAnsi="Cambria Math"/>
              </w:rPr>
              <m:t>R</m:t>
            </m:r>
          </m:e>
        </m:acc>
      </m:oMath>
      <w:r>
        <w:t xml:space="preserve">, for all root nodes in the model was less than 1.1 </w:t>
      </w:r>
      <w:r>
        <w:fldChar w:fldCharType="begin"/>
      </w:r>
      <w:r>
        <w:instrText xml:space="preserve"> ADDIN ZOTERO_ITEM CSL_CITATION {"citationID":"heDqza6f","properties":{"formattedCitation":"(Gelman &amp; Rubin, 1992)","plainCitation":"(Gelman &amp; Rubin, 1992)","noteIndex":0},"citationItems":[{"id":2743,"uris":["http://zotero.org/users/6391447/items/EFEP3P3V"],"itemData":{"id":2743,"type":"article-journal","container-title":"Statistical Science","DOI":"10.1214/ss/1177011136","ISSN":"0883-4237","issue":"4","journalAbbreviation":"Statist. Sci.","source":"DOI.org (Crossref)","title":"Inference from Iterative Simulation Using Multiple Sequences","URL":"https://projecteuclid.org/journals/statistical-science/volume-7/issue-4/Inference-from-Iterative-Simulation-Using-Multiple-Sequences/10.1214/ss/1177011136.full","volume":"7","author":[{"family":"Gelman","given":"Andrew"},{"family":"Rubin","given":"Donald B."}],"accessed":{"date-parts":[["2025",2,24]]},"issued":{"date-parts":[["1992",11,1]]}}}],"schema":"https://github.com/citation-style-language/schema/raw/master/csl-citation.json"} </w:instrText>
      </w:r>
      <w:r>
        <w:fldChar w:fldCharType="separate"/>
      </w:r>
      <w:r>
        <w:rPr>
          <w:noProof/>
        </w:rPr>
        <w:t>(Gelman &amp; Rubin, 1992)</w:t>
      </w:r>
      <w:r>
        <w:fldChar w:fldCharType="end"/>
      </w:r>
      <w:r>
        <w:t xml:space="preserve">. We assessed model goodness-of-fit by comparing observed eBird count data to predicted count data based on simulating “replicated” count data from the Binomial </w:t>
      </w:r>
      <w:r w:rsidRPr="00201D20">
        <w:t xml:space="preserve">distribution in </w:t>
      </w:r>
      <w:r>
        <w:t>E</w:t>
      </w:r>
      <w:r w:rsidRPr="00201D20">
        <w:t xml:space="preserve">quation </w:t>
      </w:r>
      <w:r>
        <w:t xml:space="preserve">(1). We verified the lack of spatial autocorrelation in observed data by examining spatial patterns, or the lack thereof, in the residuals (observed – predicted counts) within each year via spline correlograms produced by the R package ncf </w:t>
      </w:r>
      <w:r>
        <w:fldChar w:fldCharType="begin"/>
      </w:r>
      <w:r>
        <w:instrText xml:space="preserve"> ADDIN ZOTERO_ITEM CSL_CITATION {"citationID":"suDKjiax","properties":{"formattedCitation":"(Bjornstad, 2008)","plainCitation":"(Bjornstad, 2008)","dontUpdate":true,"noteIndex":0},"citationItems":[{"id":2901,"uris":["http://zotero.org/users/6391447/items/GJAI95VD"],"itemData":{"id":2901,"type":"dataset","DOI":"10.32614/cran.package.ncf","note":"collection-title: CRAN: Contributed Packages","publisher":"The R Foundation","source":"Crossref","title":"ncf: Spatial Covariance Functions","title-short":"ncf","URL":"https://CRAN.R-project.org/package=ncf","author":[{"family":"Bjornstad","given":"Ottar N."}],"accessed":{"date-parts":[["2025",7,16]]},"issued":{"date-parts":[["2008",4,14]]}}}],"schema":"https://github.com/citation-style-language/schema/raw/master/csl-citation.json"} </w:instrText>
      </w:r>
      <w:r>
        <w:fldChar w:fldCharType="separate"/>
      </w:r>
      <w:r>
        <w:rPr>
          <w:noProof/>
        </w:rPr>
        <w:t>(Bjornstad, 2008, version 1.3-2)</w:t>
      </w:r>
      <w:r>
        <w:fldChar w:fldCharType="end"/>
      </w:r>
      <w:r>
        <w:t>.</w:t>
      </w:r>
    </w:p>
    <w:p w14:paraId="61848B13" w14:textId="10F93750" w:rsidR="00773F71" w:rsidRDefault="008734E2" w:rsidP="00773F71">
      <w:pPr>
        <w:pStyle w:val="Heading3"/>
        <w:spacing w:before="180" w:after="180" w:line="480" w:lineRule="auto"/>
      </w:pPr>
      <w:r>
        <w:t>4</w:t>
      </w:r>
      <w:r w:rsidR="00773F71">
        <w:t>.6 Out of sample model validation</w:t>
      </w:r>
    </w:p>
    <w:p w14:paraId="34D852A3" w14:textId="63A99D5A" w:rsidR="00773F71" w:rsidRDefault="00773F71" w:rsidP="00773F71">
      <w:pPr>
        <w:pStyle w:val="FirstParagraph"/>
        <w:spacing w:before="0" w:after="0"/>
        <w:ind w:firstLine="720"/>
      </w:pPr>
      <w:r>
        <w:t xml:space="preserve">To evaluate predictions outside of the data used to fit the model, we first removed the in-sample (“training”) data (22,295 checklists) from the available eBird checklist data (833,834 checklists). We performed the same set of steps for spatial and temporal stratification (Section </w:t>
      </w:r>
      <w:r w:rsidR="008734E2">
        <w:lastRenderedPageBreak/>
        <w:t>4.3</w:t>
      </w:r>
      <w:r>
        <w:t xml:space="preserve">.1 above) on the remaining checklists (811,539 checklists) for an additional 20,380 checklists that represented “out-of-sample” (“validation”) data. We evaluated out-of-sample model fit using ~1000 posterior samples for covariate effects and intercepts from the in-sample dataset and model. We then examined model replicative ability (RMSE) of the in-sample and out-of-sample datasets. </w:t>
      </w:r>
    </w:p>
    <w:p w14:paraId="4EACA4DF" w14:textId="30D4729C" w:rsidR="00773F71" w:rsidRPr="00D351AD" w:rsidRDefault="00773F71" w:rsidP="000C1F3C">
      <w:pPr>
        <w:pStyle w:val="BodyText"/>
        <w:spacing w:before="0" w:after="0"/>
        <w:ind w:firstLine="720"/>
        <w:sectPr w:rsidR="00773F71" w:rsidRPr="00D351AD" w:rsidSect="00167C71">
          <w:pgSz w:w="12240" w:h="15840"/>
          <w:pgMar w:top="1440" w:right="1440" w:bottom="1440" w:left="1440" w:header="720" w:footer="720" w:gutter="0"/>
          <w:lnNumType w:countBy="1" w:restart="continuous"/>
          <w:cols w:space="720"/>
          <w:titlePg/>
          <w:docGrid w:linePitch="326"/>
        </w:sectPr>
      </w:pPr>
    </w:p>
    <w:p w14:paraId="10D6E46C" w14:textId="6E182D5E" w:rsidR="00482FFC" w:rsidRDefault="00482FFC" w:rsidP="00482FFC">
      <w:pPr>
        <w:pStyle w:val="BodyText"/>
        <w:rPr>
          <w:b/>
          <w:bCs/>
        </w:rPr>
      </w:pPr>
      <w:r w:rsidRPr="00482FFC">
        <w:rPr>
          <w:b/>
          <w:bCs/>
        </w:rPr>
        <w:lastRenderedPageBreak/>
        <w:t>References</w:t>
      </w:r>
    </w:p>
    <w:p w14:paraId="1EB2E90E" w14:textId="77777777" w:rsidR="00E255F5" w:rsidRPr="00E255F5" w:rsidRDefault="0019106D" w:rsidP="00E255F5">
      <w:pPr>
        <w:pStyle w:val="Bibliography"/>
      </w:pPr>
      <w:r>
        <w:rPr>
          <w:b/>
          <w:bCs/>
        </w:rPr>
        <w:fldChar w:fldCharType="begin"/>
      </w:r>
      <w:r w:rsidR="00B332AB">
        <w:rPr>
          <w:b/>
          <w:bCs/>
        </w:rPr>
        <w:instrText xml:space="preserve"> ADDIN ZOTERO_BIBL {"uncited":[],"omitted":[],"custom":[]} CSL_BIBLIOGRAPHY </w:instrText>
      </w:r>
      <w:r>
        <w:rPr>
          <w:b/>
          <w:bCs/>
        </w:rPr>
        <w:fldChar w:fldCharType="separate"/>
      </w:r>
      <w:r w:rsidR="00E255F5" w:rsidRPr="00E255F5">
        <w:t xml:space="preserve">Adams, D. K., &amp; Comrie, A. C. (1997). The North American Monsoon. </w:t>
      </w:r>
      <w:r w:rsidR="00E255F5" w:rsidRPr="00E255F5">
        <w:rPr>
          <w:i/>
          <w:iCs/>
        </w:rPr>
        <w:t>Bulletin of the American Meteorological Society</w:t>
      </w:r>
      <w:r w:rsidR="00E255F5" w:rsidRPr="00E255F5">
        <w:t xml:space="preserve">, </w:t>
      </w:r>
      <w:r w:rsidR="00E255F5" w:rsidRPr="00E255F5">
        <w:rPr>
          <w:i/>
          <w:iCs/>
        </w:rPr>
        <w:t>78</w:t>
      </w:r>
      <w:r w:rsidR="00E255F5" w:rsidRPr="00E255F5">
        <w:t>(10), 2197–2213. https://doi.org/10.1175/1520-0477(1997)078%253C2197:TNAM%253E2.0.CO;2</w:t>
      </w:r>
    </w:p>
    <w:p w14:paraId="50A37382" w14:textId="77777777" w:rsidR="00E255F5" w:rsidRPr="00E255F5" w:rsidRDefault="00E255F5" w:rsidP="00E255F5">
      <w:pPr>
        <w:pStyle w:val="Bibliography"/>
      </w:pPr>
      <w:r w:rsidRPr="00E255F5">
        <w:t xml:space="preserve">Allred, B. W., Bestelmeyer, B. T., Boyd, C. S., Brown, C., Davies, K. W., Duniway, M. C., Ellsworth, L. M., Erickson, T. A., Fuhlendorf, S. D., Griffiths, T. V., Jansen, V., Jones, M. O., Karl, J., Knight, A., Maestas, J. D., Maynard, J. J., McCord, S. E., Naugle, D. E., Starns, H. D., … Uden, D. R. (2021). Improving Landsat predictions of rangeland fractional cover with multitask learning and uncertainty. </w:t>
      </w:r>
      <w:r w:rsidRPr="00E255F5">
        <w:rPr>
          <w:i/>
          <w:iCs/>
        </w:rPr>
        <w:t>Methods in Ecology and Evolution</w:t>
      </w:r>
      <w:r w:rsidRPr="00E255F5">
        <w:t xml:space="preserve">, </w:t>
      </w:r>
      <w:r w:rsidRPr="00E255F5">
        <w:rPr>
          <w:i/>
          <w:iCs/>
        </w:rPr>
        <w:t>12</w:t>
      </w:r>
      <w:r w:rsidRPr="00E255F5">
        <w:t>(5), 841–849. https://doi.org/10.1111/2041-210X.13564</w:t>
      </w:r>
    </w:p>
    <w:p w14:paraId="29932FA0" w14:textId="77777777" w:rsidR="00E255F5" w:rsidRPr="00E255F5" w:rsidRDefault="00E255F5" w:rsidP="00E255F5">
      <w:pPr>
        <w:pStyle w:val="Bibliography"/>
      </w:pPr>
      <w:r w:rsidRPr="00E255F5">
        <w:t xml:space="preserve">Bahlai, C. A., White, E. R., Perrone, J. D., Cusser, S., &amp; Stack Whitney, K. (2021). The broken window: An algorithm for quantifying and characterizing misleading trajectories in ecological processes. </w:t>
      </w:r>
      <w:r w:rsidRPr="00E255F5">
        <w:rPr>
          <w:i/>
          <w:iCs/>
        </w:rPr>
        <w:t>Ecological Informatics</w:t>
      </w:r>
      <w:r w:rsidRPr="00E255F5">
        <w:t xml:space="preserve">, </w:t>
      </w:r>
      <w:r w:rsidRPr="00E255F5">
        <w:rPr>
          <w:i/>
          <w:iCs/>
        </w:rPr>
        <w:t>64</w:t>
      </w:r>
      <w:r w:rsidRPr="00E255F5">
        <w:t>, 101336. https://doi.org/10.1016/j.ecoinf.2021.101336</w:t>
      </w:r>
    </w:p>
    <w:p w14:paraId="0E96C819" w14:textId="77777777" w:rsidR="00E255F5" w:rsidRPr="00E255F5" w:rsidRDefault="00E255F5" w:rsidP="00E255F5">
      <w:pPr>
        <w:pStyle w:val="Bibliography"/>
      </w:pPr>
      <w:r w:rsidRPr="00E255F5">
        <w:t xml:space="preserve">Belitz, M. W., Larsen, E. A., Hurlbert, A. H., Di Cecco, G. J., Neupane, N., Ries, L., Tingley, M. W., Guralnick, R. P., &amp; Youngflesh, C. (2025). Potential for bird–insect phenological mismatch in a tri‐trophic system. </w:t>
      </w:r>
      <w:r w:rsidRPr="00E255F5">
        <w:rPr>
          <w:i/>
          <w:iCs/>
        </w:rPr>
        <w:t>Journal of Animal Ecology</w:t>
      </w:r>
      <w:r w:rsidRPr="00E255F5">
        <w:t xml:space="preserve">, </w:t>
      </w:r>
      <w:r w:rsidRPr="00E255F5">
        <w:rPr>
          <w:i/>
          <w:iCs/>
        </w:rPr>
        <w:t>94</w:t>
      </w:r>
      <w:r w:rsidRPr="00E255F5">
        <w:t>(4), 717–728. https://doi.org/10.1111/1365-2656.70007</w:t>
      </w:r>
    </w:p>
    <w:p w14:paraId="498718AF" w14:textId="77777777" w:rsidR="00E255F5" w:rsidRPr="00E255F5" w:rsidRDefault="00E255F5" w:rsidP="00E255F5">
      <w:pPr>
        <w:pStyle w:val="Bibliography"/>
      </w:pPr>
      <w:r w:rsidRPr="00E255F5">
        <w:t xml:space="preserve">Bello, C., Galetti, M., Pizo, M. A., Magnago, L. F. S., Rocha, M. F., Lima, R. A. F., Peres, C. A., Ovaskainen, O., &amp; Jordano, P. (2015). Defaunation affects carbon storage in tropical forests. </w:t>
      </w:r>
      <w:r w:rsidRPr="00E255F5">
        <w:rPr>
          <w:i/>
          <w:iCs/>
        </w:rPr>
        <w:t>Science Advances</w:t>
      </w:r>
      <w:r w:rsidRPr="00E255F5">
        <w:t xml:space="preserve">, </w:t>
      </w:r>
      <w:r w:rsidRPr="00E255F5">
        <w:rPr>
          <w:i/>
          <w:iCs/>
        </w:rPr>
        <w:t>1</w:t>
      </w:r>
      <w:r w:rsidRPr="00E255F5">
        <w:t>(11), e1501105. https://doi.org/10.1126/sciadv.1501105</w:t>
      </w:r>
    </w:p>
    <w:p w14:paraId="5ECAD4DA" w14:textId="77777777" w:rsidR="00E255F5" w:rsidRPr="00E255F5" w:rsidRDefault="00E255F5" w:rsidP="00E255F5">
      <w:pPr>
        <w:pStyle w:val="Bibliography"/>
      </w:pPr>
      <w:r w:rsidRPr="00E255F5">
        <w:lastRenderedPageBreak/>
        <w:t xml:space="preserve">Bergeron, P., Réale, D., Humphries, M. M., &amp; Garant, D. (2011). Anticipation and tracking of pulsed resources drive population dynamics in eastern chipmunks. </w:t>
      </w:r>
      <w:r w:rsidRPr="00E255F5">
        <w:rPr>
          <w:i/>
          <w:iCs/>
        </w:rPr>
        <w:t>Ecology</w:t>
      </w:r>
      <w:r w:rsidRPr="00E255F5">
        <w:t xml:space="preserve">, </w:t>
      </w:r>
      <w:r w:rsidRPr="00E255F5">
        <w:rPr>
          <w:i/>
          <w:iCs/>
        </w:rPr>
        <w:t>92</w:t>
      </w:r>
      <w:r w:rsidRPr="00E255F5">
        <w:t>(11), 2027–2034. https://doi.org/10.1890/11-0766.1</w:t>
      </w:r>
    </w:p>
    <w:p w14:paraId="2654A2E3" w14:textId="77777777" w:rsidR="00E255F5" w:rsidRPr="00E255F5" w:rsidRDefault="00E255F5" w:rsidP="00E255F5">
      <w:pPr>
        <w:pStyle w:val="Bibliography"/>
      </w:pPr>
      <w:r w:rsidRPr="00E255F5">
        <w:t xml:space="preserve">Bjornstad, O. N. (2008). </w:t>
      </w:r>
      <w:r w:rsidRPr="00E255F5">
        <w:rPr>
          <w:i/>
          <w:iCs/>
        </w:rPr>
        <w:t>ncf: Spatial Covariance Functions</w:t>
      </w:r>
      <w:r w:rsidRPr="00E255F5">
        <w:t xml:space="preserve"> [Dataset]. The R Foundation. https://doi.org/10.32614/cran.package.ncf</w:t>
      </w:r>
    </w:p>
    <w:p w14:paraId="17F9A354" w14:textId="77777777" w:rsidR="00E255F5" w:rsidRPr="00E255F5" w:rsidRDefault="00E255F5" w:rsidP="00E255F5">
      <w:pPr>
        <w:pStyle w:val="Bibliography"/>
      </w:pPr>
      <w:r w:rsidRPr="00E255F5">
        <w:t xml:space="preserve">Bogdziewicz, M., Crone, E. E., &amp; Zwolak, R. (2020). Do benefits of seed dispersal and caching by scatterhoarders outweigh the costs of predation? An example with oaks and yellow‐necked mice. </w:t>
      </w:r>
      <w:r w:rsidRPr="00E255F5">
        <w:rPr>
          <w:i/>
          <w:iCs/>
        </w:rPr>
        <w:t>Journal of Ecology</w:t>
      </w:r>
      <w:r w:rsidRPr="00E255F5">
        <w:t xml:space="preserve">, </w:t>
      </w:r>
      <w:r w:rsidRPr="00E255F5">
        <w:rPr>
          <w:i/>
          <w:iCs/>
        </w:rPr>
        <w:t>108</w:t>
      </w:r>
      <w:r w:rsidRPr="00E255F5">
        <w:t>(3), 1009–1018. https://doi.org/10.1111/1365-2745.13307</w:t>
      </w:r>
    </w:p>
    <w:p w14:paraId="5EFB7E38" w14:textId="77777777" w:rsidR="00E255F5" w:rsidRPr="00E255F5" w:rsidRDefault="00E255F5" w:rsidP="00E255F5">
      <w:pPr>
        <w:pStyle w:val="Bibliography"/>
      </w:pPr>
      <w:r w:rsidRPr="00E255F5">
        <w:t xml:space="preserve">Bogdziewicz, M., Zwolak, R., &amp; Crone, E. E. (2016). How do vertebrates respond to mast seeding? </w:t>
      </w:r>
      <w:r w:rsidRPr="00E255F5">
        <w:rPr>
          <w:i/>
          <w:iCs/>
        </w:rPr>
        <w:t>Oikos</w:t>
      </w:r>
      <w:r w:rsidRPr="00E255F5">
        <w:t xml:space="preserve">, </w:t>
      </w:r>
      <w:r w:rsidRPr="00E255F5">
        <w:rPr>
          <w:i/>
          <w:iCs/>
        </w:rPr>
        <w:t>125</w:t>
      </w:r>
      <w:r w:rsidRPr="00E255F5">
        <w:t>(3), 300–307. https://doi.org/10.1111/oik.03012</w:t>
      </w:r>
    </w:p>
    <w:p w14:paraId="712606BA" w14:textId="77777777" w:rsidR="00E255F5" w:rsidRPr="00E255F5" w:rsidRDefault="00E255F5" w:rsidP="00E255F5">
      <w:pPr>
        <w:pStyle w:val="Bibliography"/>
      </w:pPr>
      <w:r w:rsidRPr="00E255F5">
        <w:t xml:space="preserve">Boone, J. D., Ammon, E., &amp; Johnson, K. (2018). Long-term declines in the Pinyon Jay and management implications for piñon–juniper woodlands. In W. D. Shuford, R. E. Gill, &amp; C. M. Handel, </w:t>
      </w:r>
      <w:r w:rsidRPr="00E255F5">
        <w:rPr>
          <w:i/>
          <w:iCs/>
        </w:rPr>
        <w:t>Trends and Traditions: Avifaunal Change in Western North America</w:t>
      </w:r>
      <w:r w:rsidRPr="00E255F5">
        <w:t xml:space="preserve"> (pp. 190–197). Western Field Ornithologists. https://doi.org/10.21199/SWB3.10</w:t>
      </w:r>
    </w:p>
    <w:p w14:paraId="5ADD0C59" w14:textId="77777777" w:rsidR="00E255F5" w:rsidRPr="00E255F5" w:rsidRDefault="00E255F5" w:rsidP="00E255F5">
      <w:pPr>
        <w:pStyle w:val="Bibliography"/>
      </w:pPr>
      <w:r w:rsidRPr="00E255F5">
        <w:t xml:space="preserve">Boutin, S., Wauters, L. A., McAdam, A. G., Humphries, M. M., Tosi, G., &amp; Dhondt, A. A. (2006). Anticipatory Reproduction and Population Growth in Seed Predators. </w:t>
      </w:r>
      <w:r w:rsidRPr="00E255F5">
        <w:rPr>
          <w:i/>
          <w:iCs/>
        </w:rPr>
        <w:t>Science</w:t>
      </w:r>
      <w:r w:rsidRPr="00E255F5">
        <w:t xml:space="preserve">, </w:t>
      </w:r>
      <w:r w:rsidRPr="00E255F5">
        <w:rPr>
          <w:i/>
          <w:iCs/>
        </w:rPr>
        <w:t>314</w:t>
      </w:r>
      <w:r w:rsidRPr="00E255F5">
        <w:t>(5807), 1928–1930. https://doi.org/10.1126/science.1135520</w:t>
      </w:r>
    </w:p>
    <w:p w14:paraId="6D2F990E" w14:textId="77777777" w:rsidR="00E255F5" w:rsidRPr="00E255F5" w:rsidRDefault="00E255F5" w:rsidP="00E255F5">
      <w:pPr>
        <w:pStyle w:val="Bibliography"/>
      </w:pPr>
      <w:r w:rsidRPr="00E255F5">
        <w:t xml:space="preserve">Branson, D. H. (2008). Influence of a Large Late Summer Precipitation Event on Food Limitation and Grasshopper Population Dynamics in a Northern Great Plains Grassland. </w:t>
      </w:r>
      <w:r w:rsidRPr="00E255F5">
        <w:rPr>
          <w:i/>
          <w:iCs/>
        </w:rPr>
        <w:t>Environmental Entomology</w:t>
      </w:r>
      <w:r w:rsidRPr="00E255F5">
        <w:t xml:space="preserve">, </w:t>
      </w:r>
      <w:r w:rsidRPr="00E255F5">
        <w:rPr>
          <w:i/>
          <w:iCs/>
        </w:rPr>
        <w:t>37</w:t>
      </w:r>
      <w:r w:rsidRPr="00E255F5">
        <w:t>(3), 686–695. https://doi.org/10.1603/0046-225X(2008)37%255B686:IOALLS%255D2.0.CO;2</w:t>
      </w:r>
    </w:p>
    <w:p w14:paraId="560FAF69" w14:textId="77777777" w:rsidR="00E255F5" w:rsidRPr="00E255F5" w:rsidRDefault="00E255F5" w:rsidP="00E255F5">
      <w:pPr>
        <w:pStyle w:val="Bibliography"/>
      </w:pPr>
      <w:r w:rsidRPr="00E255F5">
        <w:lastRenderedPageBreak/>
        <w:t xml:space="preserve">Bregnard, C., Rais, O., &amp; Voordouw, M. J. (2021). Masting by beech trees predicts the risk of Lyme disease. </w:t>
      </w:r>
      <w:r w:rsidRPr="00E255F5">
        <w:rPr>
          <w:i/>
          <w:iCs/>
        </w:rPr>
        <w:t>Parasites &amp; Vectors</w:t>
      </w:r>
      <w:r w:rsidRPr="00E255F5">
        <w:t xml:space="preserve">, </w:t>
      </w:r>
      <w:r w:rsidRPr="00E255F5">
        <w:rPr>
          <w:i/>
          <w:iCs/>
        </w:rPr>
        <w:t>14</w:t>
      </w:r>
      <w:r w:rsidRPr="00E255F5">
        <w:t>(1), 168. https://doi.org/10.1186/s13071-021-04646-0</w:t>
      </w:r>
    </w:p>
    <w:p w14:paraId="32C93C9E" w14:textId="77777777" w:rsidR="00E255F5" w:rsidRPr="00E255F5" w:rsidRDefault="00E255F5" w:rsidP="00E255F5">
      <w:pPr>
        <w:pStyle w:val="Bibliography"/>
      </w:pPr>
      <w:r w:rsidRPr="00E255F5">
        <w:t xml:space="preserve">Breshears, D. D., Cobb, N. S., Rich, P. M., Price, K. P., Allen, C. D., Balice, R. G., Romme, W. H., Kastens, J. H., Floyd, M. L., Belnap, J., Anderson, J. J., Myers, O. B., &amp; Meyer, C. W. (2005). Regional vegetation die-off in response to global-change-type drought. </w:t>
      </w:r>
      <w:r w:rsidRPr="00E255F5">
        <w:rPr>
          <w:i/>
          <w:iCs/>
        </w:rPr>
        <w:t>Proceedings of the National Academy of Sciences</w:t>
      </w:r>
      <w:r w:rsidRPr="00E255F5">
        <w:t xml:space="preserve">, </w:t>
      </w:r>
      <w:r w:rsidRPr="00E255F5">
        <w:rPr>
          <w:i/>
          <w:iCs/>
        </w:rPr>
        <w:t>102</w:t>
      </w:r>
      <w:r w:rsidRPr="00E255F5">
        <w:t>(42), 15144–15148. https://doi.org/10.1073/pnas.0505734102</w:t>
      </w:r>
    </w:p>
    <w:p w14:paraId="6D273B55" w14:textId="77777777" w:rsidR="00E255F5" w:rsidRPr="00E255F5" w:rsidRDefault="00E255F5" w:rsidP="00E255F5">
      <w:pPr>
        <w:pStyle w:val="Bibliography"/>
      </w:pPr>
      <w:r w:rsidRPr="00E255F5">
        <w:t xml:space="preserve">Brodie, J. F., Bello, C., Emer, C., Galetti, M., Luskin, M. S., Osuri, A., Peres, C. A., Stoll, A., Villar, N., &amp; López, A. (2025). Defaunation impacts on the carbon balance of tropical forests. </w:t>
      </w:r>
      <w:r w:rsidRPr="00E255F5">
        <w:rPr>
          <w:i/>
          <w:iCs/>
        </w:rPr>
        <w:t>Conservation Biology</w:t>
      </w:r>
      <w:r w:rsidRPr="00E255F5">
        <w:t xml:space="preserve">, </w:t>
      </w:r>
      <w:r w:rsidRPr="00E255F5">
        <w:rPr>
          <w:i/>
          <w:iCs/>
        </w:rPr>
        <w:t>39</w:t>
      </w:r>
      <w:r w:rsidRPr="00E255F5">
        <w:t>(1), e14414. https://doi.org/10.1111/cobi.14414</w:t>
      </w:r>
    </w:p>
    <w:p w14:paraId="151C2617" w14:textId="77777777" w:rsidR="00E255F5" w:rsidRPr="00E255F5" w:rsidRDefault="00E255F5" w:rsidP="00E255F5">
      <w:pPr>
        <w:pStyle w:val="Bibliography"/>
      </w:pPr>
      <w:r w:rsidRPr="00E255F5">
        <w:t xml:space="preserve">CaraDonna, P. J., Petry, W. K., Brennan, R. M., Cunningham, J. L., Bronstein, J. L., Waser, N. M., &amp; Sanders, N. J. (2017). Interaction rewiring and the rapid turnover of plant–pollinator networks. </w:t>
      </w:r>
      <w:r w:rsidRPr="00E255F5">
        <w:rPr>
          <w:i/>
          <w:iCs/>
        </w:rPr>
        <w:t>Ecology Letters</w:t>
      </w:r>
      <w:r w:rsidRPr="00E255F5">
        <w:t xml:space="preserve">, </w:t>
      </w:r>
      <w:r w:rsidRPr="00E255F5">
        <w:rPr>
          <w:i/>
          <w:iCs/>
        </w:rPr>
        <w:t>20</w:t>
      </w:r>
      <w:r w:rsidRPr="00E255F5">
        <w:t>(3), 385–394. https://doi.org/10.1111/ele.12740</w:t>
      </w:r>
    </w:p>
    <w:p w14:paraId="73EDFDB8" w14:textId="77777777" w:rsidR="00E255F5" w:rsidRPr="00E255F5" w:rsidRDefault="00E255F5" w:rsidP="00E255F5">
      <w:pPr>
        <w:pStyle w:val="Bibliography"/>
      </w:pPr>
      <w:r w:rsidRPr="00E255F5">
        <w:t xml:space="preserve">Chamberlain, S. A., Bronstein, J. L., &amp; Rudgers, J. A. (2014). How context dependent are species interactions? </w:t>
      </w:r>
      <w:r w:rsidRPr="00E255F5">
        <w:rPr>
          <w:i/>
          <w:iCs/>
        </w:rPr>
        <w:t>Ecology Letters</w:t>
      </w:r>
      <w:r w:rsidRPr="00E255F5">
        <w:t xml:space="preserve">, </w:t>
      </w:r>
      <w:r w:rsidRPr="00E255F5">
        <w:rPr>
          <w:i/>
          <w:iCs/>
        </w:rPr>
        <w:t>17</w:t>
      </w:r>
      <w:r w:rsidRPr="00E255F5">
        <w:t>(7), 881–890. https://doi.org/10.1111/ele.12279</w:t>
      </w:r>
    </w:p>
    <w:p w14:paraId="0C2B72FC" w14:textId="77777777" w:rsidR="00E255F5" w:rsidRPr="00E255F5" w:rsidRDefault="00E255F5" w:rsidP="00E255F5">
      <w:pPr>
        <w:pStyle w:val="Bibliography"/>
      </w:pPr>
      <w:r w:rsidRPr="00E255F5">
        <w:t xml:space="preserve">Cornell Lab of Ornithology. (2024a). </w:t>
      </w:r>
      <w:r w:rsidRPr="00E255F5">
        <w:rPr>
          <w:i/>
          <w:iCs/>
        </w:rPr>
        <w:t>eBird Basic Dataset</w:t>
      </w:r>
      <w:r w:rsidRPr="00E255F5">
        <w:t xml:space="preserve"> (Version EBD_relJun-2024) [Dataset].</w:t>
      </w:r>
    </w:p>
    <w:p w14:paraId="79E6D9AD" w14:textId="77777777" w:rsidR="00E255F5" w:rsidRPr="00E255F5" w:rsidRDefault="00E255F5" w:rsidP="00E255F5">
      <w:pPr>
        <w:pStyle w:val="Bibliography"/>
      </w:pPr>
      <w:r w:rsidRPr="00E255F5">
        <w:t xml:space="preserve">Cornell Lab of Ornithology. (2024b). </w:t>
      </w:r>
      <w:r w:rsidRPr="00E255F5">
        <w:rPr>
          <w:i/>
          <w:iCs/>
        </w:rPr>
        <w:t>eBird Basic Dataset</w:t>
      </w:r>
      <w:r w:rsidRPr="00E255F5">
        <w:t xml:space="preserve"> (Version EBD_relMay-2024) [Dataset].</w:t>
      </w:r>
    </w:p>
    <w:p w14:paraId="2839C187" w14:textId="77777777" w:rsidR="00E255F5" w:rsidRPr="00E255F5" w:rsidRDefault="00E255F5" w:rsidP="00E255F5">
      <w:pPr>
        <w:pStyle w:val="Bibliography"/>
      </w:pPr>
      <w:r w:rsidRPr="00E255F5">
        <w:t xml:space="preserve">Curtis, S. M. (2010). </w:t>
      </w:r>
      <w:r w:rsidRPr="00E255F5">
        <w:rPr>
          <w:i/>
          <w:iCs/>
        </w:rPr>
        <w:t>mcmcplots: Create Plots from MCMC Output</w:t>
      </w:r>
      <w:r w:rsidRPr="00E255F5">
        <w:t xml:space="preserve"> (p. 0.4.3) [Dataset]. https://doi.org/10.32614/CRAN.package.mcmcplots</w:t>
      </w:r>
    </w:p>
    <w:p w14:paraId="4AC21F4D" w14:textId="77777777" w:rsidR="00E255F5" w:rsidRPr="00E255F5" w:rsidRDefault="00E255F5" w:rsidP="00E255F5">
      <w:pPr>
        <w:pStyle w:val="Bibliography"/>
      </w:pPr>
      <w:r w:rsidRPr="00E255F5">
        <w:lastRenderedPageBreak/>
        <w:t xml:space="preserve">Cusser, S., Helms, J., Bahlai, C. A., &amp; Haddad, N. M. (2021). How long do population level field experiments need to be? Utilising data from the 40‐year‐old LTER network. </w:t>
      </w:r>
      <w:r w:rsidRPr="00E255F5">
        <w:rPr>
          <w:i/>
          <w:iCs/>
        </w:rPr>
        <w:t>Ecology Letters</w:t>
      </w:r>
      <w:r w:rsidRPr="00E255F5">
        <w:t xml:space="preserve">, </w:t>
      </w:r>
      <w:r w:rsidRPr="00E255F5">
        <w:rPr>
          <w:i/>
          <w:iCs/>
        </w:rPr>
        <w:t>24</w:t>
      </w:r>
      <w:r w:rsidRPr="00E255F5">
        <w:t>(5), 1103–1111. https://doi.org/10.1111/ele.13710</w:t>
      </w:r>
    </w:p>
    <w:p w14:paraId="14379CD9" w14:textId="77777777" w:rsidR="00E255F5" w:rsidRPr="00E255F5" w:rsidRDefault="00E255F5" w:rsidP="00E255F5">
      <w:pPr>
        <w:pStyle w:val="Bibliography"/>
      </w:pPr>
      <w:r w:rsidRPr="00E255F5">
        <w:t xml:space="preserve">D’Alelio, D., Hay Mele, B., Libralato, S., Ribera d’Alcalà, M., &amp; Jordán, F. (2019). Rewiring and indirect effects underpin modularity reshuffling in a marine food web under environmental shifts. </w:t>
      </w:r>
      <w:r w:rsidRPr="00E255F5">
        <w:rPr>
          <w:i/>
          <w:iCs/>
        </w:rPr>
        <w:t>Ecology and Evolution</w:t>
      </w:r>
      <w:r w:rsidRPr="00E255F5">
        <w:t xml:space="preserve">, </w:t>
      </w:r>
      <w:r w:rsidRPr="00E255F5">
        <w:rPr>
          <w:i/>
          <w:iCs/>
        </w:rPr>
        <w:t>9</w:t>
      </w:r>
      <w:r w:rsidRPr="00E255F5">
        <w:t>(20), 11631–11646. https://doi.org/10.1002/ece3.5641</w:t>
      </w:r>
    </w:p>
    <w:p w14:paraId="3488FC70" w14:textId="77777777" w:rsidR="00E255F5" w:rsidRPr="00E255F5" w:rsidRDefault="00E255F5" w:rsidP="00E255F5">
      <w:pPr>
        <w:pStyle w:val="Bibliography"/>
      </w:pPr>
      <w:r w:rsidRPr="00E255F5">
        <w:t xml:space="preserve">Donoso, I., Sorensen, M. C., Blendinger, P. G., Kissling, W. D., Neuschulz, E. L., Mueller, T., &amp; Schleuning, M. (2020). Downsizing of animal communities triggers stronger functional than structural decay in seed-dispersal networks. </w:t>
      </w:r>
      <w:r w:rsidRPr="00E255F5">
        <w:rPr>
          <w:i/>
          <w:iCs/>
        </w:rPr>
        <w:t>Nature Communications</w:t>
      </w:r>
      <w:r w:rsidRPr="00E255F5">
        <w:t xml:space="preserve">, </w:t>
      </w:r>
      <w:r w:rsidRPr="00E255F5">
        <w:rPr>
          <w:i/>
          <w:iCs/>
        </w:rPr>
        <w:t>11</w:t>
      </w:r>
      <w:r w:rsidRPr="00E255F5">
        <w:t>(1), 1582. https://doi.org/10.1038/s41467-020-15438-y</w:t>
      </w:r>
    </w:p>
    <w:p w14:paraId="064912BB" w14:textId="77777777" w:rsidR="00E255F5" w:rsidRPr="00E255F5" w:rsidRDefault="00E255F5" w:rsidP="00E255F5">
      <w:pPr>
        <w:pStyle w:val="Bibliography"/>
      </w:pPr>
      <w:r w:rsidRPr="00E255F5">
        <w:t xml:space="preserve">Elith, J., &amp; Leathwick, J. R. (2009). Species Distribution Models: Ecological Explanation and Prediction Across Space and Time. </w:t>
      </w:r>
      <w:r w:rsidRPr="00E255F5">
        <w:rPr>
          <w:i/>
          <w:iCs/>
        </w:rPr>
        <w:t>Annual Review of Ecology, Evolution, and Systematics</w:t>
      </w:r>
      <w:r w:rsidRPr="00E255F5">
        <w:t xml:space="preserve">, </w:t>
      </w:r>
      <w:r w:rsidRPr="00E255F5">
        <w:rPr>
          <w:i/>
          <w:iCs/>
        </w:rPr>
        <w:t>40</w:t>
      </w:r>
      <w:r w:rsidRPr="00E255F5">
        <w:t>(1), 677–697. https://doi.org/10.1146/annurev.ecolsys.110308.120159</w:t>
      </w:r>
    </w:p>
    <w:p w14:paraId="3C6052B2" w14:textId="77777777" w:rsidR="00E255F5" w:rsidRPr="00E255F5" w:rsidRDefault="00E255F5" w:rsidP="00E255F5">
      <w:pPr>
        <w:pStyle w:val="Bibliography"/>
      </w:pPr>
      <w:r w:rsidRPr="00E255F5">
        <w:t xml:space="preserve">Essl, F., Dullinger, S., Rabitsch, W., Hulme, P. E., Pyšek, P., Wilson, J. R. U., &amp; Richardson, D. M. (2015). Historical legacies accumulate to shape future biodiversity in an era of rapid global change. </w:t>
      </w:r>
      <w:r w:rsidRPr="00E255F5">
        <w:rPr>
          <w:i/>
          <w:iCs/>
        </w:rPr>
        <w:t>Diversity and Distributions</w:t>
      </w:r>
      <w:r w:rsidRPr="00E255F5">
        <w:t xml:space="preserve">, </w:t>
      </w:r>
      <w:r w:rsidRPr="00E255F5">
        <w:rPr>
          <w:i/>
          <w:iCs/>
        </w:rPr>
        <w:t>21</w:t>
      </w:r>
      <w:r w:rsidRPr="00E255F5">
        <w:t>(5), 534–547. https://doi.org/10.1111/ddi.12312</w:t>
      </w:r>
    </w:p>
    <w:p w14:paraId="56514A6F" w14:textId="77777777" w:rsidR="00E255F5" w:rsidRPr="00E255F5" w:rsidRDefault="00E255F5" w:rsidP="00E255F5">
      <w:pPr>
        <w:pStyle w:val="Bibliography"/>
      </w:pPr>
      <w:r w:rsidRPr="00E255F5">
        <w:t xml:space="preserve">Evans, M. E. K., Dey, S. M. N., Heilman, K. A., Tipton, J. R., DeRose, R. J., Klesse, S., Schultz, E. L., &amp; Shaw, J. D. (2024). Tree rings reveal the transient risk of extinction hidden inside climate envelope forecasts. </w:t>
      </w:r>
      <w:r w:rsidRPr="00E255F5">
        <w:rPr>
          <w:i/>
          <w:iCs/>
        </w:rPr>
        <w:t>Proceedings of the National Academy of Sciences</w:t>
      </w:r>
      <w:r w:rsidRPr="00E255F5">
        <w:t xml:space="preserve">, </w:t>
      </w:r>
      <w:r w:rsidRPr="00E255F5">
        <w:rPr>
          <w:i/>
          <w:iCs/>
        </w:rPr>
        <w:t>121</w:t>
      </w:r>
      <w:r w:rsidRPr="00E255F5">
        <w:t>(24), e2315700121. https://doi.org/10.1073/pnas.2315700121</w:t>
      </w:r>
    </w:p>
    <w:p w14:paraId="07A16104" w14:textId="77777777" w:rsidR="00E255F5" w:rsidRPr="00E255F5" w:rsidRDefault="00E255F5" w:rsidP="00E255F5">
      <w:pPr>
        <w:pStyle w:val="Bibliography"/>
      </w:pPr>
      <w:r w:rsidRPr="00E255F5">
        <w:lastRenderedPageBreak/>
        <w:t xml:space="preserve">Fietz, J., Kager, T., &amp; Schauer, S. (2009). Is energy supply the trigger for reproductive activity in male edible dormice (Glis glis)? </w:t>
      </w:r>
      <w:r w:rsidRPr="00E255F5">
        <w:rPr>
          <w:i/>
          <w:iCs/>
        </w:rPr>
        <w:t>Journal of Comparative Physiology B</w:t>
      </w:r>
      <w:r w:rsidRPr="00E255F5">
        <w:t xml:space="preserve">, </w:t>
      </w:r>
      <w:r w:rsidRPr="00E255F5">
        <w:rPr>
          <w:i/>
          <w:iCs/>
        </w:rPr>
        <w:t>179</w:t>
      </w:r>
      <w:r w:rsidRPr="00E255F5">
        <w:t>(7), 829–837. https://doi.org/10.1007/s00360-009-0364-2</w:t>
      </w:r>
    </w:p>
    <w:p w14:paraId="55137E04" w14:textId="77777777" w:rsidR="00E255F5" w:rsidRPr="00E255F5" w:rsidRDefault="00E255F5" w:rsidP="00E255F5">
      <w:pPr>
        <w:pStyle w:val="Bibliography"/>
      </w:pPr>
      <w:r w:rsidRPr="00E255F5">
        <w:t xml:space="preserve">Fink, D., Auer, T., Johnston, A., Strimas-Mackey, M., Ligocki, S., Robinson, O., Hochachka, W., Jaromczyk, L., Crowley, C., Dunham, K., Stillman, A., Davis, C., Stokowski, M., Ruiz-Gutierrez, V., Wood, C., &amp; Rodewald, A. (2025). </w:t>
      </w:r>
      <w:r w:rsidRPr="00E255F5">
        <w:rPr>
          <w:i/>
          <w:iCs/>
        </w:rPr>
        <w:t>eBird Status and Trends, Data Version 2023</w:t>
      </w:r>
      <w:r w:rsidRPr="00E255F5">
        <w:t xml:space="preserve"> [Dataset]. Cornell Lab of Ornithology. https://doi.org/10.2173/WZTW8903</w:t>
      </w:r>
    </w:p>
    <w:p w14:paraId="67D635B2" w14:textId="77777777" w:rsidR="00E255F5" w:rsidRPr="00E255F5" w:rsidRDefault="00E255F5" w:rsidP="00E255F5">
      <w:pPr>
        <w:pStyle w:val="Bibliography"/>
      </w:pPr>
      <w:r w:rsidRPr="00E255F5">
        <w:t xml:space="preserve">Finn, C., Grattarola, F., &amp; Pincheira‐Donoso, D. (2023). More losers than winners: Investigating Anthropocene defaunation through the diversity of population trends. </w:t>
      </w:r>
      <w:r w:rsidRPr="00E255F5">
        <w:rPr>
          <w:i/>
          <w:iCs/>
        </w:rPr>
        <w:t>Biological Reviews</w:t>
      </w:r>
      <w:r w:rsidRPr="00E255F5">
        <w:t xml:space="preserve">, </w:t>
      </w:r>
      <w:r w:rsidRPr="00E255F5">
        <w:rPr>
          <w:i/>
          <w:iCs/>
        </w:rPr>
        <w:t>98</w:t>
      </w:r>
      <w:r w:rsidRPr="00E255F5">
        <w:t>(5), 1732–1748. https://doi.org/10.1111/brv.12974</w:t>
      </w:r>
    </w:p>
    <w:p w14:paraId="1FD6CA21" w14:textId="77777777" w:rsidR="00E255F5" w:rsidRPr="00E255F5" w:rsidRDefault="00E255F5" w:rsidP="00E255F5">
      <w:pPr>
        <w:pStyle w:val="Bibliography"/>
      </w:pPr>
      <w:r w:rsidRPr="00E255F5">
        <w:t xml:space="preserve">Foest, J. J., Bogdziewicz, M., Pesendorfer, M. B., Ascoli, D., Cutini, A., Nussbaumer, A., Verstraeten, A., Beudert, B., Chianucci, F., Mezzavilla, F., Gratzer, G., Kunstler, G., Meesenburg, H., Wagner, M., Mund, M., Cools, N., Vacek, S., Schmidt, W., Vacek, Z., &amp; Hacket‐Pain, A. (2024). Widespread breakdown in masting in European beech due to rising summer temperatures. </w:t>
      </w:r>
      <w:r w:rsidRPr="00E255F5">
        <w:rPr>
          <w:i/>
          <w:iCs/>
        </w:rPr>
        <w:t>Global Change Biology</w:t>
      </w:r>
      <w:r w:rsidRPr="00E255F5">
        <w:t xml:space="preserve">, </w:t>
      </w:r>
      <w:r w:rsidRPr="00E255F5">
        <w:rPr>
          <w:i/>
          <w:iCs/>
        </w:rPr>
        <w:t>30</w:t>
      </w:r>
      <w:r w:rsidRPr="00E255F5">
        <w:t>(5), e17307. https://doi.org/10.1111/gcb.17307</w:t>
      </w:r>
    </w:p>
    <w:p w14:paraId="0E150D03" w14:textId="77777777" w:rsidR="00E255F5" w:rsidRPr="00E255F5" w:rsidRDefault="00E255F5" w:rsidP="00E255F5">
      <w:pPr>
        <w:pStyle w:val="Bibliography"/>
      </w:pPr>
      <w:r w:rsidRPr="00E255F5">
        <w:t xml:space="preserve">Gamelon, M., Focardi, S., Baubet, E., Brandt, S., Franzetti, B., Ronchi, F., Venner, S., Sæther, B.-E., &amp; Gaillard, J.-M. (2017). Reproductive allocation in pulsed-resource environments: A comparative study in two populations of wild boar. </w:t>
      </w:r>
      <w:r w:rsidRPr="00E255F5">
        <w:rPr>
          <w:i/>
          <w:iCs/>
        </w:rPr>
        <w:t>Oecologia</w:t>
      </w:r>
      <w:r w:rsidRPr="00E255F5">
        <w:t xml:space="preserve">, </w:t>
      </w:r>
      <w:r w:rsidRPr="00E255F5">
        <w:rPr>
          <w:i/>
          <w:iCs/>
        </w:rPr>
        <w:t>183</w:t>
      </w:r>
      <w:r w:rsidRPr="00E255F5">
        <w:t>(4), 1065–1076. https://doi.org/10.1007/s00442-017-3821-8</w:t>
      </w:r>
    </w:p>
    <w:p w14:paraId="58A0E855" w14:textId="77777777" w:rsidR="00E255F5" w:rsidRPr="00E255F5" w:rsidRDefault="00E255F5" w:rsidP="00E255F5">
      <w:pPr>
        <w:pStyle w:val="Bibliography"/>
      </w:pPr>
      <w:r w:rsidRPr="00E255F5">
        <w:t xml:space="preserve">Garfin, G., Jardine, A., Merideth, R., Black, M., &amp; LeRoy, S. (Eds.). (2013). </w:t>
      </w:r>
      <w:r w:rsidRPr="00E255F5">
        <w:rPr>
          <w:i/>
          <w:iCs/>
        </w:rPr>
        <w:t>Assessment of climate change in southwest United States: A report prepared for the National Climate Assessment</w:t>
      </w:r>
      <w:r w:rsidRPr="00E255F5">
        <w:t>. Island Press.</w:t>
      </w:r>
    </w:p>
    <w:p w14:paraId="2FFDE038" w14:textId="77777777" w:rsidR="00E255F5" w:rsidRPr="00E255F5" w:rsidRDefault="00E255F5" w:rsidP="00E255F5">
      <w:pPr>
        <w:pStyle w:val="Bibliography"/>
      </w:pPr>
      <w:r w:rsidRPr="00E255F5">
        <w:lastRenderedPageBreak/>
        <w:t xml:space="preserve">Gelman, A., &amp; Rubin, D. B. (1992). Inference from Iterative Simulation Using Multiple Sequences. </w:t>
      </w:r>
      <w:r w:rsidRPr="00E255F5">
        <w:rPr>
          <w:i/>
          <w:iCs/>
        </w:rPr>
        <w:t>Statistical Science</w:t>
      </w:r>
      <w:r w:rsidRPr="00E255F5">
        <w:t xml:space="preserve">, </w:t>
      </w:r>
      <w:r w:rsidRPr="00E255F5">
        <w:rPr>
          <w:i/>
          <w:iCs/>
        </w:rPr>
        <w:t>7</w:t>
      </w:r>
      <w:r w:rsidRPr="00E255F5">
        <w:t>(4). https://doi.org/10.1214/ss/1177011136</w:t>
      </w:r>
    </w:p>
    <w:p w14:paraId="398F87EE" w14:textId="77777777" w:rsidR="00E255F5" w:rsidRPr="00E255F5" w:rsidRDefault="00E255F5" w:rsidP="00E255F5">
      <w:pPr>
        <w:pStyle w:val="Bibliography"/>
      </w:pPr>
      <w:r w:rsidRPr="00E255F5">
        <w:t xml:space="preserve">Hacket-Pain, A., &amp; Bogdziewicz, M. (2021). Climate change and plant reproduction: Trends and drivers of mast seeding change. </w:t>
      </w:r>
      <w:r w:rsidRPr="00E255F5">
        <w:rPr>
          <w:i/>
          <w:iCs/>
        </w:rPr>
        <w:t>Philosophical Transactions of the Royal Society B: Biological Sciences</w:t>
      </w:r>
      <w:r w:rsidRPr="00E255F5">
        <w:t xml:space="preserve">, </w:t>
      </w:r>
      <w:r w:rsidRPr="00E255F5">
        <w:rPr>
          <w:i/>
          <w:iCs/>
        </w:rPr>
        <w:t>376</w:t>
      </w:r>
      <w:r w:rsidRPr="00E255F5">
        <w:t>(1839), 20200379. https://doi.org/10.1098/rstb.2020.0379</w:t>
      </w:r>
    </w:p>
    <w:p w14:paraId="525E8928" w14:textId="77777777" w:rsidR="00E255F5" w:rsidRPr="00E255F5" w:rsidRDefault="00E255F5" w:rsidP="00E255F5">
      <w:pPr>
        <w:pStyle w:val="Bibliography"/>
      </w:pPr>
      <w:r w:rsidRPr="00E255F5">
        <w:t xml:space="preserve">Hallworth, M. T., Sirén, A. P. K., DeLuca, W. V., Duclos, T. R., McFarland, K. P., Hill, J. M., Rimmer, C. C., &amp; Morelli, T. L. (2024). Boom and bust: The effects of masting on seed predator range dynamics and trophic cascades. </w:t>
      </w:r>
      <w:r w:rsidRPr="00E255F5">
        <w:rPr>
          <w:i/>
          <w:iCs/>
        </w:rPr>
        <w:t>Diversity and Distributions</w:t>
      </w:r>
      <w:r w:rsidRPr="00E255F5">
        <w:t xml:space="preserve">, </w:t>
      </w:r>
      <w:r w:rsidRPr="00E255F5">
        <w:rPr>
          <w:i/>
          <w:iCs/>
        </w:rPr>
        <w:t>30</w:t>
      </w:r>
      <w:r w:rsidRPr="00E255F5">
        <w:t>(8), e13861. https://doi.org/10.1111/ddi.13861</w:t>
      </w:r>
    </w:p>
    <w:p w14:paraId="0FC09941" w14:textId="77777777" w:rsidR="00E255F5" w:rsidRPr="00E255F5" w:rsidRDefault="00E255F5" w:rsidP="00E255F5">
      <w:pPr>
        <w:pStyle w:val="Bibliography"/>
      </w:pPr>
      <w:r w:rsidRPr="00E255F5">
        <w:t xml:space="preserve">Hijmans, R. J., &amp; Graham, C. H. (2006). The ability of climate envelope models to predict the effect of climate change on species distributions. </w:t>
      </w:r>
      <w:r w:rsidRPr="00E255F5">
        <w:rPr>
          <w:i/>
          <w:iCs/>
        </w:rPr>
        <w:t>Global Change Biology</w:t>
      </w:r>
      <w:r w:rsidRPr="00E255F5">
        <w:t xml:space="preserve">, </w:t>
      </w:r>
      <w:r w:rsidRPr="00E255F5">
        <w:rPr>
          <w:i/>
          <w:iCs/>
        </w:rPr>
        <w:t>12</w:t>
      </w:r>
      <w:r w:rsidRPr="00E255F5">
        <w:t>(12), 2272–2281. https://doi.org/10.1111/j.1365-2486.2006.01256.x</w:t>
      </w:r>
    </w:p>
    <w:p w14:paraId="6AC3FE4B" w14:textId="77777777" w:rsidR="00E255F5" w:rsidRPr="00E255F5" w:rsidRDefault="00E255F5" w:rsidP="00E255F5">
      <w:pPr>
        <w:pStyle w:val="Bibliography"/>
      </w:pPr>
      <w:r w:rsidRPr="00E255F5">
        <w:t xml:space="preserve">Hirzel, A. H., &amp; Le Lay, G. (2008). Habitat suitability modelling and niche theory. </w:t>
      </w:r>
      <w:r w:rsidRPr="00E255F5">
        <w:rPr>
          <w:i/>
          <w:iCs/>
        </w:rPr>
        <w:t>Journal of Applied Ecology</w:t>
      </w:r>
      <w:r w:rsidRPr="00E255F5">
        <w:t xml:space="preserve">, </w:t>
      </w:r>
      <w:r w:rsidRPr="00E255F5">
        <w:rPr>
          <w:i/>
          <w:iCs/>
        </w:rPr>
        <w:t>45</w:t>
      </w:r>
      <w:r w:rsidRPr="00E255F5">
        <w:t>(5), 1372–1381. https://doi.org/10.1111/j.1365-2664.2008.01524.x</w:t>
      </w:r>
    </w:p>
    <w:p w14:paraId="7BFF7F79" w14:textId="77777777" w:rsidR="00E255F5" w:rsidRPr="00E255F5" w:rsidRDefault="00E255F5" w:rsidP="00E255F5">
      <w:pPr>
        <w:pStyle w:val="Bibliography"/>
      </w:pPr>
      <w:r w:rsidRPr="00E255F5">
        <w:t xml:space="preserve">Hochachka, W. M., Ruiz-Gutierrez, V., &amp; Johnston, A. (2023). Considerations for fitting occupancy models to data from eBird and similar volunteer-collected data. </w:t>
      </w:r>
      <w:r w:rsidRPr="00E255F5">
        <w:rPr>
          <w:i/>
          <w:iCs/>
        </w:rPr>
        <w:t>Ornithology</w:t>
      </w:r>
      <w:r w:rsidRPr="00E255F5">
        <w:t xml:space="preserve">, </w:t>
      </w:r>
      <w:r w:rsidRPr="00E255F5">
        <w:rPr>
          <w:i/>
          <w:iCs/>
        </w:rPr>
        <w:t>140</w:t>
      </w:r>
      <w:r w:rsidRPr="00E255F5">
        <w:t>(4). https://doi.org/10.1093/ornithology/ukad035</w:t>
      </w:r>
    </w:p>
    <w:p w14:paraId="13CA4B4E" w14:textId="77777777" w:rsidR="00E255F5" w:rsidRPr="00E255F5" w:rsidRDefault="00E255F5" w:rsidP="00E255F5">
      <w:pPr>
        <w:pStyle w:val="Bibliography"/>
      </w:pPr>
      <w:r w:rsidRPr="00E255F5">
        <w:t xml:space="preserve">Hogue, A. S., &amp; Breon, K. (2022). The greatest threats to species. </w:t>
      </w:r>
      <w:r w:rsidRPr="00E255F5">
        <w:rPr>
          <w:i/>
          <w:iCs/>
        </w:rPr>
        <w:t>Conservation Science and Practice</w:t>
      </w:r>
      <w:r w:rsidRPr="00E255F5">
        <w:t xml:space="preserve">, </w:t>
      </w:r>
      <w:r w:rsidRPr="00E255F5">
        <w:rPr>
          <w:i/>
          <w:iCs/>
        </w:rPr>
        <w:t>4</w:t>
      </w:r>
      <w:r w:rsidRPr="00E255F5">
        <w:t>(5), e12670. https://doi.org/10.1111/csp2.12670</w:t>
      </w:r>
    </w:p>
    <w:p w14:paraId="52B7BD09" w14:textId="77777777" w:rsidR="00E255F5" w:rsidRPr="00E255F5" w:rsidRDefault="00E255F5" w:rsidP="00E255F5">
      <w:pPr>
        <w:pStyle w:val="Bibliography"/>
      </w:pPr>
      <w:r w:rsidRPr="00E255F5">
        <w:t xml:space="preserve">Jaureguiberry, P., Titeux, N., Wiemers, M., Bowler, D. E., Coscieme, L., Golden, A. S., Guerra, C. A., Jacob, U., Takahashi, Y., Settele, J., Díaz, S., Molnár, Z., &amp; Purvis, A. (2022). The direct drivers of recent global anthropogenic biodiversity loss. </w:t>
      </w:r>
      <w:r w:rsidRPr="00E255F5">
        <w:rPr>
          <w:i/>
          <w:iCs/>
        </w:rPr>
        <w:t>Science Advances</w:t>
      </w:r>
      <w:r w:rsidRPr="00E255F5">
        <w:t xml:space="preserve">, </w:t>
      </w:r>
      <w:r w:rsidRPr="00E255F5">
        <w:rPr>
          <w:i/>
          <w:iCs/>
        </w:rPr>
        <w:t>8</w:t>
      </w:r>
      <w:r w:rsidRPr="00E255F5">
        <w:t>(45), eabm9982. https://doi.org/10.1126/sciadv.abm9982</w:t>
      </w:r>
    </w:p>
    <w:p w14:paraId="6DDBE9F8" w14:textId="77777777" w:rsidR="00E255F5" w:rsidRPr="00E255F5" w:rsidRDefault="00E255F5" w:rsidP="00E255F5">
      <w:pPr>
        <w:pStyle w:val="Bibliography"/>
      </w:pPr>
      <w:r w:rsidRPr="00E255F5">
        <w:lastRenderedPageBreak/>
        <w:t xml:space="preserve">Johnson, K., Neville, T. B., Smith, J. W., &amp; Horner, M. W. (2016). Home range- and colony-scale habitat models for Pinyon Jays in piñon-juniper woodlands of New Mexico, USA. </w:t>
      </w:r>
      <w:r w:rsidRPr="00E255F5">
        <w:rPr>
          <w:i/>
          <w:iCs/>
        </w:rPr>
        <w:t>Avian Conservation and Ecology</w:t>
      </w:r>
      <w:r w:rsidRPr="00E255F5">
        <w:t xml:space="preserve">, </w:t>
      </w:r>
      <w:r w:rsidRPr="00E255F5">
        <w:rPr>
          <w:i/>
          <w:iCs/>
        </w:rPr>
        <w:t>11</w:t>
      </w:r>
      <w:r w:rsidRPr="00E255F5">
        <w:t>(2). https://doi.org/10.5751/ace-00890-110206</w:t>
      </w:r>
    </w:p>
    <w:p w14:paraId="28ABB7EC" w14:textId="77777777" w:rsidR="00E255F5" w:rsidRPr="00E255F5" w:rsidRDefault="00E255F5" w:rsidP="00E255F5">
      <w:pPr>
        <w:pStyle w:val="Bibliography"/>
      </w:pPr>
      <w:r w:rsidRPr="00E255F5">
        <w:t xml:space="preserve">Kehoe, R., Frago, E., &amp; Sanders, D. (2021). Cascading extinctions as a hidden driver of insect decline. </w:t>
      </w:r>
      <w:r w:rsidRPr="00E255F5">
        <w:rPr>
          <w:i/>
          <w:iCs/>
        </w:rPr>
        <w:t>Ecological Entomology</w:t>
      </w:r>
      <w:r w:rsidRPr="00E255F5">
        <w:t xml:space="preserve">, </w:t>
      </w:r>
      <w:r w:rsidRPr="00E255F5">
        <w:rPr>
          <w:i/>
          <w:iCs/>
        </w:rPr>
        <w:t>46</w:t>
      </w:r>
      <w:r w:rsidRPr="00E255F5">
        <w:t>(4), 743–756. https://doi.org/10.1111/een.12985</w:t>
      </w:r>
    </w:p>
    <w:p w14:paraId="5EBB90B4" w14:textId="77777777" w:rsidR="00E255F5" w:rsidRPr="00E255F5" w:rsidRDefault="00E255F5" w:rsidP="00E255F5">
      <w:pPr>
        <w:pStyle w:val="Bibliography"/>
      </w:pPr>
      <w:r w:rsidRPr="00E255F5">
        <w:t xml:space="preserve">Kellner, K. (2021). </w:t>
      </w:r>
      <w:r w:rsidRPr="00E255F5">
        <w:rPr>
          <w:i/>
          <w:iCs/>
        </w:rPr>
        <w:t>jagsUI: a wrapper around “rjags” to streamline JAGS analyses</w:t>
      </w:r>
      <w:r w:rsidRPr="00E255F5">
        <w:t xml:space="preserve"> (Version 1.5.2) [R]. https://CRAN.R-project.org/package=jagsUI</w:t>
      </w:r>
    </w:p>
    <w:p w14:paraId="5CAB3D87" w14:textId="77777777" w:rsidR="00E255F5" w:rsidRPr="00E255F5" w:rsidRDefault="00E255F5" w:rsidP="00E255F5">
      <w:pPr>
        <w:pStyle w:val="Bibliography"/>
      </w:pPr>
      <w:r w:rsidRPr="00E255F5">
        <w:t xml:space="preserve">Kelly, D., &amp; Sork, V. L. (2002). Mast Seeding in Perennial Plants: Why, How, Where? </w:t>
      </w:r>
      <w:r w:rsidRPr="00E255F5">
        <w:rPr>
          <w:i/>
          <w:iCs/>
        </w:rPr>
        <w:t>Annual Review of Ecology and Systematics</w:t>
      </w:r>
      <w:r w:rsidRPr="00E255F5">
        <w:t xml:space="preserve">, </w:t>
      </w:r>
      <w:r w:rsidRPr="00E255F5">
        <w:rPr>
          <w:i/>
          <w:iCs/>
        </w:rPr>
        <w:t>33</w:t>
      </w:r>
      <w:r w:rsidRPr="00E255F5">
        <w:t>(1), 427–447. https://doi.org/10.1146/annurev.ecolsys.33.020602.095433</w:t>
      </w:r>
    </w:p>
    <w:p w14:paraId="306452B7" w14:textId="77777777" w:rsidR="00E255F5" w:rsidRPr="00E255F5" w:rsidRDefault="00E255F5" w:rsidP="00E255F5">
      <w:pPr>
        <w:pStyle w:val="Bibliography"/>
      </w:pPr>
      <w:r w:rsidRPr="00E255F5">
        <w:t xml:space="preserve">Kéry, M., &amp; Schmidt, B. (2008). Imperfect detection and its consequences for monitoring for conservation. </w:t>
      </w:r>
      <w:r w:rsidRPr="00E255F5">
        <w:rPr>
          <w:i/>
          <w:iCs/>
        </w:rPr>
        <w:t>Community Ecology</w:t>
      </w:r>
      <w:r w:rsidRPr="00E255F5">
        <w:t xml:space="preserve">, </w:t>
      </w:r>
      <w:r w:rsidRPr="00E255F5">
        <w:rPr>
          <w:i/>
          <w:iCs/>
        </w:rPr>
        <w:t>9</w:t>
      </w:r>
      <w:r w:rsidRPr="00E255F5">
        <w:t>(2), 207–216. https://doi.org/10.1556/ComEc.9.2008.2.10</w:t>
      </w:r>
    </w:p>
    <w:p w14:paraId="13C5F4D3" w14:textId="77777777" w:rsidR="00E255F5" w:rsidRPr="00E255F5" w:rsidRDefault="00E255F5" w:rsidP="00E255F5">
      <w:pPr>
        <w:pStyle w:val="Bibliography"/>
      </w:pPr>
      <w:r w:rsidRPr="00E255F5">
        <w:t xml:space="preserve">Langendorf, R. E., Estes, J. A., Watson, J. C., Kenner, M. C., Hatfield, B. B., Tinker, M. T., Waddle, E., DeMarche, M. L., &amp; Doak, D. F. (2025). Dynamic and context-dependent keystone species effects in kelp forests. </w:t>
      </w:r>
      <w:r w:rsidRPr="00E255F5">
        <w:rPr>
          <w:i/>
          <w:iCs/>
        </w:rPr>
        <w:t>Proceedings of the National Academy of Sciences</w:t>
      </w:r>
      <w:r w:rsidRPr="00E255F5">
        <w:t xml:space="preserve">, </w:t>
      </w:r>
      <w:r w:rsidRPr="00E255F5">
        <w:rPr>
          <w:i/>
          <w:iCs/>
        </w:rPr>
        <w:t>122</w:t>
      </w:r>
      <w:r w:rsidRPr="00E255F5">
        <w:t>(10), e2413360122. https://doi.org/10.1073/pnas.2413360122</w:t>
      </w:r>
    </w:p>
    <w:p w14:paraId="2C4DFAED" w14:textId="77777777" w:rsidR="00E255F5" w:rsidRPr="00E255F5" w:rsidRDefault="00E255F5" w:rsidP="00E255F5">
      <w:pPr>
        <w:pStyle w:val="Bibliography"/>
      </w:pPr>
      <w:r w:rsidRPr="00E255F5">
        <w:t xml:space="preserve">Lee‐Yaw, J. A., McCune, J. L., Pironon, S., &amp; Sheth, S. N. (2022). Species distribution models rarely predict the biology of real populations. </w:t>
      </w:r>
      <w:r w:rsidRPr="00E255F5">
        <w:rPr>
          <w:i/>
          <w:iCs/>
        </w:rPr>
        <w:t>Ecography</w:t>
      </w:r>
      <w:r w:rsidRPr="00E255F5">
        <w:t xml:space="preserve">, </w:t>
      </w:r>
      <w:r w:rsidRPr="00E255F5">
        <w:rPr>
          <w:i/>
          <w:iCs/>
        </w:rPr>
        <w:t>2022</w:t>
      </w:r>
      <w:r w:rsidRPr="00E255F5">
        <w:t>(6). https://doi.org/10.1111/ecog.05877</w:t>
      </w:r>
    </w:p>
    <w:p w14:paraId="46A01962" w14:textId="77777777" w:rsidR="00E255F5" w:rsidRPr="00E255F5" w:rsidRDefault="00E255F5" w:rsidP="00E255F5">
      <w:pPr>
        <w:pStyle w:val="Bibliography"/>
      </w:pPr>
      <w:r w:rsidRPr="00E255F5">
        <w:t xml:space="preserve">Leopold, A. (1949). </w:t>
      </w:r>
      <w:r w:rsidRPr="00E255F5">
        <w:rPr>
          <w:i/>
          <w:iCs/>
        </w:rPr>
        <w:t>A Sand county almanac and sketches here and there</w:t>
      </w:r>
      <w:r w:rsidRPr="00E255F5">
        <w:t>. OUP.</w:t>
      </w:r>
    </w:p>
    <w:p w14:paraId="06FAA2CA" w14:textId="77777777" w:rsidR="00E255F5" w:rsidRPr="00E255F5" w:rsidRDefault="00E255F5" w:rsidP="00E255F5">
      <w:pPr>
        <w:pStyle w:val="Bibliography"/>
      </w:pPr>
      <w:r w:rsidRPr="00E255F5">
        <w:t xml:space="preserve">Ligon, J. D. (1973). Foraging behavior of the white-headed woodpecker in Idaho. </w:t>
      </w:r>
      <w:r w:rsidRPr="00E255F5">
        <w:rPr>
          <w:i/>
          <w:iCs/>
        </w:rPr>
        <w:t>The Auk</w:t>
      </w:r>
      <w:r w:rsidRPr="00E255F5">
        <w:t xml:space="preserve">, </w:t>
      </w:r>
      <w:r w:rsidRPr="00E255F5">
        <w:rPr>
          <w:i/>
          <w:iCs/>
        </w:rPr>
        <w:t>90</w:t>
      </w:r>
      <w:r w:rsidRPr="00E255F5">
        <w:t>(4), 862–869.</w:t>
      </w:r>
    </w:p>
    <w:p w14:paraId="5843DF38" w14:textId="77777777" w:rsidR="00E255F5" w:rsidRPr="00E255F5" w:rsidRDefault="00E255F5" w:rsidP="00E255F5">
      <w:pPr>
        <w:pStyle w:val="Bibliography"/>
      </w:pPr>
      <w:r w:rsidRPr="00E255F5">
        <w:lastRenderedPageBreak/>
        <w:t xml:space="preserve">Ligon, J. D. (1978). Reproductive Interdependence of Pinon Jays and Pinon Pines. </w:t>
      </w:r>
      <w:r w:rsidRPr="00E255F5">
        <w:rPr>
          <w:i/>
          <w:iCs/>
        </w:rPr>
        <w:t>Ecological Monographs</w:t>
      </w:r>
      <w:r w:rsidRPr="00E255F5">
        <w:t xml:space="preserve">, </w:t>
      </w:r>
      <w:r w:rsidRPr="00E255F5">
        <w:rPr>
          <w:i/>
          <w:iCs/>
        </w:rPr>
        <w:t>48</w:t>
      </w:r>
      <w:r w:rsidRPr="00E255F5">
        <w:t>(2), 111–126. https://doi.org/10.2307/2937295</w:t>
      </w:r>
    </w:p>
    <w:p w14:paraId="3ED75E41" w14:textId="77777777" w:rsidR="00E255F5" w:rsidRPr="00E255F5" w:rsidRDefault="00E255F5" w:rsidP="00E255F5">
      <w:pPr>
        <w:pStyle w:val="Bibliography"/>
      </w:pPr>
      <w:r w:rsidRPr="00E255F5">
        <w:t xml:space="preserve">Lindén, A., Lehikoinen, A., Hokkanen, T., &amp; Väisänen, R. A. (2011). Modelling irruptions and population dynamics of the great spotted woodpecker – joint effects of density and cone crops. </w:t>
      </w:r>
      <w:r w:rsidRPr="00E255F5">
        <w:rPr>
          <w:i/>
          <w:iCs/>
        </w:rPr>
        <w:t>Oikos</w:t>
      </w:r>
      <w:r w:rsidRPr="00E255F5">
        <w:t xml:space="preserve">, </w:t>
      </w:r>
      <w:r w:rsidRPr="00E255F5">
        <w:rPr>
          <w:i/>
          <w:iCs/>
        </w:rPr>
        <w:t>120</w:t>
      </w:r>
      <w:r w:rsidRPr="00E255F5">
        <w:t>(7), 1065–1075. https://doi.org/10.1111/j.1600-0706.2010.18970.x</w:t>
      </w:r>
    </w:p>
    <w:p w14:paraId="6747C791" w14:textId="77777777" w:rsidR="00E255F5" w:rsidRPr="00E255F5" w:rsidRDefault="00E255F5" w:rsidP="00E255F5">
      <w:pPr>
        <w:pStyle w:val="Bibliography"/>
      </w:pPr>
      <w:r w:rsidRPr="00E255F5">
        <w:t xml:space="preserve">Liu, O. R., &amp; Gaines, S. D. (2022). Environmental context dependency in species interactions. </w:t>
      </w:r>
      <w:r w:rsidRPr="00E255F5">
        <w:rPr>
          <w:i/>
          <w:iCs/>
        </w:rPr>
        <w:t>Proceedings of the National Academy of Sciences</w:t>
      </w:r>
      <w:r w:rsidRPr="00E255F5">
        <w:t xml:space="preserve">, </w:t>
      </w:r>
      <w:r w:rsidRPr="00E255F5">
        <w:rPr>
          <w:i/>
          <w:iCs/>
        </w:rPr>
        <w:t>119</w:t>
      </w:r>
      <w:r w:rsidRPr="00E255F5">
        <w:t>(36), e2118539119. https://doi.org/10.1073/pnas.2118539119</w:t>
      </w:r>
    </w:p>
    <w:p w14:paraId="47BFEB5A" w14:textId="77777777" w:rsidR="00E255F5" w:rsidRPr="00E255F5" w:rsidRDefault="00E255F5" w:rsidP="00E255F5">
      <w:pPr>
        <w:pStyle w:val="Bibliography"/>
      </w:pPr>
      <w:r w:rsidRPr="00E255F5">
        <w:t xml:space="preserve">Marzluff, &amp; Balda, R. P. (1992). </w:t>
      </w:r>
      <w:r w:rsidRPr="00E255F5">
        <w:rPr>
          <w:i/>
          <w:iCs/>
        </w:rPr>
        <w:t>The Pinyon Jay: Behavioral Ecology of a Colonial and Cooperative Corvid</w:t>
      </w:r>
      <w:r w:rsidRPr="00E255F5">
        <w:t>. T &amp; AD Poyser Ltd.</w:t>
      </w:r>
    </w:p>
    <w:p w14:paraId="28B4C831" w14:textId="77777777" w:rsidR="00E255F5" w:rsidRPr="00E255F5" w:rsidRDefault="00E255F5" w:rsidP="00E255F5">
      <w:pPr>
        <w:pStyle w:val="Bibliography"/>
      </w:pPr>
      <w:r w:rsidRPr="00E255F5">
        <w:t xml:space="preserve">Marzluff, J. M. (1988). Do pinyon jays alter nest placement based on prior experience? </w:t>
      </w:r>
      <w:r w:rsidRPr="00E255F5">
        <w:rPr>
          <w:i/>
          <w:iCs/>
        </w:rPr>
        <w:t>Animal Behaviour</w:t>
      </w:r>
      <w:r w:rsidRPr="00E255F5">
        <w:t xml:space="preserve">, </w:t>
      </w:r>
      <w:r w:rsidRPr="00E255F5">
        <w:rPr>
          <w:i/>
          <w:iCs/>
        </w:rPr>
        <w:t>36</w:t>
      </w:r>
      <w:r w:rsidRPr="00E255F5">
        <w:t>(1), 1–10. https://doi.org/10.1016/s0003-3472(88)80244-6</w:t>
      </w:r>
    </w:p>
    <w:p w14:paraId="3A70DA3D" w14:textId="77777777" w:rsidR="00E255F5" w:rsidRPr="00E255F5" w:rsidRDefault="00E255F5" w:rsidP="00E255F5">
      <w:pPr>
        <w:pStyle w:val="Bibliography"/>
      </w:pPr>
      <w:r w:rsidRPr="00E255F5">
        <w:t xml:space="preserve">Marzluff, J. M., &amp; Balda, R. P. (1988). The Advantages of, and Constraints Forcing, Mate Fidelity in Pinyon Jays. </w:t>
      </w:r>
      <w:r w:rsidRPr="00E255F5">
        <w:rPr>
          <w:i/>
          <w:iCs/>
        </w:rPr>
        <w:t>The Auk</w:t>
      </w:r>
      <w:r w:rsidRPr="00E255F5">
        <w:t xml:space="preserve">, </w:t>
      </w:r>
      <w:r w:rsidRPr="00E255F5">
        <w:rPr>
          <w:i/>
          <w:iCs/>
        </w:rPr>
        <w:t>105</w:t>
      </w:r>
      <w:r w:rsidRPr="00E255F5">
        <w:t>(2), 286–295. https://doi.org/10.2307/4087492</w:t>
      </w:r>
    </w:p>
    <w:p w14:paraId="16713938" w14:textId="77777777" w:rsidR="00E255F5" w:rsidRPr="00E255F5" w:rsidRDefault="00E255F5" w:rsidP="00E255F5">
      <w:pPr>
        <w:pStyle w:val="Bibliography"/>
      </w:pPr>
      <w:r w:rsidRPr="00E255F5">
        <w:t xml:space="preserve">Maurer, G. E., Hallmark, A. J., Brown, R. F., Sala, O. E., &amp; Collins, S. L. (2020). Sensitivity of primary production to precipitation across the United States. </w:t>
      </w:r>
      <w:r w:rsidRPr="00E255F5">
        <w:rPr>
          <w:i/>
          <w:iCs/>
        </w:rPr>
        <w:t>Ecology Letters</w:t>
      </w:r>
      <w:r w:rsidRPr="00E255F5">
        <w:t xml:space="preserve">, </w:t>
      </w:r>
      <w:r w:rsidRPr="00E255F5">
        <w:rPr>
          <w:i/>
          <w:iCs/>
        </w:rPr>
        <w:t>23</w:t>
      </w:r>
      <w:r w:rsidRPr="00E255F5">
        <w:t>(3), 527–536. https://doi.org/10.1111/ele.13455</w:t>
      </w:r>
    </w:p>
    <w:p w14:paraId="10ACD1C5" w14:textId="77777777" w:rsidR="00E255F5" w:rsidRPr="00E255F5" w:rsidRDefault="00E255F5" w:rsidP="00E255F5">
      <w:pPr>
        <w:pStyle w:val="Bibliography"/>
      </w:pPr>
      <w:r w:rsidRPr="00E255F5">
        <w:t xml:space="preserve">McDermott, M. E., &amp; DeGroote, L. W. (2016). Long‐term climate impacts on breeding bird phenology in Pennsylvania, </w:t>
      </w:r>
      <w:r w:rsidRPr="00E255F5">
        <w:rPr>
          <w:smallCaps/>
        </w:rPr>
        <w:t>USA</w:t>
      </w:r>
      <w:r w:rsidRPr="00E255F5">
        <w:t xml:space="preserve">. </w:t>
      </w:r>
      <w:r w:rsidRPr="00E255F5">
        <w:rPr>
          <w:i/>
          <w:iCs/>
        </w:rPr>
        <w:t>Global Change Biology</w:t>
      </w:r>
      <w:r w:rsidRPr="00E255F5">
        <w:t xml:space="preserve">, </w:t>
      </w:r>
      <w:r w:rsidRPr="00E255F5">
        <w:rPr>
          <w:i/>
          <w:iCs/>
        </w:rPr>
        <w:t>22</w:t>
      </w:r>
      <w:r w:rsidRPr="00E255F5">
        <w:t>(10), 3304–3319. https://doi.org/10.1111/gcb.13363</w:t>
      </w:r>
    </w:p>
    <w:p w14:paraId="50F81D6D" w14:textId="77777777" w:rsidR="00E255F5" w:rsidRPr="00E255F5" w:rsidRDefault="00E255F5" w:rsidP="00E255F5">
      <w:pPr>
        <w:pStyle w:val="Bibliography"/>
      </w:pPr>
      <w:r w:rsidRPr="00E255F5">
        <w:t xml:space="preserve">Mcshea, W. J., Healy, W. M., Devers, P., Fearer, T., Koch, F. H., Stauffer, D., &amp; Waldon, J. (2007). Forestry Matters: Decline of Oaks Will Impact Wildlife in Hardwood Forests. </w:t>
      </w:r>
      <w:r w:rsidRPr="00E255F5">
        <w:rPr>
          <w:i/>
          <w:iCs/>
        </w:rPr>
        <w:lastRenderedPageBreak/>
        <w:t>The Journal of Wildlife Management</w:t>
      </w:r>
      <w:r w:rsidRPr="00E255F5">
        <w:t xml:space="preserve">, </w:t>
      </w:r>
      <w:r w:rsidRPr="00E255F5">
        <w:rPr>
          <w:i/>
          <w:iCs/>
        </w:rPr>
        <w:t>71</w:t>
      </w:r>
      <w:r w:rsidRPr="00E255F5">
        <w:t>(5), 1717–1728. https://doi.org/10.2193/2006-169</w:t>
      </w:r>
    </w:p>
    <w:p w14:paraId="598DB48A" w14:textId="77777777" w:rsidR="00E255F5" w:rsidRPr="00E255F5" w:rsidRDefault="00E255F5" w:rsidP="00E255F5">
      <w:pPr>
        <w:pStyle w:val="Bibliography"/>
      </w:pPr>
      <w:r w:rsidRPr="00E255F5">
        <w:t xml:space="preserve">Meddens, A. J. H., Hicke, J. A., Macalady, A. K., Buotte, P. C., Cowles, T. R., &amp; Allen, C. D. (2015). Patterns and causes of observed piñon pine mortality in the southwestern United States. </w:t>
      </w:r>
      <w:r w:rsidRPr="00E255F5">
        <w:rPr>
          <w:i/>
          <w:iCs/>
        </w:rPr>
        <w:t>New Phytologist</w:t>
      </w:r>
      <w:r w:rsidRPr="00E255F5">
        <w:t xml:space="preserve">, </w:t>
      </w:r>
      <w:r w:rsidRPr="00E255F5">
        <w:rPr>
          <w:i/>
          <w:iCs/>
        </w:rPr>
        <w:t>206</w:t>
      </w:r>
      <w:r w:rsidRPr="00E255F5">
        <w:t>(1), 91–97. https://doi.org/10.1111/nph.13193</w:t>
      </w:r>
    </w:p>
    <w:p w14:paraId="2C53F916" w14:textId="77777777" w:rsidR="00E255F5" w:rsidRPr="00E255F5" w:rsidRDefault="00E255F5" w:rsidP="00E255F5">
      <w:pPr>
        <w:pStyle w:val="Bibliography"/>
      </w:pPr>
      <w:r w:rsidRPr="00E255F5">
        <w:t xml:space="preserve">Michalet, R., Choler, P., Callaway, R. M., &amp; Whitham, T. G. (2021). Rainfall continentality, via the winter Gams angle, provides a new dimension to biogeographical distributions in the western United States. </w:t>
      </w:r>
      <w:r w:rsidRPr="00E255F5">
        <w:rPr>
          <w:i/>
          <w:iCs/>
        </w:rPr>
        <w:t>Global Ecology and Biogeography</w:t>
      </w:r>
      <w:r w:rsidRPr="00E255F5">
        <w:t xml:space="preserve">, </w:t>
      </w:r>
      <w:r w:rsidRPr="00E255F5">
        <w:rPr>
          <w:i/>
          <w:iCs/>
        </w:rPr>
        <w:t>30</w:t>
      </w:r>
      <w:r w:rsidRPr="00E255F5">
        <w:t>(2), 384–397. https://doi.org/10.1111/geb.13223</w:t>
      </w:r>
    </w:p>
    <w:p w14:paraId="2C878A80" w14:textId="77777777" w:rsidR="00E255F5" w:rsidRPr="00E255F5" w:rsidRDefault="00E255F5" w:rsidP="00E255F5">
      <w:pPr>
        <w:pStyle w:val="Bibliography"/>
      </w:pPr>
      <w:r w:rsidRPr="00E255F5">
        <w:t xml:space="preserve">Moore, C. M., &amp; Dittel, J. W. (2020). On mutualism, models, and masting: The effects of seed‐dispersing animals on the plants they disperse. </w:t>
      </w:r>
      <w:r w:rsidRPr="00E255F5">
        <w:rPr>
          <w:i/>
          <w:iCs/>
        </w:rPr>
        <w:t>Journal of Ecology</w:t>
      </w:r>
      <w:r w:rsidRPr="00E255F5">
        <w:t xml:space="preserve">, </w:t>
      </w:r>
      <w:r w:rsidRPr="00E255F5">
        <w:rPr>
          <w:i/>
          <w:iCs/>
        </w:rPr>
        <w:t>108</w:t>
      </w:r>
      <w:r w:rsidRPr="00E255F5">
        <w:t>(5), 1775–1783. https://doi.org/10.1111/1365-2745.13414</w:t>
      </w:r>
    </w:p>
    <w:p w14:paraId="66D90B3E" w14:textId="77777777" w:rsidR="00E255F5" w:rsidRPr="00E255F5" w:rsidRDefault="00E255F5" w:rsidP="00E255F5">
      <w:pPr>
        <w:pStyle w:val="Bibliography"/>
      </w:pPr>
      <w:r w:rsidRPr="00E255F5">
        <w:t xml:space="preserve">Munson, S. M., Bradford, J. B., Butterfield, B. J., &amp; Gremer, J. R. (2022). Primary production responses to extreme changes in North American Monsoon precipitation vary by elevation and plant functional composition through time. </w:t>
      </w:r>
      <w:r w:rsidRPr="00E255F5">
        <w:rPr>
          <w:i/>
          <w:iCs/>
        </w:rPr>
        <w:t>Journal of Ecology</w:t>
      </w:r>
      <w:r w:rsidRPr="00E255F5">
        <w:t xml:space="preserve">, </w:t>
      </w:r>
      <w:r w:rsidRPr="00E255F5">
        <w:rPr>
          <w:i/>
          <w:iCs/>
        </w:rPr>
        <w:t>110</w:t>
      </w:r>
      <w:r w:rsidRPr="00E255F5">
        <w:t>(9), 2232–2245. https://doi.org/10.1111/1365-2745.13947</w:t>
      </w:r>
    </w:p>
    <w:p w14:paraId="2F9132F3" w14:textId="77777777" w:rsidR="00E255F5" w:rsidRPr="00E255F5" w:rsidRDefault="00E255F5" w:rsidP="00E255F5">
      <w:pPr>
        <w:pStyle w:val="Bibliography"/>
      </w:pPr>
      <w:r w:rsidRPr="00E255F5">
        <w:t xml:space="preserve">Neilson, R. P., &amp; Wullstein, L. H. (1983). Biogeography of Two Southwest American Oaks in Relation to Atmospheric Dynamics. </w:t>
      </w:r>
      <w:r w:rsidRPr="00E255F5">
        <w:rPr>
          <w:i/>
          <w:iCs/>
        </w:rPr>
        <w:t>Journal of Biogeography</w:t>
      </w:r>
      <w:r w:rsidRPr="00E255F5">
        <w:t xml:space="preserve">, </w:t>
      </w:r>
      <w:r w:rsidRPr="00E255F5">
        <w:rPr>
          <w:i/>
          <w:iCs/>
        </w:rPr>
        <w:t>10</w:t>
      </w:r>
      <w:r w:rsidRPr="00E255F5">
        <w:t>(4), 275. https://doi.org/10.2307/2844738</w:t>
      </w:r>
    </w:p>
    <w:p w14:paraId="705C5D8E" w14:textId="77777777" w:rsidR="00E255F5" w:rsidRPr="00E255F5" w:rsidRDefault="00E255F5" w:rsidP="00E255F5">
      <w:pPr>
        <w:pStyle w:val="Bibliography"/>
      </w:pPr>
      <w:r w:rsidRPr="00E255F5">
        <w:t xml:space="preserve">Ockendon, N., Baker, D. J., Carr, J. A., White, E. C., Almond, R. E. A., Amano, T., Bertram, E., Bradbury, R. B., Bradley, C., Butchart, S. H. M., Doswald, N., Foden, W., Gill, D. J. C., Green, R. E., Sutherland, W. J., Tanner, E. V. J., &amp; Pearce‐Higgins, J. W. (2014). Mechanisms underpinning climatic impacts on natural populations: Altered species </w:t>
      </w:r>
      <w:r w:rsidRPr="00E255F5">
        <w:lastRenderedPageBreak/>
        <w:t xml:space="preserve">interactions are more important than direct effects. </w:t>
      </w:r>
      <w:r w:rsidRPr="00E255F5">
        <w:rPr>
          <w:i/>
          <w:iCs/>
        </w:rPr>
        <w:t>Global Change Biology</w:t>
      </w:r>
      <w:r w:rsidRPr="00E255F5">
        <w:t xml:space="preserve">, </w:t>
      </w:r>
      <w:r w:rsidRPr="00E255F5">
        <w:rPr>
          <w:i/>
          <w:iCs/>
        </w:rPr>
        <w:t>20</w:t>
      </w:r>
      <w:r w:rsidRPr="00E255F5">
        <w:t>(7), 2221–2229. https://doi.org/10.1111/gcb.12559</w:t>
      </w:r>
    </w:p>
    <w:p w14:paraId="227E0327" w14:textId="77777777" w:rsidR="00E255F5" w:rsidRPr="00E255F5" w:rsidRDefault="00E255F5" w:rsidP="00E255F5">
      <w:pPr>
        <w:pStyle w:val="Bibliography"/>
      </w:pPr>
      <w:r w:rsidRPr="00E255F5">
        <w:t xml:space="preserve">Ogle, K., Barber, J. J., Barron‐Gafford, G. A., Bentley, L. P., Young, J. M., Huxman, T. E., Loik, M. E., &amp; Tissue, D. T. (2015). Quantifying ecological memory in plant and ecosystem processes. </w:t>
      </w:r>
      <w:r w:rsidRPr="00E255F5">
        <w:rPr>
          <w:i/>
          <w:iCs/>
        </w:rPr>
        <w:t>Ecology Letters</w:t>
      </w:r>
      <w:r w:rsidRPr="00E255F5">
        <w:t xml:space="preserve">, </w:t>
      </w:r>
      <w:r w:rsidRPr="00E255F5">
        <w:rPr>
          <w:i/>
          <w:iCs/>
        </w:rPr>
        <w:t>18</w:t>
      </w:r>
      <w:r w:rsidRPr="00E255F5">
        <w:t>(3), 221–235. https://doi.org/10.1111/ele.12399</w:t>
      </w:r>
    </w:p>
    <w:p w14:paraId="574BBEAA" w14:textId="77777777" w:rsidR="00E255F5" w:rsidRPr="00E255F5" w:rsidRDefault="00E255F5" w:rsidP="00E255F5">
      <w:pPr>
        <w:pStyle w:val="Bibliography"/>
      </w:pPr>
      <w:r w:rsidRPr="00E255F5">
        <w:t xml:space="preserve">Ostfeld, R. S., &amp; Keesing, F. (2000). Pulsed resources and community dynamics of consumers in terrestrial ecosystems. </w:t>
      </w:r>
      <w:r w:rsidRPr="00E255F5">
        <w:rPr>
          <w:i/>
          <w:iCs/>
        </w:rPr>
        <w:t>Trends in Ecology &amp; Evolution</w:t>
      </w:r>
      <w:r w:rsidRPr="00E255F5">
        <w:t xml:space="preserve">, </w:t>
      </w:r>
      <w:r w:rsidRPr="00E255F5">
        <w:rPr>
          <w:i/>
          <w:iCs/>
        </w:rPr>
        <w:t>15</w:t>
      </w:r>
      <w:r w:rsidRPr="00E255F5">
        <w:t>(6), 232–237. https://doi.org/10.1016/S0169-5347(00)01862-0</w:t>
      </w:r>
    </w:p>
    <w:p w14:paraId="0FDE7540" w14:textId="77777777" w:rsidR="00E255F5" w:rsidRPr="00E255F5" w:rsidRDefault="00E255F5" w:rsidP="00E255F5">
      <w:pPr>
        <w:pStyle w:val="Bibliography"/>
      </w:pPr>
      <w:r w:rsidRPr="00E255F5">
        <w:t xml:space="preserve">Padisak, J. (1992). Seasonal Succession of Phytoplankton in a Large Shallow Lake (Balaton, Hungary)—A Dynamic Approach to Ecological Memory, Its Possible Role and Mechanisms. </w:t>
      </w:r>
      <w:r w:rsidRPr="00E255F5">
        <w:rPr>
          <w:i/>
          <w:iCs/>
        </w:rPr>
        <w:t>The Journal of Ecology</w:t>
      </w:r>
      <w:r w:rsidRPr="00E255F5">
        <w:t xml:space="preserve">, </w:t>
      </w:r>
      <w:r w:rsidRPr="00E255F5">
        <w:rPr>
          <w:i/>
          <w:iCs/>
        </w:rPr>
        <w:t>80</w:t>
      </w:r>
      <w:r w:rsidRPr="00E255F5">
        <w:t>(2), 217. https://doi.org/10.2307/2261008</w:t>
      </w:r>
    </w:p>
    <w:p w14:paraId="6444C488" w14:textId="77777777" w:rsidR="00E255F5" w:rsidRPr="00E255F5" w:rsidRDefault="00E255F5" w:rsidP="00E255F5">
      <w:pPr>
        <w:pStyle w:val="Bibliography"/>
      </w:pPr>
      <w:r w:rsidRPr="00E255F5">
        <w:t xml:space="preserve">Parmenter, R. R., Zlotin, R. I., Moore, D. I., &amp; Myers, O. B. (2018). Environmental and endogenous drivers of tree mast production and synchrony in piñon–juniper–oak woodlands of New Mexico. </w:t>
      </w:r>
      <w:r w:rsidRPr="00E255F5">
        <w:rPr>
          <w:i/>
          <w:iCs/>
        </w:rPr>
        <w:t>Ecosphere</w:t>
      </w:r>
      <w:r w:rsidRPr="00E255F5">
        <w:t xml:space="preserve">, </w:t>
      </w:r>
      <w:r w:rsidRPr="00E255F5">
        <w:rPr>
          <w:i/>
          <w:iCs/>
        </w:rPr>
        <w:t>9</w:t>
      </w:r>
      <w:r w:rsidRPr="00E255F5">
        <w:t>(8), e02360. https://doi.org/10.1002/ecs2.2360</w:t>
      </w:r>
    </w:p>
    <w:p w14:paraId="3D347CA8" w14:textId="77777777" w:rsidR="00E255F5" w:rsidRPr="00E255F5" w:rsidRDefault="00E255F5" w:rsidP="00E255F5">
      <w:pPr>
        <w:pStyle w:val="Bibliography"/>
      </w:pPr>
      <w:r w:rsidRPr="00E255F5">
        <w:t xml:space="preserve">Pearse, I. S., Koenig, W. D., &amp; Kelly, D. (2016). Mechanisms of mast seeding: Resources, weather, cues, and selection. </w:t>
      </w:r>
      <w:r w:rsidRPr="00E255F5">
        <w:rPr>
          <w:i/>
          <w:iCs/>
        </w:rPr>
        <w:t>New Phytologist</w:t>
      </w:r>
      <w:r w:rsidRPr="00E255F5">
        <w:t xml:space="preserve">, </w:t>
      </w:r>
      <w:r w:rsidRPr="00E255F5">
        <w:rPr>
          <w:i/>
          <w:iCs/>
        </w:rPr>
        <w:t>212</w:t>
      </w:r>
      <w:r w:rsidRPr="00E255F5">
        <w:t>(3), 546–562. https://doi.org/10.1111/nph.14114</w:t>
      </w:r>
    </w:p>
    <w:p w14:paraId="219F1E69" w14:textId="77777777" w:rsidR="00E255F5" w:rsidRPr="00E255F5" w:rsidRDefault="00E255F5" w:rsidP="00E255F5">
      <w:pPr>
        <w:pStyle w:val="Bibliography"/>
      </w:pPr>
      <w:r w:rsidRPr="00E255F5">
        <w:t xml:space="preserve">Pesendorfer, M. B., Sillett, T. S., Koenig, W. D., &amp; Morrison, S. A. (2016). Scatter-hoarding corvids as seed dispersers for oaks and pines: A review of a widely distributed mutualism and its utility to habitat restoration. </w:t>
      </w:r>
      <w:r w:rsidRPr="00E255F5">
        <w:rPr>
          <w:i/>
          <w:iCs/>
        </w:rPr>
        <w:t>The Condor</w:t>
      </w:r>
      <w:r w:rsidRPr="00E255F5">
        <w:t xml:space="preserve">, </w:t>
      </w:r>
      <w:r w:rsidRPr="00E255F5">
        <w:rPr>
          <w:i/>
          <w:iCs/>
        </w:rPr>
        <w:t>118</w:t>
      </w:r>
      <w:r w:rsidRPr="00E255F5">
        <w:t>(2), 215–237. https://doi.org/10.1650/condor-15-125.1</w:t>
      </w:r>
    </w:p>
    <w:p w14:paraId="705E72C4" w14:textId="77777777" w:rsidR="00E255F5" w:rsidRPr="00E255F5" w:rsidRDefault="00E255F5" w:rsidP="00E255F5">
      <w:pPr>
        <w:pStyle w:val="Bibliography"/>
      </w:pPr>
      <w:r w:rsidRPr="00E255F5">
        <w:lastRenderedPageBreak/>
        <w:t xml:space="preserve">Plummer, M. (2003). JAGS: A program for analysis of Bayesian graphical models using Gibbs sampling. </w:t>
      </w:r>
      <w:r w:rsidRPr="00E255F5">
        <w:rPr>
          <w:i/>
          <w:iCs/>
        </w:rPr>
        <w:t>Proceedings of the 3rd International Workshop on Distributed Statistical Computing</w:t>
      </w:r>
      <w:r w:rsidRPr="00E255F5">
        <w:t xml:space="preserve">, </w:t>
      </w:r>
      <w:r w:rsidRPr="00E255F5">
        <w:rPr>
          <w:i/>
          <w:iCs/>
        </w:rPr>
        <w:t>124</w:t>
      </w:r>
      <w:r w:rsidRPr="00E255F5">
        <w:t>(125.10).</w:t>
      </w:r>
    </w:p>
    <w:p w14:paraId="7265B420" w14:textId="77777777" w:rsidR="00E255F5" w:rsidRPr="00E255F5" w:rsidRDefault="00E255F5" w:rsidP="00E255F5">
      <w:pPr>
        <w:pStyle w:val="Bibliography"/>
      </w:pPr>
      <w:r w:rsidRPr="00E255F5">
        <w:t xml:space="preserve">Plummer, M., Best, N., Cowles, K., Vines, K., Sarkar, D., Bates, D., Almond, R., &amp; Magnusson, A. (1999). </w:t>
      </w:r>
      <w:r w:rsidRPr="00E255F5">
        <w:rPr>
          <w:i/>
          <w:iCs/>
        </w:rPr>
        <w:t>coda: Output Analysis and Diagnostics for MCMC</w:t>
      </w:r>
      <w:r w:rsidRPr="00E255F5">
        <w:t xml:space="preserve"> (p. 0.19-4.1) [Dataset]. https://doi.org/10.32614/CRAN.package.coda</w:t>
      </w:r>
    </w:p>
    <w:p w14:paraId="42BC1142" w14:textId="77777777" w:rsidR="00E255F5" w:rsidRPr="00E255F5" w:rsidRDefault="00E255F5" w:rsidP="00E255F5">
      <w:pPr>
        <w:pStyle w:val="Bibliography"/>
      </w:pPr>
      <w:r w:rsidRPr="00E255F5">
        <w:t xml:space="preserve">Poisot, T., Stouffer, D. B., &amp; Gravel, D. (2015). Beyond species: Why ecological interaction networks vary through space and time. </w:t>
      </w:r>
      <w:r w:rsidRPr="00E255F5">
        <w:rPr>
          <w:i/>
          <w:iCs/>
        </w:rPr>
        <w:t>Oikos</w:t>
      </w:r>
      <w:r w:rsidRPr="00E255F5">
        <w:t xml:space="preserve">, </w:t>
      </w:r>
      <w:r w:rsidRPr="00E255F5">
        <w:rPr>
          <w:i/>
          <w:iCs/>
        </w:rPr>
        <w:t>124</w:t>
      </w:r>
      <w:r w:rsidRPr="00E255F5">
        <w:t>(3), 243–251. https://doi.org/10.1111/oik.01719</w:t>
      </w:r>
    </w:p>
    <w:p w14:paraId="43EEDE87" w14:textId="77777777" w:rsidR="00E255F5" w:rsidRPr="00E255F5" w:rsidRDefault="00E255F5" w:rsidP="00E255F5">
      <w:pPr>
        <w:pStyle w:val="Bibliography"/>
      </w:pPr>
      <w:r w:rsidRPr="00E255F5">
        <w:t xml:space="preserve">Qiu, T., Aravena, M.-C., Ascoli, D., Bergeron, Y., Bogdziewicz, M., Boivin, T., Bonal, R., Caignard, T., Cailleret, M., Calama, R., Calderon, S. D., Camarero, J. J., Chang-Yang, C.-H., Chave, J., Chianucci, F., Courbaud, B., Cutini, A., Das, A. J., Delpierre, N., … Clark, J. S. (2023). Masting is uncommon in trees that depend on mutualist dispersers in the context of global climate and fertility gradients. </w:t>
      </w:r>
      <w:r w:rsidRPr="00E255F5">
        <w:rPr>
          <w:i/>
          <w:iCs/>
        </w:rPr>
        <w:t>Nature Plants</w:t>
      </w:r>
      <w:r w:rsidRPr="00E255F5">
        <w:t xml:space="preserve">, </w:t>
      </w:r>
      <w:r w:rsidRPr="00E255F5">
        <w:rPr>
          <w:i/>
          <w:iCs/>
        </w:rPr>
        <w:t>9</w:t>
      </w:r>
      <w:r w:rsidRPr="00E255F5">
        <w:t>(7), 1044–1056. https://doi.org/10.1038/s41477-023-01446-5</w:t>
      </w:r>
    </w:p>
    <w:p w14:paraId="3DDBBACF" w14:textId="77777777" w:rsidR="00E255F5" w:rsidRPr="00E255F5" w:rsidRDefault="00E255F5" w:rsidP="00E255F5">
      <w:pPr>
        <w:pStyle w:val="Bibliography"/>
      </w:pPr>
      <w:r w:rsidRPr="00E255F5">
        <w:t xml:space="preserve">R Core Team. (2020). </w:t>
      </w:r>
      <w:r w:rsidRPr="00E255F5">
        <w:rPr>
          <w:i/>
          <w:iCs/>
        </w:rPr>
        <w:t>R: A language and environment for statistical computing</w:t>
      </w:r>
      <w:r w:rsidRPr="00E255F5">
        <w:t xml:space="preserve"> [Computer software]. R Foundation for Statistical Computing. https://www.R-project.org/</w:t>
      </w:r>
    </w:p>
    <w:p w14:paraId="319A61E7" w14:textId="77777777" w:rsidR="00E255F5" w:rsidRPr="00E255F5" w:rsidRDefault="00E255F5" w:rsidP="00E255F5">
      <w:pPr>
        <w:pStyle w:val="Bibliography"/>
      </w:pPr>
      <w:r w:rsidRPr="00E255F5">
        <w:t xml:space="preserve">Raftery, A. E., &amp; Lewis, S. M. (1995). The number of iterations, convergence diagnostics and generic Netropolis algorithms. In </w:t>
      </w:r>
      <w:r w:rsidRPr="00E255F5">
        <w:rPr>
          <w:i/>
          <w:iCs/>
        </w:rPr>
        <w:t>Practical Markov Chain Monte Carlo</w:t>
      </w:r>
      <w:r w:rsidRPr="00E255F5">
        <w:t>. Chapman and Hall.</w:t>
      </w:r>
    </w:p>
    <w:p w14:paraId="0AAAB86F" w14:textId="77777777" w:rsidR="00E255F5" w:rsidRPr="00E255F5" w:rsidRDefault="00E255F5" w:rsidP="00E255F5">
      <w:pPr>
        <w:pStyle w:val="Bibliography"/>
      </w:pPr>
      <w:r w:rsidRPr="00E255F5">
        <w:t xml:space="preserve">Redmond, M. D., Forcella, F., &amp; Barger, N. N. (2012). Declines in pinyon pine cone production associated with regional warming. </w:t>
      </w:r>
      <w:r w:rsidRPr="00E255F5">
        <w:rPr>
          <w:i/>
          <w:iCs/>
        </w:rPr>
        <w:t>Ecosphere</w:t>
      </w:r>
      <w:r w:rsidRPr="00E255F5">
        <w:t xml:space="preserve">, </w:t>
      </w:r>
      <w:r w:rsidRPr="00E255F5">
        <w:rPr>
          <w:i/>
          <w:iCs/>
        </w:rPr>
        <w:t>3</w:t>
      </w:r>
      <w:r w:rsidRPr="00E255F5">
        <w:t>(12), 1–14. https://doi.org/10.1890/ES12-00306.1</w:t>
      </w:r>
    </w:p>
    <w:p w14:paraId="527221D0" w14:textId="77777777" w:rsidR="00E255F5" w:rsidRPr="00E255F5" w:rsidRDefault="00E255F5" w:rsidP="00E255F5">
      <w:pPr>
        <w:pStyle w:val="Bibliography"/>
      </w:pPr>
      <w:r w:rsidRPr="00E255F5">
        <w:lastRenderedPageBreak/>
        <w:t xml:space="preserve">Redmond, M. D., Weisberg, P. J., Cobb, N. S., &amp; Clifford, M. J. (2018). Woodland resilience to regional drought: Dominant controls on tree regeneration following overstorey mortality. </w:t>
      </w:r>
      <w:r w:rsidRPr="00E255F5">
        <w:rPr>
          <w:i/>
          <w:iCs/>
        </w:rPr>
        <w:t>Journal of Ecology</w:t>
      </w:r>
      <w:r w:rsidRPr="00E255F5">
        <w:t xml:space="preserve">, </w:t>
      </w:r>
      <w:r w:rsidRPr="00E255F5">
        <w:rPr>
          <w:i/>
          <w:iCs/>
        </w:rPr>
        <w:t>106</w:t>
      </w:r>
      <w:r w:rsidRPr="00E255F5">
        <w:t>(2), 625–639. https://doi.org/10.1111/1365-2745.12880</w:t>
      </w:r>
    </w:p>
    <w:p w14:paraId="7F87F7D5" w14:textId="77777777" w:rsidR="00E255F5" w:rsidRPr="00E255F5" w:rsidRDefault="00E255F5" w:rsidP="00E255F5">
      <w:pPr>
        <w:pStyle w:val="Bibliography"/>
      </w:pPr>
      <w:r w:rsidRPr="00E255F5">
        <w:t xml:space="preserve">Robinson, O. J., Ruiz-Gutierrez, V., Fink, D., Meese, R. J., Holyoak, M., &amp; Cooch, E. G. (2018). Using citizen science data in integrated population models to inform conservation. </w:t>
      </w:r>
      <w:r w:rsidRPr="00E255F5">
        <w:rPr>
          <w:i/>
          <w:iCs/>
        </w:rPr>
        <w:t>Biological Conservation</w:t>
      </w:r>
      <w:r w:rsidRPr="00E255F5">
        <w:t xml:space="preserve">, </w:t>
      </w:r>
      <w:r w:rsidRPr="00E255F5">
        <w:rPr>
          <w:i/>
          <w:iCs/>
        </w:rPr>
        <w:t>227</w:t>
      </w:r>
      <w:r w:rsidRPr="00E255F5">
        <w:t>, 361–368. https://doi.org/10.1016/j.biocon.2018.10.002</w:t>
      </w:r>
    </w:p>
    <w:p w14:paraId="1E3BAD54" w14:textId="77777777" w:rsidR="00E255F5" w:rsidRPr="00E255F5" w:rsidRDefault="00E255F5" w:rsidP="00E255F5">
      <w:pPr>
        <w:pStyle w:val="Bibliography"/>
      </w:pPr>
      <w:r w:rsidRPr="00E255F5">
        <w:t xml:space="preserve">Romme, W. H., Allen, C. D., Bailey, J. D., Baker, W. L., Bestelmeyer, B. T., Brown, P. M., Eisenhart, K. S., Floyd, M. L., Huffman, D. W., Jacobs, B. F., Miller, R. F., Muldavin, E. H., Swetnam, T. W., Tausch, R. J., &amp; Weisberg, P. J. (2009). Historical and Modern Disturbance Regimes, Stand Structures, and Landscape Dynamics in Piñon–Juniper Vegetation of the Western United States. </w:t>
      </w:r>
      <w:r w:rsidRPr="00E255F5">
        <w:rPr>
          <w:i/>
          <w:iCs/>
        </w:rPr>
        <w:t>Rangeland Ecology &amp; Management</w:t>
      </w:r>
      <w:r w:rsidRPr="00E255F5">
        <w:t xml:space="preserve">, </w:t>
      </w:r>
      <w:r w:rsidRPr="00E255F5">
        <w:rPr>
          <w:i/>
          <w:iCs/>
        </w:rPr>
        <w:t>62</w:t>
      </w:r>
      <w:r w:rsidRPr="00E255F5">
        <w:t>(3), 203–222. https://doi.org/10.2111/08-188R1.1</w:t>
      </w:r>
    </w:p>
    <w:p w14:paraId="7275283C" w14:textId="77777777" w:rsidR="00E255F5" w:rsidRPr="00E255F5" w:rsidRDefault="00E255F5" w:rsidP="00E255F5">
      <w:pPr>
        <w:pStyle w:val="Bibliography"/>
      </w:pPr>
      <w:r w:rsidRPr="00E255F5">
        <w:t xml:space="preserve">Roopnarine, P. D. (2006). Extinction cascades and catastrophe in ancient food webs. </w:t>
      </w:r>
      <w:r w:rsidRPr="00E255F5">
        <w:rPr>
          <w:i/>
          <w:iCs/>
        </w:rPr>
        <w:t>Paleobiology</w:t>
      </w:r>
      <w:r w:rsidRPr="00E255F5">
        <w:t xml:space="preserve">, </w:t>
      </w:r>
      <w:r w:rsidRPr="00E255F5">
        <w:rPr>
          <w:i/>
          <w:iCs/>
        </w:rPr>
        <w:t>32</w:t>
      </w:r>
      <w:r w:rsidRPr="00E255F5">
        <w:t>(1), 1–19. https://doi.org/10.1666/05008.1</w:t>
      </w:r>
    </w:p>
    <w:p w14:paraId="139572E5" w14:textId="77777777" w:rsidR="00E255F5" w:rsidRPr="00E255F5" w:rsidRDefault="00E255F5" w:rsidP="00E255F5">
      <w:pPr>
        <w:pStyle w:val="Bibliography"/>
      </w:pPr>
      <w:r w:rsidRPr="00E255F5">
        <w:t xml:space="preserve">Royle, J. A. (2004). </w:t>
      </w:r>
      <w:r w:rsidRPr="00E255F5">
        <w:rPr>
          <w:i/>
          <w:iCs/>
        </w:rPr>
        <w:t>N</w:t>
      </w:r>
      <w:r w:rsidRPr="00E255F5">
        <w:t xml:space="preserve">‐Mixture Models for Estimating Population Size from Spatially Replicated Counts. </w:t>
      </w:r>
      <w:r w:rsidRPr="00E255F5">
        <w:rPr>
          <w:i/>
          <w:iCs/>
        </w:rPr>
        <w:t>Biometrics</w:t>
      </w:r>
      <w:r w:rsidRPr="00E255F5">
        <w:t xml:space="preserve">, </w:t>
      </w:r>
      <w:r w:rsidRPr="00E255F5">
        <w:rPr>
          <w:i/>
          <w:iCs/>
        </w:rPr>
        <w:t>60</w:t>
      </w:r>
      <w:r w:rsidRPr="00E255F5">
        <w:t>(1), 108–115. https://doi.org/10.1111/j.0006-341x.2004.00142.x</w:t>
      </w:r>
    </w:p>
    <w:p w14:paraId="676580A6" w14:textId="77777777" w:rsidR="00E255F5" w:rsidRPr="00E255F5" w:rsidRDefault="00E255F5" w:rsidP="00E255F5">
      <w:pPr>
        <w:pStyle w:val="Bibliography"/>
      </w:pPr>
      <w:r w:rsidRPr="00E255F5">
        <w:t xml:space="preserve">Royle, J. A., Nichols, J. D., &amp; Kéry, M. (2005). Modelling occurrence and abundance of species when detection is imperfect. </w:t>
      </w:r>
      <w:r w:rsidRPr="00E255F5">
        <w:rPr>
          <w:i/>
          <w:iCs/>
        </w:rPr>
        <w:t>Oikos</w:t>
      </w:r>
      <w:r w:rsidRPr="00E255F5">
        <w:t xml:space="preserve">, </w:t>
      </w:r>
      <w:r w:rsidRPr="00E255F5">
        <w:rPr>
          <w:i/>
          <w:iCs/>
        </w:rPr>
        <w:t>110</w:t>
      </w:r>
      <w:r w:rsidRPr="00E255F5">
        <w:t>(2), 353–359. https://doi.org/10.1111/j.0030-1299.2005.13534.x</w:t>
      </w:r>
    </w:p>
    <w:p w14:paraId="3C0548C1" w14:textId="77777777" w:rsidR="00E255F5" w:rsidRPr="00E255F5" w:rsidRDefault="00E255F5" w:rsidP="00E255F5">
      <w:pPr>
        <w:pStyle w:val="Bibliography"/>
      </w:pPr>
      <w:r w:rsidRPr="00E255F5">
        <w:t xml:space="preserve">Sawaya, G. M., Goldberg, A. S., Steele, M. A., &amp; Dalgleish, H. J. (2018). Environmental variation shifts the relationship between trees and scatterhoarders along the continuum from mutualism to antagonism. </w:t>
      </w:r>
      <w:r w:rsidRPr="00E255F5">
        <w:rPr>
          <w:i/>
          <w:iCs/>
        </w:rPr>
        <w:t>Integrative Zoology</w:t>
      </w:r>
      <w:r w:rsidRPr="00E255F5">
        <w:t xml:space="preserve">, </w:t>
      </w:r>
      <w:r w:rsidRPr="00E255F5">
        <w:rPr>
          <w:i/>
          <w:iCs/>
        </w:rPr>
        <w:t>13</w:t>
      </w:r>
      <w:r w:rsidRPr="00E255F5">
        <w:t>(3), 319–330. https://doi.org/10.1111/1749-4877.12311</w:t>
      </w:r>
    </w:p>
    <w:p w14:paraId="31C4F5E5" w14:textId="77777777" w:rsidR="00E255F5" w:rsidRPr="00E255F5" w:rsidRDefault="00E255F5" w:rsidP="00E255F5">
      <w:pPr>
        <w:pStyle w:val="Bibliography"/>
      </w:pPr>
      <w:r w:rsidRPr="00E255F5">
        <w:lastRenderedPageBreak/>
        <w:t xml:space="preserve">Selonen, V., Varjonen, R., &amp; Korpimäki, E. (2015). Immediate or lagged responses of a red squirrel population to pulsed resources. </w:t>
      </w:r>
      <w:r w:rsidRPr="00E255F5">
        <w:rPr>
          <w:i/>
          <w:iCs/>
        </w:rPr>
        <w:t>Oecologia</w:t>
      </w:r>
      <w:r w:rsidRPr="00E255F5">
        <w:t xml:space="preserve">, </w:t>
      </w:r>
      <w:r w:rsidRPr="00E255F5">
        <w:rPr>
          <w:i/>
          <w:iCs/>
        </w:rPr>
        <w:t>177</w:t>
      </w:r>
      <w:r w:rsidRPr="00E255F5">
        <w:t>(2), 401–411. https://doi.org/10.1007/s00442-014-3148-7</w:t>
      </w:r>
    </w:p>
    <w:p w14:paraId="6C1A2D9A" w14:textId="77777777" w:rsidR="00E255F5" w:rsidRPr="00E255F5" w:rsidRDefault="00E255F5" w:rsidP="00E255F5">
      <w:pPr>
        <w:pStyle w:val="Bibliography"/>
      </w:pPr>
      <w:r w:rsidRPr="00E255F5">
        <w:t xml:space="preserve">Shaw, J. D., Steed, B. E., &amp; DeBlander, L. T. (2005). Forest Inventory and Analysis (FIA) Annual Inventory Answers the Question: What Is Happening to Pinyon-Juniper Woodlands? </w:t>
      </w:r>
      <w:r w:rsidRPr="00E255F5">
        <w:rPr>
          <w:i/>
          <w:iCs/>
        </w:rPr>
        <w:t>Journal of Forestry</w:t>
      </w:r>
      <w:r w:rsidRPr="00E255F5">
        <w:t xml:space="preserve">, </w:t>
      </w:r>
      <w:r w:rsidRPr="00E255F5">
        <w:rPr>
          <w:i/>
          <w:iCs/>
        </w:rPr>
        <w:t>103</w:t>
      </w:r>
      <w:r w:rsidRPr="00E255F5">
        <w:t>(6), 280–285. https://doi.org/10.1093/jof/103.6.280</w:t>
      </w:r>
    </w:p>
    <w:p w14:paraId="43545DDD" w14:textId="77777777" w:rsidR="00E255F5" w:rsidRPr="00E255F5" w:rsidRDefault="00E255F5" w:rsidP="00E255F5">
      <w:pPr>
        <w:pStyle w:val="Bibliography"/>
      </w:pPr>
      <w:r w:rsidRPr="00E255F5">
        <w:t xml:space="preserve">Shepperd, W. D., Edminster, C. B., &amp; Mata, S. A. (2006). Long-Term Seedfall, Establishment, Survival, and Growth of Natural and Planted Ponderosa Pine in the Colorado Front Range. </w:t>
      </w:r>
      <w:r w:rsidRPr="00E255F5">
        <w:rPr>
          <w:i/>
          <w:iCs/>
        </w:rPr>
        <w:t>Western Journal of Applied Forestry</w:t>
      </w:r>
      <w:r w:rsidRPr="00E255F5">
        <w:t xml:space="preserve">, </w:t>
      </w:r>
      <w:r w:rsidRPr="00E255F5">
        <w:rPr>
          <w:i/>
          <w:iCs/>
        </w:rPr>
        <w:t>21</w:t>
      </w:r>
      <w:r w:rsidRPr="00E255F5">
        <w:t>(1), 19–26. https://doi.org/10.1093/wjaf/21.1.19</w:t>
      </w:r>
    </w:p>
    <w:p w14:paraId="16A1B6F0" w14:textId="77777777" w:rsidR="00E255F5" w:rsidRPr="00E255F5" w:rsidRDefault="00E255F5" w:rsidP="00E255F5">
      <w:pPr>
        <w:pStyle w:val="Bibliography"/>
      </w:pPr>
      <w:r w:rsidRPr="00E255F5">
        <w:t xml:space="preserve">Sicich, B., Young, A. C., Bundy, C. S., Abadi, F., &amp; Desmond, M. J. (2025). Open spaces and arthropod abundance are important foraging habitat components for </w:t>
      </w:r>
      <w:r w:rsidRPr="00E255F5">
        <w:rPr>
          <w:i/>
          <w:iCs/>
        </w:rPr>
        <w:t>Gymnorhinus cyanocephalus</w:t>
      </w:r>
      <w:r w:rsidRPr="00E255F5">
        <w:t xml:space="preserve"> (Pinyon Jay) in south-central New Mexico. </w:t>
      </w:r>
      <w:r w:rsidRPr="00E255F5">
        <w:rPr>
          <w:i/>
          <w:iCs/>
        </w:rPr>
        <w:t>Ornithological Applications</w:t>
      </w:r>
      <w:r w:rsidRPr="00E255F5">
        <w:t>, duaf046. https://doi.org/10.1093/ornithapp/duaf046</w:t>
      </w:r>
    </w:p>
    <w:p w14:paraId="54F3CBE2" w14:textId="77777777" w:rsidR="00E255F5" w:rsidRPr="00E255F5" w:rsidRDefault="00E255F5" w:rsidP="00E255F5">
      <w:pPr>
        <w:pStyle w:val="Bibliography"/>
      </w:pPr>
      <w:r w:rsidRPr="00E255F5">
        <w:t xml:space="preserve">Skagen, S. K., &amp; Adams, A. A. Y. (2012). Weather effects on avian breeding performance and implications of climate change. </w:t>
      </w:r>
      <w:r w:rsidRPr="00E255F5">
        <w:rPr>
          <w:i/>
          <w:iCs/>
        </w:rPr>
        <w:t>Ecological Applications</w:t>
      </w:r>
      <w:r w:rsidRPr="00E255F5">
        <w:t xml:space="preserve">, </w:t>
      </w:r>
      <w:r w:rsidRPr="00E255F5">
        <w:rPr>
          <w:i/>
          <w:iCs/>
        </w:rPr>
        <w:t>22</w:t>
      </w:r>
      <w:r w:rsidRPr="00E255F5">
        <w:t>(4), 1131–1145. https://doi.org/10.1890/11-0291.1</w:t>
      </w:r>
    </w:p>
    <w:p w14:paraId="27E18DDF" w14:textId="77777777" w:rsidR="00E255F5" w:rsidRPr="00E255F5" w:rsidRDefault="00E255F5" w:rsidP="00E255F5">
      <w:pPr>
        <w:pStyle w:val="Bibliography"/>
      </w:pPr>
      <w:r w:rsidRPr="00E255F5">
        <w:t xml:space="preserve">Srinivasan, U. T., Dunne, J. A., Harte, J., &amp; Martinez, N. D. (2007). RESPONSE OF COMPLEX FOOD WEBS TO REALISTIC EXTINCTION SEQUENCES. </w:t>
      </w:r>
      <w:r w:rsidRPr="00E255F5">
        <w:rPr>
          <w:i/>
          <w:iCs/>
        </w:rPr>
        <w:t>Ecology</w:t>
      </w:r>
      <w:r w:rsidRPr="00E255F5">
        <w:t xml:space="preserve">, </w:t>
      </w:r>
      <w:r w:rsidRPr="00E255F5">
        <w:rPr>
          <w:i/>
          <w:iCs/>
        </w:rPr>
        <w:t>88</w:t>
      </w:r>
      <w:r w:rsidRPr="00E255F5">
        <w:t>(3), 671–682. https://doi.org/10.1890/06-0971</w:t>
      </w:r>
    </w:p>
    <w:p w14:paraId="130C65A7" w14:textId="77777777" w:rsidR="00E255F5" w:rsidRPr="00E255F5" w:rsidRDefault="00E255F5" w:rsidP="00E255F5">
      <w:pPr>
        <w:pStyle w:val="Bibliography"/>
      </w:pPr>
      <w:r w:rsidRPr="00E255F5">
        <w:t xml:space="preserve">Stotz, N. G., &amp; Balda, R. P. (1995). Cache and recovery behavior of wild pinyon jays in northern Arizona. </w:t>
      </w:r>
      <w:r w:rsidRPr="00E255F5">
        <w:rPr>
          <w:i/>
          <w:iCs/>
        </w:rPr>
        <w:t>The Southwestern Naturalist</w:t>
      </w:r>
      <w:r w:rsidRPr="00E255F5">
        <w:t xml:space="preserve">, </w:t>
      </w:r>
      <w:r w:rsidRPr="00E255F5">
        <w:rPr>
          <w:i/>
          <w:iCs/>
        </w:rPr>
        <w:t>40</w:t>
      </w:r>
      <w:r w:rsidRPr="00E255F5">
        <w:t>(2), 180–184.</w:t>
      </w:r>
    </w:p>
    <w:p w14:paraId="5DA46FA3" w14:textId="77777777" w:rsidR="00E255F5" w:rsidRPr="00E255F5" w:rsidRDefault="00E255F5" w:rsidP="00E255F5">
      <w:pPr>
        <w:pStyle w:val="Bibliography"/>
      </w:pPr>
      <w:r w:rsidRPr="00E255F5">
        <w:lastRenderedPageBreak/>
        <w:t xml:space="preserve">Strimas-Mackey, M., Hochachka, W. M., Ruiz-Gutierrez, V., Robinson, O. J., Miller, E. T., Auer, T., Kelling, S., Fink, D., &amp; Johnston, A. (2023). </w:t>
      </w:r>
      <w:r w:rsidRPr="00E255F5">
        <w:rPr>
          <w:i/>
          <w:iCs/>
        </w:rPr>
        <w:t>Best Practices for Using eBird Data: Vol. Version 2.0</w:t>
      </w:r>
      <w:r w:rsidRPr="00E255F5">
        <w:t>. Cornell Lab of Ornithology. https://doi.org/10.5281/zenodo.3620739</w:t>
      </w:r>
    </w:p>
    <w:p w14:paraId="085BB45B" w14:textId="77777777" w:rsidR="00E255F5" w:rsidRPr="00E255F5" w:rsidRDefault="00E255F5" w:rsidP="00E255F5">
      <w:pPr>
        <w:pStyle w:val="Bibliography"/>
      </w:pPr>
      <w:r w:rsidRPr="00E255F5">
        <w:t xml:space="preserve">Sullivan, B. L., Wood, C. L., Iliff, M. J., Bonney, R. E., Fink, D., &amp; Kelling, S. (2009). eBird: A citizen-based bird observation network in the biological sciences. </w:t>
      </w:r>
      <w:r w:rsidRPr="00E255F5">
        <w:rPr>
          <w:i/>
          <w:iCs/>
        </w:rPr>
        <w:t>Biological Conservation</w:t>
      </w:r>
      <w:r w:rsidRPr="00E255F5">
        <w:t xml:space="preserve">, </w:t>
      </w:r>
      <w:r w:rsidRPr="00E255F5">
        <w:rPr>
          <w:i/>
          <w:iCs/>
        </w:rPr>
        <w:t>142</w:t>
      </w:r>
      <w:r w:rsidRPr="00E255F5">
        <w:t>(10), 2282–2292. https://doi.org/10.1016/j.biocon.2009.05.006</w:t>
      </w:r>
    </w:p>
    <w:p w14:paraId="4122CF5D" w14:textId="77777777" w:rsidR="00E255F5" w:rsidRPr="00E255F5" w:rsidRDefault="00E255F5" w:rsidP="00E255F5">
      <w:pPr>
        <w:pStyle w:val="Bibliography"/>
      </w:pPr>
      <w:r w:rsidRPr="00E255F5">
        <w:t xml:space="preserve">Svenning, J., Gravel, D., Holt, R. D., Schurr, F. M., Thuiller, W., Münkemüller, T., Schiffers, K. H., Dullinger, S., Edwards, T. C., Hickler, T., Higgins, S. I., Nabel, J. E. M. S., Pagel, J., &amp; Normand, S. (2014). The influence of interspecific interactions on species range expansion rates. </w:t>
      </w:r>
      <w:r w:rsidRPr="00E255F5">
        <w:rPr>
          <w:i/>
          <w:iCs/>
        </w:rPr>
        <w:t>Ecography</w:t>
      </w:r>
      <w:r w:rsidRPr="00E255F5">
        <w:t xml:space="preserve">, </w:t>
      </w:r>
      <w:r w:rsidRPr="00E255F5">
        <w:rPr>
          <w:i/>
          <w:iCs/>
        </w:rPr>
        <w:t>37</w:t>
      </w:r>
      <w:r w:rsidRPr="00E255F5">
        <w:t>(12), 1198–1209. https://doi.org/10.1111/j.1600-0587.2013.00574.x</w:t>
      </w:r>
    </w:p>
    <w:p w14:paraId="6F7A077C" w14:textId="77777777" w:rsidR="00E255F5" w:rsidRPr="00E255F5" w:rsidRDefault="00E255F5" w:rsidP="00E255F5">
      <w:pPr>
        <w:pStyle w:val="Bibliography"/>
      </w:pPr>
      <w:r w:rsidRPr="00E255F5">
        <w:t xml:space="preserve">Tylianakis, J. M., Didham, R. K., Bascompte, J., &amp; Wardle, D. A. (2008). Global change and species interactions in terrestrial ecosystems. </w:t>
      </w:r>
      <w:r w:rsidRPr="00E255F5">
        <w:rPr>
          <w:i/>
          <w:iCs/>
        </w:rPr>
        <w:t>Ecology Letters</w:t>
      </w:r>
      <w:r w:rsidRPr="00E255F5">
        <w:t xml:space="preserve">, </w:t>
      </w:r>
      <w:r w:rsidRPr="00E255F5">
        <w:rPr>
          <w:i/>
          <w:iCs/>
        </w:rPr>
        <w:t>11</w:t>
      </w:r>
      <w:r w:rsidRPr="00E255F5">
        <w:t>(12), 1351–1363. https://doi.org/10.1111/j.1461-0248.2008.01250.x</w:t>
      </w:r>
    </w:p>
    <w:p w14:paraId="377E250C" w14:textId="77777777" w:rsidR="00E255F5" w:rsidRPr="00E255F5" w:rsidRDefault="00E255F5" w:rsidP="00E255F5">
      <w:pPr>
        <w:pStyle w:val="Bibliography"/>
      </w:pPr>
      <w:r w:rsidRPr="00E255F5">
        <w:t xml:space="preserve">Valiente‐Banuet, A., Aizen, M. A., Alcántara, J. M., Arroyo, J., Cocucci, A., Galetti, M., García, M. B., García, D., Gómez, J. M., Jordano, P., Medel, R., Navarro, L., Obeso, J. R., Oviedo, R., Ramírez, N., Rey, P. J., Traveset, A., Verdú, M., &amp; Zamora, R. (2015). Beyond species loss: The extinction of ecological interactions in a changing world. </w:t>
      </w:r>
      <w:r w:rsidRPr="00E255F5">
        <w:rPr>
          <w:i/>
          <w:iCs/>
        </w:rPr>
        <w:t>Functional Ecology</w:t>
      </w:r>
      <w:r w:rsidRPr="00E255F5">
        <w:t xml:space="preserve">, </w:t>
      </w:r>
      <w:r w:rsidRPr="00E255F5">
        <w:rPr>
          <w:i/>
          <w:iCs/>
        </w:rPr>
        <w:t>29</w:t>
      </w:r>
      <w:r w:rsidRPr="00E255F5">
        <w:t>(3), 299–307. https://doi.org/10.1111/1365-2435.12356</w:t>
      </w:r>
    </w:p>
    <w:p w14:paraId="7D6000B7" w14:textId="77777777" w:rsidR="00E255F5" w:rsidRPr="00E255F5" w:rsidRDefault="00E255F5" w:rsidP="00E255F5">
      <w:pPr>
        <w:pStyle w:val="Bibliography"/>
      </w:pPr>
      <w:r w:rsidRPr="00E255F5">
        <w:t xml:space="preserve">Van Lanen, N. J., Monroe, A. P., &amp; Aldridge, C. L. (2023). A hidden cost of single species management: Habitat-relationships reveal potential negative effects of conifer removal on </w:t>
      </w:r>
      <w:r w:rsidRPr="00E255F5">
        <w:lastRenderedPageBreak/>
        <w:t xml:space="preserve">a non-target species. </w:t>
      </w:r>
      <w:r w:rsidRPr="00E255F5">
        <w:rPr>
          <w:i/>
          <w:iCs/>
        </w:rPr>
        <w:t>Biological Conservation</w:t>
      </w:r>
      <w:r w:rsidRPr="00E255F5">
        <w:t xml:space="preserve">, </w:t>
      </w:r>
      <w:r w:rsidRPr="00E255F5">
        <w:rPr>
          <w:i/>
          <w:iCs/>
        </w:rPr>
        <w:t>280</w:t>
      </w:r>
      <w:r w:rsidRPr="00E255F5">
        <w:t>, 109959. https://doi.org/10.1016/j.biocon.2023.109959</w:t>
      </w:r>
    </w:p>
    <w:p w14:paraId="670877FF" w14:textId="77777777" w:rsidR="00E255F5" w:rsidRPr="00E255F5" w:rsidRDefault="00E255F5" w:rsidP="00E255F5">
      <w:pPr>
        <w:pStyle w:val="Bibliography"/>
      </w:pPr>
      <w:r w:rsidRPr="00E255F5">
        <w:t xml:space="preserve">Vander Wall, S. B. (2010). How plants manipulate the scatter-hoarding behaviour of seed-dispersing animals. </w:t>
      </w:r>
      <w:r w:rsidRPr="00E255F5">
        <w:rPr>
          <w:i/>
          <w:iCs/>
        </w:rPr>
        <w:t>Philosophical Transactions of the Royal Society B: Biological Sciences</w:t>
      </w:r>
      <w:r w:rsidRPr="00E255F5">
        <w:t xml:space="preserve">, </w:t>
      </w:r>
      <w:r w:rsidRPr="00E255F5">
        <w:rPr>
          <w:i/>
          <w:iCs/>
        </w:rPr>
        <w:t>365</w:t>
      </w:r>
      <w:r w:rsidRPr="00E255F5">
        <w:t>(1542), 989–997. https://doi.org/10.1098/rstb.2009.0205</w:t>
      </w:r>
    </w:p>
    <w:p w14:paraId="4AF053B8" w14:textId="77777777" w:rsidR="00E255F5" w:rsidRPr="00E255F5" w:rsidRDefault="00E255F5" w:rsidP="00E255F5">
      <w:pPr>
        <w:pStyle w:val="Bibliography"/>
      </w:pPr>
      <w:r w:rsidRPr="00E255F5">
        <w:t xml:space="preserve">Wauters, L. A., Githiru, M., Bertolino, S., Molinari, A., Tosi, G., &amp; Lens, L. (2008). Demography of alpine red squirrel populations in relation to fluctuations in seed crop size. </w:t>
      </w:r>
      <w:r w:rsidRPr="00E255F5">
        <w:rPr>
          <w:i/>
          <w:iCs/>
        </w:rPr>
        <w:t>Ecography</w:t>
      </w:r>
      <w:r w:rsidRPr="00E255F5">
        <w:t xml:space="preserve">, </w:t>
      </w:r>
      <w:r w:rsidRPr="00E255F5">
        <w:rPr>
          <w:i/>
          <w:iCs/>
        </w:rPr>
        <w:t>31</w:t>
      </w:r>
      <w:r w:rsidRPr="00E255F5">
        <w:t>(1), 104–114. https://doi.org/10.1111/j.2007.0906-7590.05251.x</w:t>
      </w:r>
    </w:p>
    <w:p w14:paraId="00C88AC5" w14:textId="77777777" w:rsidR="00E255F5" w:rsidRPr="00E255F5" w:rsidRDefault="00E255F5" w:rsidP="00E255F5">
      <w:pPr>
        <w:pStyle w:val="Bibliography"/>
      </w:pPr>
      <w:r w:rsidRPr="00E255F5">
        <w:t xml:space="preserve">Wiggins, D. A. (2005). </w:t>
      </w:r>
      <w:r w:rsidRPr="00E255F5">
        <w:rPr>
          <w:i/>
          <w:iCs/>
        </w:rPr>
        <w:t>Pinyon Jay (Gymnorhinus cyanocephalus): A technical conservation assessment.</w:t>
      </w:r>
      <w:r w:rsidRPr="00E255F5">
        <w:t xml:space="preserve"> USDA Forest Service, Rocky Mountain Region. http://www.fs.fed.us/r2/projects/scp/assessments/pinyonjay.pdf</w:t>
      </w:r>
    </w:p>
    <w:p w14:paraId="288061A3" w14:textId="77777777" w:rsidR="00E255F5" w:rsidRPr="00E255F5" w:rsidRDefault="00E255F5" w:rsidP="00E255F5">
      <w:pPr>
        <w:pStyle w:val="Bibliography"/>
      </w:pPr>
      <w:r w:rsidRPr="00E255F5">
        <w:t xml:space="preserve">Williams, A. P., Cook, B. I., &amp; Smerdon, J. E. (2022). Rapid intensification of the emerging southwestern North American megadrought in 2020–2021. </w:t>
      </w:r>
      <w:r w:rsidRPr="00E255F5">
        <w:rPr>
          <w:i/>
          <w:iCs/>
        </w:rPr>
        <w:t>Nature Climate Change</w:t>
      </w:r>
      <w:r w:rsidRPr="00E255F5">
        <w:t xml:space="preserve">, </w:t>
      </w:r>
      <w:r w:rsidRPr="00E255F5">
        <w:rPr>
          <w:i/>
          <w:iCs/>
        </w:rPr>
        <w:t>12</w:t>
      </w:r>
      <w:r w:rsidRPr="00E255F5">
        <w:t>(3), 232–234. https://doi.org/10.1038/s41558-022-01290-z</w:t>
      </w:r>
    </w:p>
    <w:p w14:paraId="602E7B49" w14:textId="77777777" w:rsidR="00E255F5" w:rsidRPr="00E255F5" w:rsidRDefault="00E255F5" w:rsidP="00E255F5">
      <w:pPr>
        <w:pStyle w:val="Bibliography"/>
      </w:pPr>
      <w:r w:rsidRPr="00E255F5">
        <w:t xml:space="preserve">Wilson, B. T., Lister, A. J., Riemann, R. I., &amp; Griffith, D. M. (2013). </w:t>
      </w:r>
      <w:r w:rsidRPr="00E255F5">
        <w:rPr>
          <w:i/>
          <w:iCs/>
        </w:rPr>
        <w:t>Live tree species basal area of the contiguous United States (2000-2009)</w:t>
      </w:r>
      <w:r w:rsidRPr="00E255F5">
        <w:t xml:space="preserve"> [Dataset]. Forest Service Research Data Archive. https://doi.org/10.2737/RDS-2013-0013</w:t>
      </w:r>
    </w:p>
    <w:p w14:paraId="723C9963" w14:textId="77777777" w:rsidR="00E255F5" w:rsidRPr="00E255F5" w:rsidRDefault="00E255F5" w:rsidP="00E255F5">
      <w:pPr>
        <w:pStyle w:val="Bibliography"/>
      </w:pPr>
      <w:r w:rsidRPr="00E255F5">
        <w:t xml:space="preserve">Wion, A. P., Pearse, I. S., Broxson, M., &amp; Redmond, M. D. (2025). Mast hindcasts reveal pervasive effects of extreme drought on a foundational conifer species. </w:t>
      </w:r>
      <w:r w:rsidRPr="00E255F5">
        <w:rPr>
          <w:i/>
          <w:iCs/>
        </w:rPr>
        <w:t>New Phytologist</w:t>
      </w:r>
      <w:r w:rsidRPr="00E255F5">
        <w:t xml:space="preserve">, </w:t>
      </w:r>
      <w:r w:rsidRPr="00E255F5">
        <w:rPr>
          <w:i/>
          <w:iCs/>
        </w:rPr>
        <w:t>246</w:t>
      </w:r>
      <w:r w:rsidRPr="00E255F5">
        <w:t>(2), 450–460. https://doi.org/10.1111/nph.20321</w:t>
      </w:r>
    </w:p>
    <w:p w14:paraId="19D568D9" w14:textId="77777777" w:rsidR="00E255F5" w:rsidRPr="00E255F5" w:rsidRDefault="00E255F5" w:rsidP="00E255F5">
      <w:pPr>
        <w:pStyle w:val="Bibliography"/>
      </w:pPr>
      <w:r w:rsidRPr="00E255F5">
        <w:t xml:space="preserve">Wion, A. P., Weisberg, P. J., Pearse, I. S., &amp; Redmond, M. D. (2020). Aridity drives spatiotemporal patterns of masting across the latitudinal range of a dryland conifer. </w:t>
      </w:r>
      <w:r w:rsidRPr="00E255F5">
        <w:rPr>
          <w:i/>
          <w:iCs/>
        </w:rPr>
        <w:t>Ecography</w:t>
      </w:r>
      <w:r w:rsidRPr="00E255F5">
        <w:t xml:space="preserve">, </w:t>
      </w:r>
      <w:r w:rsidRPr="00E255F5">
        <w:rPr>
          <w:i/>
          <w:iCs/>
        </w:rPr>
        <w:t>43</w:t>
      </w:r>
      <w:r w:rsidRPr="00E255F5">
        <w:t>(4), 569–580. https://doi.org/10.1111/ecog.04856</w:t>
      </w:r>
    </w:p>
    <w:p w14:paraId="63350F03" w14:textId="2B24064E" w:rsidR="00482FFC" w:rsidRPr="00482FFC" w:rsidRDefault="0019106D" w:rsidP="00E255F5">
      <w:pPr>
        <w:pStyle w:val="Bibliography"/>
        <w:rPr>
          <w:b/>
          <w:bCs/>
        </w:rPr>
      </w:pPr>
      <w:r>
        <w:rPr>
          <w:b/>
          <w:bCs/>
        </w:rPr>
        <w:lastRenderedPageBreak/>
        <w:fldChar w:fldCharType="end"/>
      </w:r>
    </w:p>
    <w:sectPr w:rsidR="00482FFC" w:rsidRPr="00482FFC" w:rsidSect="00167C71">
      <w:pgSz w:w="12240" w:h="15840"/>
      <w:pgMar w:top="1440" w:right="1440" w:bottom="1440" w:left="1440" w:header="720" w:footer="720" w:gutter="0"/>
      <w:lnNumType w:countBy="1" w:restart="continuous"/>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na Teresa Miller ter Kuile" w:date="2025-05-14T15:30:00Z" w:initials="AK">
    <w:p w14:paraId="249DF32B" w14:textId="6FDA9034" w:rsidR="00A63129" w:rsidRDefault="00A63129" w:rsidP="00A63129">
      <w:r>
        <w:annotationRef/>
      </w:r>
      <w:r w:rsidRPr="33602D50">
        <w:t>will be generating this prior to submission</w:t>
      </w:r>
    </w:p>
  </w:comment>
  <w:comment w:id="11" w:author="Ana Miller-ter Kuile" w:date="2025-11-24T11:45:00Z" w:initials="AM">
    <w:p w14:paraId="5254BC8A" w14:textId="77777777" w:rsidR="00B10674" w:rsidRDefault="00B10674" w:rsidP="00B10674">
      <w:r>
        <w:rPr>
          <w:rStyle w:val="CommentReference"/>
        </w:rPr>
        <w:annotationRef/>
      </w:r>
      <w:r>
        <w:rPr>
          <w:sz w:val="20"/>
          <w:szCs w:val="20"/>
        </w:rPr>
        <w:t>depending on the status of this paper, could cite it here. and/or zylstra paper</w:t>
      </w:r>
    </w:p>
  </w:comment>
  <w:comment w:id="12" w:author="Ana Miller-ter Kuile" w:date="2025-10-23T10:52:00Z" w:initials="AM">
    <w:p w14:paraId="4DA5C79B" w14:textId="77777777" w:rsidR="00773F71" w:rsidRDefault="00773F71" w:rsidP="00773F71">
      <w:r>
        <w:rPr>
          <w:rStyle w:val="CommentReference"/>
        </w:rPr>
        <w:annotationRef/>
      </w:r>
      <w:r>
        <w:rPr>
          <w:sz w:val="20"/>
          <w:szCs w:val="20"/>
        </w:rPr>
        <w:t>Andreas or Kyle, do you have an easy way to figure out elevation, MAP, and MAT for masked cone production or pinyon ba? Otherwise I'll do this</w:t>
      </w:r>
    </w:p>
  </w:comment>
  <w:comment w:id="13" w:author="Kyle Christopher Rodman" w:date="2025-11-17T16:46:00Z" w:initials="KR">
    <w:p w14:paraId="1507D493" w14:textId="77777777" w:rsidR="00A9396E" w:rsidRDefault="00A9396E" w:rsidP="00A9396E">
      <w:pPr>
        <w:pStyle w:val="CommentText"/>
      </w:pPr>
      <w:r>
        <w:rPr>
          <w:rStyle w:val="CommentReference"/>
        </w:rPr>
        <w:annotationRef/>
      </w:r>
      <w:r>
        <w:t>I can do this if you send me the final study area mask layer you used (polygon or 4-km raster are both fine).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9DF32B" w15:done="0"/>
  <w15:commentEx w15:paraId="5254BC8A" w15:done="0"/>
  <w15:commentEx w15:paraId="4DA5C79B" w15:done="0"/>
  <w15:commentEx w15:paraId="1507D493" w15:paraIdParent="4DA5C7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E235D0" w16cex:dateUtc="2025-05-14T22:30:00Z"/>
  <w16cex:commentExtensible w16cex:durableId="30FE324C" w16cex:dateUtc="2025-11-24T18:45:00Z"/>
  <w16cex:commentExtensible w16cex:durableId="0F34C65A" w16cex:dateUtc="2025-10-23T17:52:00Z"/>
  <w16cex:commentExtensible w16cex:durableId="68C6B1ED" w16cex:dateUtc="2025-11-17T2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9DF32B" w16cid:durableId="58E235D0"/>
  <w16cid:commentId w16cid:paraId="5254BC8A" w16cid:durableId="30FE324C"/>
  <w16cid:commentId w16cid:paraId="4DA5C79B" w16cid:durableId="0F34C65A"/>
  <w16cid:commentId w16cid:paraId="1507D493" w16cid:durableId="68C6B1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EC668" w14:textId="77777777" w:rsidR="00F357F8" w:rsidRDefault="00F357F8">
      <w:pPr>
        <w:spacing w:after="0"/>
      </w:pPr>
      <w:r>
        <w:separator/>
      </w:r>
    </w:p>
  </w:endnote>
  <w:endnote w:type="continuationSeparator" w:id="0">
    <w:p w14:paraId="1096D2F9" w14:textId="77777777" w:rsidR="00F357F8" w:rsidRDefault="00F357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343738"/>
      <w:docPartObj>
        <w:docPartGallery w:val="Page Numbers (Bottom of Page)"/>
        <w:docPartUnique/>
      </w:docPartObj>
    </w:sdtPr>
    <w:sdtContent>
      <w:p w14:paraId="1ADB0209" w14:textId="2B2963DF" w:rsidR="00167C71" w:rsidRDefault="00167C71" w:rsidP="00AD71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C55E4">
          <w:rPr>
            <w:rStyle w:val="PageNumber"/>
            <w:noProof/>
          </w:rPr>
          <w:t>5</w:t>
        </w:r>
        <w:r>
          <w:rPr>
            <w:rStyle w:val="PageNumber"/>
          </w:rPr>
          <w:fldChar w:fldCharType="end"/>
        </w:r>
      </w:p>
    </w:sdtContent>
  </w:sdt>
  <w:p w14:paraId="5EE9DEDF" w14:textId="77777777" w:rsidR="00167C71" w:rsidRDefault="00167C71" w:rsidP="00167C71">
    <w:pPr>
      <w:pStyle w:val="Footer"/>
      <w:ind w:right="360"/>
    </w:pPr>
  </w:p>
  <w:p w14:paraId="4D17F56A" w14:textId="77777777" w:rsidR="00ED4EEA" w:rsidRDefault="00ED4E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9240881"/>
      <w:docPartObj>
        <w:docPartGallery w:val="Page Numbers (Bottom of Page)"/>
        <w:docPartUnique/>
      </w:docPartObj>
    </w:sdtPr>
    <w:sdtContent>
      <w:p w14:paraId="3D6D369F" w14:textId="77777777" w:rsidR="00167C71" w:rsidRDefault="00167C71" w:rsidP="00AD71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D54E73" w14:textId="77777777" w:rsidR="00167C71" w:rsidRDefault="00167C71" w:rsidP="00167C71">
    <w:pPr>
      <w:pStyle w:val="Footer"/>
      <w:ind w:right="360"/>
    </w:pPr>
  </w:p>
  <w:p w14:paraId="0F2F5FB5" w14:textId="77777777" w:rsidR="00ED4EEA" w:rsidRDefault="00ED4E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E860D" w14:textId="77777777" w:rsidR="00F357F8" w:rsidRDefault="00F357F8">
      <w:pPr>
        <w:spacing w:after="0"/>
      </w:pPr>
      <w:r>
        <w:separator/>
      </w:r>
    </w:p>
  </w:footnote>
  <w:footnote w:type="continuationSeparator" w:id="0">
    <w:p w14:paraId="04F68731" w14:textId="77777777" w:rsidR="00F357F8" w:rsidRDefault="00F357F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7CE9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8885546"/>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 w15:restartNumberingAfterBreak="0">
    <w:nsid w:val="170CD2DE"/>
    <w:multiLevelType w:val="multilevel"/>
    <w:tmpl w:val="FBAE0E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23507B96"/>
    <w:multiLevelType w:val="hybridMultilevel"/>
    <w:tmpl w:val="ED6273AE"/>
    <w:lvl w:ilvl="0" w:tplc="7C009776">
      <w:start w:val="1"/>
      <w:numFmt w:val="decimal"/>
      <w:lvlText w:val="%1)"/>
      <w:lvlJc w:val="left"/>
      <w:pPr>
        <w:ind w:left="1020" w:hanging="360"/>
      </w:pPr>
    </w:lvl>
    <w:lvl w:ilvl="1" w:tplc="257A1436">
      <w:start w:val="1"/>
      <w:numFmt w:val="decimal"/>
      <w:lvlText w:val="%2)"/>
      <w:lvlJc w:val="left"/>
      <w:pPr>
        <w:ind w:left="1020" w:hanging="360"/>
      </w:pPr>
    </w:lvl>
    <w:lvl w:ilvl="2" w:tplc="B28E8A6E">
      <w:start w:val="1"/>
      <w:numFmt w:val="decimal"/>
      <w:lvlText w:val="%3)"/>
      <w:lvlJc w:val="left"/>
      <w:pPr>
        <w:ind w:left="1020" w:hanging="360"/>
      </w:pPr>
    </w:lvl>
    <w:lvl w:ilvl="3" w:tplc="36826F6E">
      <w:start w:val="1"/>
      <w:numFmt w:val="decimal"/>
      <w:lvlText w:val="%4)"/>
      <w:lvlJc w:val="left"/>
      <w:pPr>
        <w:ind w:left="1020" w:hanging="360"/>
      </w:pPr>
    </w:lvl>
    <w:lvl w:ilvl="4" w:tplc="34E82EB0">
      <w:start w:val="1"/>
      <w:numFmt w:val="decimal"/>
      <w:lvlText w:val="%5)"/>
      <w:lvlJc w:val="left"/>
      <w:pPr>
        <w:ind w:left="1020" w:hanging="360"/>
      </w:pPr>
    </w:lvl>
    <w:lvl w:ilvl="5" w:tplc="771497C8">
      <w:start w:val="1"/>
      <w:numFmt w:val="decimal"/>
      <w:lvlText w:val="%6)"/>
      <w:lvlJc w:val="left"/>
      <w:pPr>
        <w:ind w:left="1020" w:hanging="360"/>
      </w:pPr>
    </w:lvl>
    <w:lvl w:ilvl="6" w:tplc="40D6C93C">
      <w:start w:val="1"/>
      <w:numFmt w:val="decimal"/>
      <w:lvlText w:val="%7)"/>
      <w:lvlJc w:val="left"/>
      <w:pPr>
        <w:ind w:left="1020" w:hanging="360"/>
      </w:pPr>
    </w:lvl>
    <w:lvl w:ilvl="7" w:tplc="8F30A4A2">
      <w:start w:val="1"/>
      <w:numFmt w:val="decimal"/>
      <w:lvlText w:val="%8)"/>
      <w:lvlJc w:val="left"/>
      <w:pPr>
        <w:ind w:left="1020" w:hanging="360"/>
      </w:pPr>
    </w:lvl>
    <w:lvl w:ilvl="8" w:tplc="76D06E38">
      <w:start w:val="1"/>
      <w:numFmt w:val="decimal"/>
      <w:lvlText w:val="%9)"/>
      <w:lvlJc w:val="left"/>
      <w:pPr>
        <w:ind w:left="1020" w:hanging="360"/>
      </w:pPr>
    </w:lvl>
  </w:abstractNum>
  <w:abstractNum w:abstractNumId="4" w15:restartNumberingAfterBreak="0">
    <w:nsid w:val="76A329A5"/>
    <w:multiLevelType w:val="hybridMultilevel"/>
    <w:tmpl w:val="AC76B924"/>
    <w:lvl w:ilvl="0" w:tplc="3C482A12">
      <w:start w:val="1"/>
      <w:numFmt w:val="decimal"/>
      <w:lvlText w:val="%1)"/>
      <w:lvlJc w:val="left"/>
      <w:pPr>
        <w:ind w:left="1020" w:hanging="360"/>
      </w:pPr>
    </w:lvl>
    <w:lvl w:ilvl="1" w:tplc="5CE8BB2C">
      <w:start w:val="1"/>
      <w:numFmt w:val="decimal"/>
      <w:lvlText w:val="%2)"/>
      <w:lvlJc w:val="left"/>
      <w:pPr>
        <w:ind w:left="1020" w:hanging="360"/>
      </w:pPr>
    </w:lvl>
    <w:lvl w:ilvl="2" w:tplc="156E7B34">
      <w:start w:val="1"/>
      <w:numFmt w:val="decimal"/>
      <w:lvlText w:val="%3)"/>
      <w:lvlJc w:val="left"/>
      <w:pPr>
        <w:ind w:left="1020" w:hanging="360"/>
      </w:pPr>
    </w:lvl>
    <w:lvl w:ilvl="3" w:tplc="1BC25C98">
      <w:start w:val="1"/>
      <w:numFmt w:val="decimal"/>
      <w:lvlText w:val="%4)"/>
      <w:lvlJc w:val="left"/>
      <w:pPr>
        <w:ind w:left="1020" w:hanging="360"/>
      </w:pPr>
    </w:lvl>
    <w:lvl w:ilvl="4" w:tplc="9D8EB642">
      <w:start w:val="1"/>
      <w:numFmt w:val="decimal"/>
      <w:lvlText w:val="%5)"/>
      <w:lvlJc w:val="left"/>
      <w:pPr>
        <w:ind w:left="1020" w:hanging="360"/>
      </w:pPr>
    </w:lvl>
    <w:lvl w:ilvl="5" w:tplc="9AE260B4">
      <w:start w:val="1"/>
      <w:numFmt w:val="decimal"/>
      <w:lvlText w:val="%6)"/>
      <w:lvlJc w:val="left"/>
      <w:pPr>
        <w:ind w:left="1020" w:hanging="360"/>
      </w:pPr>
    </w:lvl>
    <w:lvl w:ilvl="6" w:tplc="2F44CDAC">
      <w:start w:val="1"/>
      <w:numFmt w:val="decimal"/>
      <w:lvlText w:val="%7)"/>
      <w:lvlJc w:val="left"/>
      <w:pPr>
        <w:ind w:left="1020" w:hanging="360"/>
      </w:pPr>
    </w:lvl>
    <w:lvl w:ilvl="7" w:tplc="DD64F5A0">
      <w:start w:val="1"/>
      <w:numFmt w:val="decimal"/>
      <w:lvlText w:val="%8)"/>
      <w:lvlJc w:val="left"/>
      <w:pPr>
        <w:ind w:left="1020" w:hanging="360"/>
      </w:pPr>
    </w:lvl>
    <w:lvl w:ilvl="8" w:tplc="A9385F10">
      <w:start w:val="1"/>
      <w:numFmt w:val="decimal"/>
      <w:lvlText w:val="%9)"/>
      <w:lvlJc w:val="left"/>
      <w:pPr>
        <w:ind w:left="1020" w:hanging="360"/>
      </w:pPr>
    </w:lvl>
  </w:abstractNum>
  <w:num w:numId="1" w16cid:durableId="1651514795">
    <w:abstractNumId w:val="2"/>
  </w:num>
  <w:num w:numId="2" w16cid:durableId="1441146044">
    <w:abstractNumId w:val="0"/>
  </w:num>
  <w:num w:numId="3" w16cid:durableId="195050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9163685">
    <w:abstractNumId w:val="3"/>
  </w:num>
  <w:num w:numId="5" w16cid:durableId="51684601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Teresa Miller ter Kuile">
    <w15:presenceInfo w15:providerId="AD" w15:userId="S::ana.miller-ter-kuile@nau.edu::f05f7ea4-c99a-402b-8c05-7689738ab6c0"/>
  </w15:person>
  <w15:person w15:author="Ana Miller-ter Kuile">
    <w15:presenceInfo w15:providerId="AD" w15:userId="S::Ana.Miller-ter-Kuile@nau.edu::f05f7ea4-c99a-402b-8c05-7689738ab6c0"/>
  </w15:person>
  <w15:person w15:author="Kyle Christopher Rodman">
    <w15:presenceInfo w15:providerId="AD" w15:userId="S::Kyle.Rodman@nau.edu::eb4c0d42-db71-4cbe-95f9-6192ec5d81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D8"/>
    <w:rsid w:val="000032E0"/>
    <w:rsid w:val="000042D2"/>
    <w:rsid w:val="000062B8"/>
    <w:rsid w:val="00017D05"/>
    <w:rsid w:val="0002057B"/>
    <w:rsid w:val="00027875"/>
    <w:rsid w:val="0003237A"/>
    <w:rsid w:val="00033D47"/>
    <w:rsid w:val="0003459F"/>
    <w:rsid w:val="0003608C"/>
    <w:rsid w:val="000361A4"/>
    <w:rsid w:val="00040BEC"/>
    <w:rsid w:val="00041FCB"/>
    <w:rsid w:val="000429E8"/>
    <w:rsid w:val="00044EBB"/>
    <w:rsid w:val="000473DE"/>
    <w:rsid w:val="0005263B"/>
    <w:rsid w:val="00052BC7"/>
    <w:rsid w:val="0005503F"/>
    <w:rsid w:val="00055DC4"/>
    <w:rsid w:val="00060FDD"/>
    <w:rsid w:val="0007162F"/>
    <w:rsid w:val="00075183"/>
    <w:rsid w:val="00084D6C"/>
    <w:rsid w:val="00085CB0"/>
    <w:rsid w:val="0008670E"/>
    <w:rsid w:val="00087686"/>
    <w:rsid w:val="00092E59"/>
    <w:rsid w:val="00095BA5"/>
    <w:rsid w:val="00095BB1"/>
    <w:rsid w:val="00097FDA"/>
    <w:rsid w:val="000A0DF7"/>
    <w:rsid w:val="000A3078"/>
    <w:rsid w:val="000A515F"/>
    <w:rsid w:val="000B293B"/>
    <w:rsid w:val="000C10E5"/>
    <w:rsid w:val="000C1F3C"/>
    <w:rsid w:val="000C6F45"/>
    <w:rsid w:val="000D2862"/>
    <w:rsid w:val="000D4944"/>
    <w:rsid w:val="000D576B"/>
    <w:rsid w:val="000E0454"/>
    <w:rsid w:val="000E6782"/>
    <w:rsid w:val="000F105A"/>
    <w:rsid w:val="000F1361"/>
    <w:rsid w:val="000F58CB"/>
    <w:rsid w:val="00100FEF"/>
    <w:rsid w:val="00101B8B"/>
    <w:rsid w:val="00106000"/>
    <w:rsid w:val="00112596"/>
    <w:rsid w:val="0011345D"/>
    <w:rsid w:val="001134E3"/>
    <w:rsid w:val="00114B4D"/>
    <w:rsid w:val="00117E82"/>
    <w:rsid w:val="00120D0B"/>
    <w:rsid w:val="00126373"/>
    <w:rsid w:val="00126AE2"/>
    <w:rsid w:val="001278B6"/>
    <w:rsid w:val="00132C63"/>
    <w:rsid w:val="0013435E"/>
    <w:rsid w:val="00136F49"/>
    <w:rsid w:val="00137F43"/>
    <w:rsid w:val="00144A45"/>
    <w:rsid w:val="00144DD8"/>
    <w:rsid w:val="001533AB"/>
    <w:rsid w:val="001539DD"/>
    <w:rsid w:val="001567E0"/>
    <w:rsid w:val="0015719C"/>
    <w:rsid w:val="00163352"/>
    <w:rsid w:val="00164413"/>
    <w:rsid w:val="00164807"/>
    <w:rsid w:val="00167C71"/>
    <w:rsid w:val="00167D56"/>
    <w:rsid w:val="00167FA4"/>
    <w:rsid w:val="00170376"/>
    <w:rsid w:val="00172574"/>
    <w:rsid w:val="001732F2"/>
    <w:rsid w:val="00174DE0"/>
    <w:rsid w:val="00180953"/>
    <w:rsid w:val="00183C56"/>
    <w:rsid w:val="00185471"/>
    <w:rsid w:val="00186ED6"/>
    <w:rsid w:val="0019106D"/>
    <w:rsid w:val="001A1D21"/>
    <w:rsid w:val="001A2BA1"/>
    <w:rsid w:val="001B1614"/>
    <w:rsid w:val="001B2070"/>
    <w:rsid w:val="001B2A36"/>
    <w:rsid w:val="001C0394"/>
    <w:rsid w:val="001C0B34"/>
    <w:rsid w:val="001C5D82"/>
    <w:rsid w:val="001D587C"/>
    <w:rsid w:val="001D6AB7"/>
    <w:rsid w:val="001E115E"/>
    <w:rsid w:val="001E2CD1"/>
    <w:rsid w:val="001E49C9"/>
    <w:rsid w:val="001F0F1C"/>
    <w:rsid w:val="001F33F2"/>
    <w:rsid w:val="001F4871"/>
    <w:rsid w:val="001F5D31"/>
    <w:rsid w:val="00201970"/>
    <w:rsid w:val="00201D20"/>
    <w:rsid w:val="00203A94"/>
    <w:rsid w:val="0020409F"/>
    <w:rsid w:val="00207146"/>
    <w:rsid w:val="002130E2"/>
    <w:rsid w:val="00213B0C"/>
    <w:rsid w:val="002151D1"/>
    <w:rsid w:val="00220145"/>
    <w:rsid w:val="00221064"/>
    <w:rsid w:val="0022587B"/>
    <w:rsid w:val="002271A6"/>
    <w:rsid w:val="00232AF7"/>
    <w:rsid w:val="00236C22"/>
    <w:rsid w:val="002407CC"/>
    <w:rsid w:val="00240BE0"/>
    <w:rsid w:val="00241C08"/>
    <w:rsid w:val="00247FB8"/>
    <w:rsid w:val="00252CDA"/>
    <w:rsid w:val="002537F2"/>
    <w:rsid w:val="00274B0A"/>
    <w:rsid w:val="00275582"/>
    <w:rsid w:val="00281722"/>
    <w:rsid w:val="00282005"/>
    <w:rsid w:val="00287C85"/>
    <w:rsid w:val="00291DDF"/>
    <w:rsid w:val="002946CD"/>
    <w:rsid w:val="002A02DF"/>
    <w:rsid w:val="002A78F8"/>
    <w:rsid w:val="002B1C09"/>
    <w:rsid w:val="002B4D81"/>
    <w:rsid w:val="002B4F02"/>
    <w:rsid w:val="002B6119"/>
    <w:rsid w:val="002C0AB4"/>
    <w:rsid w:val="002C2F27"/>
    <w:rsid w:val="002C51E3"/>
    <w:rsid w:val="002C7452"/>
    <w:rsid w:val="002D0660"/>
    <w:rsid w:val="002D088D"/>
    <w:rsid w:val="002D59D0"/>
    <w:rsid w:val="002E03AA"/>
    <w:rsid w:val="002E059F"/>
    <w:rsid w:val="002E0719"/>
    <w:rsid w:val="002E21C0"/>
    <w:rsid w:val="002E297C"/>
    <w:rsid w:val="002E4972"/>
    <w:rsid w:val="002E6AEF"/>
    <w:rsid w:val="002E7051"/>
    <w:rsid w:val="002F06B9"/>
    <w:rsid w:val="002F4A30"/>
    <w:rsid w:val="002F4C16"/>
    <w:rsid w:val="0030190A"/>
    <w:rsid w:val="003031A3"/>
    <w:rsid w:val="00306013"/>
    <w:rsid w:val="00310A66"/>
    <w:rsid w:val="00314B1C"/>
    <w:rsid w:val="00315E09"/>
    <w:rsid w:val="00316DD4"/>
    <w:rsid w:val="003215D9"/>
    <w:rsid w:val="0032401D"/>
    <w:rsid w:val="0033080B"/>
    <w:rsid w:val="00332E9D"/>
    <w:rsid w:val="003405CF"/>
    <w:rsid w:val="00343DB2"/>
    <w:rsid w:val="00347BE8"/>
    <w:rsid w:val="003541EC"/>
    <w:rsid w:val="00355557"/>
    <w:rsid w:val="00363179"/>
    <w:rsid w:val="00364CA8"/>
    <w:rsid w:val="003800A1"/>
    <w:rsid w:val="0038517D"/>
    <w:rsid w:val="00391CEA"/>
    <w:rsid w:val="003971A1"/>
    <w:rsid w:val="003A2DC6"/>
    <w:rsid w:val="003A387F"/>
    <w:rsid w:val="003A4B20"/>
    <w:rsid w:val="003B0A5C"/>
    <w:rsid w:val="003B444C"/>
    <w:rsid w:val="003B53B7"/>
    <w:rsid w:val="003C5AF7"/>
    <w:rsid w:val="003C7683"/>
    <w:rsid w:val="003D1B61"/>
    <w:rsid w:val="003D3A9C"/>
    <w:rsid w:val="003E060B"/>
    <w:rsid w:val="003E0957"/>
    <w:rsid w:val="003F2E29"/>
    <w:rsid w:val="00410872"/>
    <w:rsid w:val="00410EEF"/>
    <w:rsid w:val="00424DD0"/>
    <w:rsid w:val="00425D9D"/>
    <w:rsid w:val="00430E5C"/>
    <w:rsid w:val="00433D60"/>
    <w:rsid w:val="0043636C"/>
    <w:rsid w:val="00441A32"/>
    <w:rsid w:val="004451D0"/>
    <w:rsid w:val="00447E7E"/>
    <w:rsid w:val="00447F19"/>
    <w:rsid w:val="00450279"/>
    <w:rsid w:val="00451E9A"/>
    <w:rsid w:val="00456A3F"/>
    <w:rsid w:val="00464FBB"/>
    <w:rsid w:val="00467B8C"/>
    <w:rsid w:val="00476451"/>
    <w:rsid w:val="0047671F"/>
    <w:rsid w:val="004778B7"/>
    <w:rsid w:val="004819E8"/>
    <w:rsid w:val="00482FFC"/>
    <w:rsid w:val="00493A20"/>
    <w:rsid w:val="00495C69"/>
    <w:rsid w:val="004A00EE"/>
    <w:rsid w:val="004A1F09"/>
    <w:rsid w:val="004A572E"/>
    <w:rsid w:val="004B339F"/>
    <w:rsid w:val="004B3824"/>
    <w:rsid w:val="004B4090"/>
    <w:rsid w:val="004C1B7B"/>
    <w:rsid w:val="004C5801"/>
    <w:rsid w:val="004D072B"/>
    <w:rsid w:val="004D074E"/>
    <w:rsid w:val="004D1644"/>
    <w:rsid w:val="004D4B7B"/>
    <w:rsid w:val="004D75E2"/>
    <w:rsid w:val="004E592D"/>
    <w:rsid w:val="004F23B2"/>
    <w:rsid w:val="004F304B"/>
    <w:rsid w:val="004F39EE"/>
    <w:rsid w:val="004F6AF1"/>
    <w:rsid w:val="00500830"/>
    <w:rsid w:val="00501471"/>
    <w:rsid w:val="005022EE"/>
    <w:rsid w:val="00503E87"/>
    <w:rsid w:val="005125CA"/>
    <w:rsid w:val="00513209"/>
    <w:rsid w:val="00514659"/>
    <w:rsid w:val="00516F48"/>
    <w:rsid w:val="005236F7"/>
    <w:rsid w:val="00525803"/>
    <w:rsid w:val="0053610F"/>
    <w:rsid w:val="0054338E"/>
    <w:rsid w:val="0054437E"/>
    <w:rsid w:val="005507D3"/>
    <w:rsid w:val="00553CD4"/>
    <w:rsid w:val="00557FAA"/>
    <w:rsid w:val="0056001F"/>
    <w:rsid w:val="00562D45"/>
    <w:rsid w:val="00566238"/>
    <w:rsid w:val="00566D27"/>
    <w:rsid w:val="00567F89"/>
    <w:rsid w:val="00570A7A"/>
    <w:rsid w:val="00575F07"/>
    <w:rsid w:val="00586B10"/>
    <w:rsid w:val="0058745E"/>
    <w:rsid w:val="005B22F4"/>
    <w:rsid w:val="005C16F0"/>
    <w:rsid w:val="005C1865"/>
    <w:rsid w:val="005C443E"/>
    <w:rsid w:val="005C6E8E"/>
    <w:rsid w:val="005D1761"/>
    <w:rsid w:val="005D5F13"/>
    <w:rsid w:val="005D7B77"/>
    <w:rsid w:val="005D7C8D"/>
    <w:rsid w:val="005E2AEB"/>
    <w:rsid w:val="005F1762"/>
    <w:rsid w:val="005F6A84"/>
    <w:rsid w:val="005F7BD6"/>
    <w:rsid w:val="006062EF"/>
    <w:rsid w:val="006103F0"/>
    <w:rsid w:val="00611FF5"/>
    <w:rsid w:val="00612557"/>
    <w:rsid w:val="006156A2"/>
    <w:rsid w:val="006176BD"/>
    <w:rsid w:val="00626A70"/>
    <w:rsid w:val="0063252F"/>
    <w:rsid w:val="006332F8"/>
    <w:rsid w:val="006346F4"/>
    <w:rsid w:val="006359D1"/>
    <w:rsid w:val="006366C7"/>
    <w:rsid w:val="00653D9D"/>
    <w:rsid w:val="006561E7"/>
    <w:rsid w:val="00660EB4"/>
    <w:rsid w:val="00661C27"/>
    <w:rsid w:val="00662164"/>
    <w:rsid w:val="00666031"/>
    <w:rsid w:val="0067010F"/>
    <w:rsid w:val="00670A32"/>
    <w:rsid w:val="00671A01"/>
    <w:rsid w:val="00675CD1"/>
    <w:rsid w:val="00677864"/>
    <w:rsid w:val="006872A2"/>
    <w:rsid w:val="0069403D"/>
    <w:rsid w:val="006941F9"/>
    <w:rsid w:val="006A19E1"/>
    <w:rsid w:val="006A3CC2"/>
    <w:rsid w:val="006B310C"/>
    <w:rsid w:val="006B3C02"/>
    <w:rsid w:val="006B595D"/>
    <w:rsid w:val="006C0909"/>
    <w:rsid w:val="006C0C4E"/>
    <w:rsid w:val="006C1BC7"/>
    <w:rsid w:val="006C24CC"/>
    <w:rsid w:val="006C286D"/>
    <w:rsid w:val="006C4265"/>
    <w:rsid w:val="006C55E4"/>
    <w:rsid w:val="006D050D"/>
    <w:rsid w:val="006D4791"/>
    <w:rsid w:val="006E3DFE"/>
    <w:rsid w:val="006F4C84"/>
    <w:rsid w:val="007055F9"/>
    <w:rsid w:val="007069A1"/>
    <w:rsid w:val="00707916"/>
    <w:rsid w:val="00711C3E"/>
    <w:rsid w:val="0071261C"/>
    <w:rsid w:val="00715C1E"/>
    <w:rsid w:val="0071752D"/>
    <w:rsid w:val="00727370"/>
    <w:rsid w:val="00728D59"/>
    <w:rsid w:val="00730381"/>
    <w:rsid w:val="00730881"/>
    <w:rsid w:val="00731FCA"/>
    <w:rsid w:val="007351E8"/>
    <w:rsid w:val="007354EE"/>
    <w:rsid w:val="00746793"/>
    <w:rsid w:val="00750A3F"/>
    <w:rsid w:val="007515C2"/>
    <w:rsid w:val="007545A8"/>
    <w:rsid w:val="0076200F"/>
    <w:rsid w:val="00762550"/>
    <w:rsid w:val="00767225"/>
    <w:rsid w:val="00770AED"/>
    <w:rsid w:val="00771E0C"/>
    <w:rsid w:val="007725FB"/>
    <w:rsid w:val="00773F71"/>
    <w:rsid w:val="00775082"/>
    <w:rsid w:val="00783A92"/>
    <w:rsid w:val="00785258"/>
    <w:rsid w:val="00785688"/>
    <w:rsid w:val="00785908"/>
    <w:rsid w:val="00786C4E"/>
    <w:rsid w:val="007945A8"/>
    <w:rsid w:val="00796BA8"/>
    <w:rsid w:val="00796DA3"/>
    <w:rsid w:val="007A2C07"/>
    <w:rsid w:val="007A4E12"/>
    <w:rsid w:val="007A7694"/>
    <w:rsid w:val="007B1138"/>
    <w:rsid w:val="007B38FC"/>
    <w:rsid w:val="007C026E"/>
    <w:rsid w:val="007C037C"/>
    <w:rsid w:val="007C330C"/>
    <w:rsid w:val="007D07E4"/>
    <w:rsid w:val="007D0906"/>
    <w:rsid w:val="007D24D5"/>
    <w:rsid w:val="007D7AD4"/>
    <w:rsid w:val="007E06C9"/>
    <w:rsid w:val="007E3278"/>
    <w:rsid w:val="007E3BE6"/>
    <w:rsid w:val="007F0677"/>
    <w:rsid w:val="007F20E9"/>
    <w:rsid w:val="008059C1"/>
    <w:rsid w:val="008101C6"/>
    <w:rsid w:val="008114F5"/>
    <w:rsid w:val="00813DB2"/>
    <w:rsid w:val="008160B6"/>
    <w:rsid w:val="008266CE"/>
    <w:rsid w:val="008338FA"/>
    <w:rsid w:val="00840051"/>
    <w:rsid w:val="00840650"/>
    <w:rsid w:val="0084104D"/>
    <w:rsid w:val="00841D0F"/>
    <w:rsid w:val="008504FC"/>
    <w:rsid w:val="0085194B"/>
    <w:rsid w:val="00857430"/>
    <w:rsid w:val="00870758"/>
    <w:rsid w:val="008734E2"/>
    <w:rsid w:val="00874FFC"/>
    <w:rsid w:val="0087791A"/>
    <w:rsid w:val="00881E15"/>
    <w:rsid w:val="0089071C"/>
    <w:rsid w:val="00891335"/>
    <w:rsid w:val="008917CB"/>
    <w:rsid w:val="00893C0E"/>
    <w:rsid w:val="00895C5C"/>
    <w:rsid w:val="008A1F18"/>
    <w:rsid w:val="008A3B61"/>
    <w:rsid w:val="008A4CAE"/>
    <w:rsid w:val="008B24AA"/>
    <w:rsid w:val="008B2E16"/>
    <w:rsid w:val="008B4629"/>
    <w:rsid w:val="008B6542"/>
    <w:rsid w:val="008C01AB"/>
    <w:rsid w:val="008C03F4"/>
    <w:rsid w:val="008C2A23"/>
    <w:rsid w:val="008C3953"/>
    <w:rsid w:val="008C60A1"/>
    <w:rsid w:val="008D0154"/>
    <w:rsid w:val="008D0582"/>
    <w:rsid w:val="008E765E"/>
    <w:rsid w:val="008F1739"/>
    <w:rsid w:val="008F3C99"/>
    <w:rsid w:val="008F4B4E"/>
    <w:rsid w:val="008F5C8E"/>
    <w:rsid w:val="008F6A89"/>
    <w:rsid w:val="009058BB"/>
    <w:rsid w:val="0091159F"/>
    <w:rsid w:val="00914C70"/>
    <w:rsid w:val="00923997"/>
    <w:rsid w:val="00925D18"/>
    <w:rsid w:val="00925DBD"/>
    <w:rsid w:val="0093338E"/>
    <w:rsid w:val="00935F1A"/>
    <w:rsid w:val="00942FE3"/>
    <w:rsid w:val="009459F1"/>
    <w:rsid w:val="0095581B"/>
    <w:rsid w:val="00964845"/>
    <w:rsid w:val="00966CEB"/>
    <w:rsid w:val="00975F2C"/>
    <w:rsid w:val="00976682"/>
    <w:rsid w:val="00980C42"/>
    <w:rsid w:val="00984B8F"/>
    <w:rsid w:val="00986444"/>
    <w:rsid w:val="00987616"/>
    <w:rsid w:val="009877EF"/>
    <w:rsid w:val="0099134A"/>
    <w:rsid w:val="009A0E39"/>
    <w:rsid w:val="009A1BE6"/>
    <w:rsid w:val="009A5227"/>
    <w:rsid w:val="009A62EA"/>
    <w:rsid w:val="009C1715"/>
    <w:rsid w:val="009C1F31"/>
    <w:rsid w:val="009C4515"/>
    <w:rsid w:val="009C789D"/>
    <w:rsid w:val="009D37C7"/>
    <w:rsid w:val="009D4668"/>
    <w:rsid w:val="009E09D3"/>
    <w:rsid w:val="009E14D3"/>
    <w:rsid w:val="009E6BD1"/>
    <w:rsid w:val="009E74D5"/>
    <w:rsid w:val="009E7BA9"/>
    <w:rsid w:val="009F4C17"/>
    <w:rsid w:val="009F63B2"/>
    <w:rsid w:val="00A05CF5"/>
    <w:rsid w:val="00A065AD"/>
    <w:rsid w:val="00A07EA6"/>
    <w:rsid w:val="00A161E6"/>
    <w:rsid w:val="00A17E2A"/>
    <w:rsid w:val="00A2318C"/>
    <w:rsid w:val="00A25E4A"/>
    <w:rsid w:val="00A272CA"/>
    <w:rsid w:val="00A2792A"/>
    <w:rsid w:val="00A31A62"/>
    <w:rsid w:val="00A328DE"/>
    <w:rsid w:val="00A418CE"/>
    <w:rsid w:val="00A436CB"/>
    <w:rsid w:val="00A51923"/>
    <w:rsid w:val="00A53FB8"/>
    <w:rsid w:val="00A61BB6"/>
    <w:rsid w:val="00A63129"/>
    <w:rsid w:val="00A643B6"/>
    <w:rsid w:val="00A65EEF"/>
    <w:rsid w:val="00A66A63"/>
    <w:rsid w:val="00A67323"/>
    <w:rsid w:val="00A67345"/>
    <w:rsid w:val="00A74DE0"/>
    <w:rsid w:val="00A776D5"/>
    <w:rsid w:val="00A8291E"/>
    <w:rsid w:val="00A82A9B"/>
    <w:rsid w:val="00A8348E"/>
    <w:rsid w:val="00A86FA3"/>
    <w:rsid w:val="00A877D2"/>
    <w:rsid w:val="00A9396E"/>
    <w:rsid w:val="00A94DE2"/>
    <w:rsid w:val="00A95DE3"/>
    <w:rsid w:val="00AA0340"/>
    <w:rsid w:val="00AA3036"/>
    <w:rsid w:val="00AA5B73"/>
    <w:rsid w:val="00AA646D"/>
    <w:rsid w:val="00AA6B58"/>
    <w:rsid w:val="00AB19C2"/>
    <w:rsid w:val="00AB68B2"/>
    <w:rsid w:val="00AB69C7"/>
    <w:rsid w:val="00AC0442"/>
    <w:rsid w:val="00AC06F3"/>
    <w:rsid w:val="00AC0C55"/>
    <w:rsid w:val="00AC281A"/>
    <w:rsid w:val="00AC35BA"/>
    <w:rsid w:val="00AD2B50"/>
    <w:rsid w:val="00AD7105"/>
    <w:rsid w:val="00AE1E03"/>
    <w:rsid w:val="00AF178B"/>
    <w:rsid w:val="00AF6F1D"/>
    <w:rsid w:val="00B01D36"/>
    <w:rsid w:val="00B031CF"/>
    <w:rsid w:val="00B0326C"/>
    <w:rsid w:val="00B056C2"/>
    <w:rsid w:val="00B073FE"/>
    <w:rsid w:val="00B07713"/>
    <w:rsid w:val="00B079E1"/>
    <w:rsid w:val="00B10674"/>
    <w:rsid w:val="00B11DD0"/>
    <w:rsid w:val="00B20446"/>
    <w:rsid w:val="00B20A83"/>
    <w:rsid w:val="00B21451"/>
    <w:rsid w:val="00B24923"/>
    <w:rsid w:val="00B24D39"/>
    <w:rsid w:val="00B3041B"/>
    <w:rsid w:val="00B332AB"/>
    <w:rsid w:val="00B332C6"/>
    <w:rsid w:val="00B336AD"/>
    <w:rsid w:val="00B36970"/>
    <w:rsid w:val="00B36AD7"/>
    <w:rsid w:val="00B43C2E"/>
    <w:rsid w:val="00B44A83"/>
    <w:rsid w:val="00B47A0F"/>
    <w:rsid w:val="00B4B2EF"/>
    <w:rsid w:val="00B51F5B"/>
    <w:rsid w:val="00B54073"/>
    <w:rsid w:val="00B63F63"/>
    <w:rsid w:val="00B65236"/>
    <w:rsid w:val="00B652FB"/>
    <w:rsid w:val="00B7104A"/>
    <w:rsid w:val="00B75DCB"/>
    <w:rsid w:val="00B776ED"/>
    <w:rsid w:val="00B81AEA"/>
    <w:rsid w:val="00B96D92"/>
    <w:rsid w:val="00B96F20"/>
    <w:rsid w:val="00BA22E9"/>
    <w:rsid w:val="00BA25C1"/>
    <w:rsid w:val="00BA3FBE"/>
    <w:rsid w:val="00BA4510"/>
    <w:rsid w:val="00BA739E"/>
    <w:rsid w:val="00BB019C"/>
    <w:rsid w:val="00BB28EF"/>
    <w:rsid w:val="00BB5E8E"/>
    <w:rsid w:val="00BB7680"/>
    <w:rsid w:val="00BC2839"/>
    <w:rsid w:val="00BD3DAE"/>
    <w:rsid w:val="00BD6793"/>
    <w:rsid w:val="00BE17B6"/>
    <w:rsid w:val="00BE2C8D"/>
    <w:rsid w:val="00BE3A4A"/>
    <w:rsid w:val="00BE7379"/>
    <w:rsid w:val="00BF2AC0"/>
    <w:rsid w:val="00BF533E"/>
    <w:rsid w:val="00BF706B"/>
    <w:rsid w:val="00BF7267"/>
    <w:rsid w:val="00BF7B38"/>
    <w:rsid w:val="00BF7F7B"/>
    <w:rsid w:val="00C01E47"/>
    <w:rsid w:val="00C06288"/>
    <w:rsid w:val="00C1265F"/>
    <w:rsid w:val="00C146AB"/>
    <w:rsid w:val="00C20520"/>
    <w:rsid w:val="00C21ACB"/>
    <w:rsid w:val="00C33659"/>
    <w:rsid w:val="00C37DC0"/>
    <w:rsid w:val="00C40EEE"/>
    <w:rsid w:val="00C5145A"/>
    <w:rsid w:val="00C51F3D"/>
    <w:rsid w:val="00C64B83"/>
    <w:rsid w:val="00C65975"/>
    <w:rsid w:val="00C7167B"/>
    <w:rsid w:val="00C727CD"/>
    <w:rsid w:val="00C82930"/>
    <w:rsid w:val="00CA63FB"/>
    <w:rsid w:val="00CC11D6"/>
    <w:rsid w:val="00CC2005"/>
    <w:rsid w:val="00CC5652"/>
    <w:rsid w:val="00CD7DF1"/>
    <w:rsid w:val="00CE1439"/>
    <w:rsid w:val="00CE1655"/>
    <w:rsid w:val="00CE2976"/>
    <w:rsid w:val="00CE2CA1"/>
    <w:rsid w:val="00CE3E9E"/>
    <w:rsid w:val="00CE5DE4"/>
    <w:rsid w:val="00CF7BD5"/>
    <w:rsid w:val="00D05C5C"/>
    <w:rsid w:val="00D11A36"/>
    <w:rsid w:val="00D14993"/>
    <w:rsid w:val="00D14E9C"/>
    <w:rsid w:val="00D16839"/>
    <w:rsid w:val="00D23F1E"/>
    <w:rsid w:val="00D25C6F"/>
    <w:rsid w:val="00D30A78"/>
    <w:rsid w:val="00D351AD"/>
    <w:rsid w:val="00D35F65"/>
    <w:rsid w:val="00D373F1"/>
    <w:rsid w:val="00D37BB0"/>
    <w:rsid w:val="00D37DB1"/>
    <w:rsid w:val="00D426C8"/>
    <w:rsid w:val="00D430F8"/>
    <w:rsid w:val="00D431E9"/>
    <w:rsid w:val="00D52D77"/>
    <w:rsid w:val="00D5360B"/>
    <w:rsid w:val="00D5436E"/>
    <w:rsid w:val="00D56CAF"/>
    <w:rsid w:val="00D65306"/>
    <w:rsid w:val="00D67E4C"/>
    <w:rsid w:val="00D712C3"/>
    <w:rsid w:val="00D753EE"/>
    <w:rsid w:val="00D75767"/>
    <w:rsid w:val="00D75DFA"/>
    <w:rsid w:val="00D76EE0"/>
    <w:rsid w:val="00D77F03"/>
    <w:rsid w:val="00D8423D"/>
    <w:rsid w:val="00D85BFC"/>
    <w:rsid w:val="00D86531"/>
    <w:rsid w:val="00D91440"/>
    <w:rsid w:val="00D93931"/>
    <w:rsid w:val="00D94289"/>
    <w:rsid w:val="00DA6BA9"/>
    <w:rsid w:val="00DB13BB"/>
    <w:rsid w:val="00DB2382"/>
    <w:rsid w:val="00DB248A"/>
    <w:rsid w:val="00DB75D3"/>
    <w:rsid w:val="00DB7B1F"/>
    <w:rsid w:val="00DC33CD"/>
    <w:rsid w:val="00DD05C3"/>
    <w:rsid w:val="00DD1543"/>
    <w:rsid w:val="00DD276E"/>
    <w:rsid w:val="00DD62AF"/>
    <w:rsid w:val="00DF04BB"/>
    <w:rsid w:val="00DF16ED"/>
    <w:rsid w:val="00DF2B03"/>
    <w:rsid w:val="00E02CB7"/>
    <w:rsid w:val="00E03D50"/>
    <w:rsid w:val="00E03F7B"/>
    <w:rsid w:val="00E05463"/>
    <w:rsid w:val="00E05B0A"/>
    <w:rsid w:val="00E10382"/>
    <w:rsid w:val="00E119FF"/>
    <w:rsid w:val="00E2066C"/>
    <w:rsid w:val="00E236C8"/>
    <w:rsid w:val="00E255F5"/>
    <w:rsid w:val="00E360F7"/>
    <w:rsid w:val="00E45F5A"/>
    <w:rsid w:val="00E5001E"/>
    <w:rsid w:val="00E50257"/>
    <w:rsid w:val="00E635D0"/>
    <w:rsid w:val="00E6583A"/>
    <w:rsid w:val="00E71BF5"/>
    <w:rsid w:val="00E71E3F"/>
    <w:rsid w:val="00E71F01"/>
    <w:rsid w:val="00E72E3D"/>
    <w:rsid w:val="00E753D3"/>
    <w:rsid w:val="00E763F2"/>
    <w:rsid w:val="00E7666B"/>
    <w:rsid w:val="00E76A01"/>
    <w:rsid w:val="00E83628"/>
    <w:rsid w:val="00E927E5"/>
    <w:rsid w:val="00EA0863"/>
    <w:rsid w:val="00EA3AE6"/>
    <w:rsid w:val="00EA6D90"/>
    <w:rsid w:val="00EB3D45"/>
    <w:rsid w:val="00EB453B"/>
    <w:rsid w:val="00EB725C"/>
    <w:rsid w:val="00EB72EC"/>
    <w:rsid w:val="00EC38BC"/>
    <w:rsid w:val="00EC422E"/>
    <w:rsid w:val="00EC50D8"/>
    <w:rsid w:val="00EC52D0"/>
    <w:rsid w:val="00EC5970"/>
    <w:rsid w:val="00EC6B0C"/>
    <w:rsid w:val="00ED29E7"/>
    <w:rsid w:val="00ED4EEA"/>
    <w:rsid w:val="00ED76C3"/>
    <w:rsid w:val="00EE080B"/>
    <w:rsid w:val="00EE1A77"/>
    <w:rsid w:val="00EE2B01"/>
    <w:rsid w:val="00EE3435"/>
    <w:rsid w:val="00EF089A"/>
    <w:rsid w:val="00EF38D6"/>
    <w:rsid w:val="00EF3AC6"/>
    <w:rsid w:val="00EF64C9"/>
    <w:rsid w:val="00F03710"/>
    <w:rsid w:val="00F078DB"/>
    <w:rsid w:val="00F10A0D"/>
    <w:rsid w:val="00F11CEB"/>
    <w:rsid w:val="00F1297B"/>
    <w:rsid w:val="00F202AF"/>
    <w:rsid w:val="00F20DD5"/>
    <w:rsid w:val="00F21677"/>
    <w:rsid w:val="00F23F30"/>
    <w:rsid w:val="00F2608D"/>
    <w:rsid w:val="00F33B0C"/>
    <w:rsid w:val="00F357F8"/>
    <w:rsid w:val="00F44600"/>
    <w:rsid w:val="00F44C03"/>
    <w:rsid w:val="00F44FB3"/>
    <w:rsid w:val="00F4615A"/>
    <w:rsid w:val="00F51C32"/>
    <w:rsid w:val="00F52D59"/>
    <w:rsid w:val="00F557B5"/>
    <w:rsid w:val="00F57066"/>
    <w:rsid w:val="00F574EC"/>
    <w:rsid w:val="00F6365B"/>
    <w:rsid w:val="00F713D7"/>
    <w:rsid w:val="00F718C9"/>
    <w:rsid w:val="00F83DDB"/>
    <w:rsid w:val="00F83FC2"/>
    <w:rsid w:val="00F85840"/>
    <w:rsid w:val="00F927A3"/>
    <w:rsid w:val="00F928DF"/>
    <w:rsid w:val="00F97BBF"/>
    <w:rsid w:val="00FA047F"/>
    <w:rsid w:val="00FA0A13"/>
    <w:rsid w:val="00FB105D"/>
    <w:rsid w:val="00FB2CF6"/>
    <w:rsid w:val="00FB2E09"/>
    <w:rsid w:val="00FB3570"/>
    <w:rsid w:val="00FB645F"/>
    <w:rsid w:val="00FC7A8E"/>
    <w:rsid w:val="00FD37E1"/>
    <w:rsid w:val="00FD5B80"/>
    <w:rsid w:val="00FE1E5C"/>
    <w:rsid w:val="00FE2ED5"/>
    <w:rsid w:val="00FE6ED2"/>
    <w:rsid w:val="00FF0643"/>
    <w:rsid w:val="00FF43A5"/>
    <w:rsid w:val="00FF74B5"/>
    <w:rsid w:val="011B9681"/>
    <w:rsid w:val="011DF35B"/>
    <w:rsid w:val="01534AE2"/>
    <w:rsid w:val="01750C90"/>
    <w:rsid w:val="01EE6DEC"/>
    <w:rsid w:val="021B69B9"/>
    <w:rsid w:val="02334A24"/>
    <w:rsid w:val="0249B656"/>
    <w:rsid w:val="0283F876"/>
    <w:rsid w:val="028F4835"/>
    <w:rsid w:val="02FA75EF"/>
    <w:rsid w:val="033B1713"/>
    <w:rsid w:val="03AC169D"/>
    <w:rsid w:val="03C17446"/>
    <w:rsid w:val="04216C11"/>
    <w:rsid w:val="0463804B"/>
    <w:rsid w:val="04B50E02"/>
    <w:rsid w:val="04E856A3"/>
    <w:rsid w:val="04F54D80"/>
    <w:rsid w:val="04F57F86"/>
    <w:rsid w:val="05058B66"/>
    <w:rsid w:val="052D2290"/>
    <w:rsid w:val="055E953A"/>
    <w:rsid w:val="05B370CC"/>
    <w:rsid w:val="05C25FED"/>
    <w:rsid w:val="05DC8B97"/>
    <w:rsid w:val="05F66445"/>
    <w:rsid w:val="05F7CAC8"/>
    <w:rsid w:val="061640D3"/>
    <w:rsid w:val="0651C8FD"/>
    <w:rsid w:val="066B7AA5"/>
    <w:rsid w:val="066F26CE"/>
    <w:rsid w:val="068F1032"/>
    <w:rsid w:val="069E344B"/>
    <w:rsid w:val="06E0FB0B"/>
    <w:rsid w:val="071F5F81"/>
    <w:rsid w:val="07BAC33C"/>
    <w:rsid w:val="07C0FDA9"/>
    <w:rsid w:val="07F2A787"/>
    <w:rsid w:val="081D73F4"/>
    <w:rsid w:val="0824FA74"/>
    <w:rsid w:val="0858DE93"/>
    <w:rsid w:val="0896811C"/>
    <w:rsid w:val="08EAAA6B"/>
    <w:rsid w:val="09018331"/>
    <w:rsid w:val="09463A85"/>
    <w:rsid w:val="09C84172"/>
    <w:rsid w:val="09CC910C"/>
    <w:rsid w:val="09E5952F"/>
    <w:rsid w:val="0A0F496A"/>
    <w:rsid w:val="0A30C1E0"/>
    <w:rsid w:val="0AB545A8"/>
    <w:rsid w:val="0B4DF6EF"/>
    <w:rsid w:val="0B65BD00"/>
    <w:rsid w:val="0B74DD29"/>
    <w:rsid w:val="0B953EC0"/>
    <w:rsid w:val="0BA742EC"/>
    <w:rsid w:val="0BB141C9"/>
    <w:rsid w:val="0BDEC906"/>
    <w:rsid w:val="0BF1CB5E"/>
    <w:rsid w:val="0C16686A"/>
    <w:rsid w:val="0C2A2C72"/>
    <w:rsid w:val="0C8050E2"/>
    <w:rsid w:val="0CAB81E3"/>
    <w:rsid w:val="0CC2A338"/>
    <w:rsid w:val="0CC47B1B"/>
    <w:rsid w:val="0CEF9BBD"/>
    <w:rsid w:val="0CF9A552"/>
    <w:rsid w:val="0D5338AA"/>
    <w:rsid w:val="0D719BAA"/>
    <w:rsid w:val="0D735083"/>
    <w:rsid w:val="0D74EAE6"/>
    <w:rsid w:val="0DDE7CC8"/>
    <w:rsid w:val="0DFE6E6F"/>
    <w:rsid w:val="0E3A00AF"/>
    <w:rsid w:val="0E3F13CD"/>
    <w:rsid w:val="0E4F0EA4"/>
    <w:rsid w:val="0E660FDD"/>
    <w:rsid w:val="0EACE5FB"/>
    <w:rsid w:val="0EB1698C"/>
    <w:rsid w:val="0ED8F597"/>
    <w:rsid w:val="0EE6C68C"/>
    <w:rsid w:val="0F418DD1"/>
    <w:rsid w:val="0F5C0030"/>
    <w:rsid w:val="0FABB77E"/>
    <w:rsid w:val="0FB70235"/>
    <w:rsid w:val="0FE66D6F"/>
    <w:rsid w:val="1065DB86"/>
    <w:rsid w:val="1078407B"/>
    <w:rsid w:val="10B0FCBA"/>
    <w:rsid w:val="10E973BE"/>
    <w:rsid w:val="10F02EB4"/>
    <w:rsid w:val="11388CD6"/>
    <w:rsid w:val="116CC9DF"/>
    <w:rsid w:val="116D5C04"/>
    <w:rsid w:val="11808E79"/>
    <w:rsid w:val="119B8280"/>
    <w:rsid w:val="11C3C8DB"/>
    <w:rsid w:val="11F31B1A"/>
    <w:rsid w:val="12129A1A"/>
    <w:rsid w:val="1266553E"/>
    <w:rsid w:val="127BB6E1"/>
    <w:rsid w:val="128946BC"/>
    <w:rsid w:val="129E162E"/>
    <w:rsid w:val="12CFC61E"/>
    <w:rsid w:val="12DBCD4F"/>
    <w:rsid w:val="12E3BE45"/>
    <w:rsid w:val="13138513"/>
    <w:rsid w:val="13325465"/>
    <w:rsid w:val="133EE712"/>
    <w:rsid w:val="137D77E5"/>
    <w:rsid w:val="1387A59F"/>
    <w:rsid w:val="1392FCAD"/>
    <w:rsid w:val="139E9E81"/>
    <w:rsid w:val="13A217E7"/>
    <w:rsid w:val="13B92F72"/>
    <w:rsid w:val="14067614"/>
    <w:rsid w:val="1466A940"/>
    <w:rsid w:val="1487F245"/>
    <w:rsid w:val="14BCC7C4"/>
    <w:rsid w:val="14C69298"/>
    <w:rsid w:val="14DAF68D"/>
    <w:rsid w:val="14F1C26D"/>
    <w:rsid w:val="15092E0B"/>
    <w:rsid w:val="156FB46F"/>
    <w:rsid w:val="1574EA7C"/>
    <w:rsid w:val="1591F426"/>
    <w:rsid w:val="15BBE611"/>
    <w:rsid w:val="15C84DCA"/>
    <w:rsid w:val="15D27CD2"/>
    <w:rsid w:val="15D6AE8E"/>
    <w:rsid w:val="15E295D7"/>
    <w:rsid w:val="15E3BB94"/>
    <w:rsid w:val="1615C51E"/>
    <w:rsid w:val="1616AD3D"/>
    <w:rsid w:val="1635E2D6"/>
    <w:rsid w:val="16F23538"/>
    <w:rsid w:val="17062877"/>
    <w:rsid w:val="1728EFB5"/>
    <w:rsid w:val="17462607"/>
    <w:rsid w:val="178AA79A"/>
    <w:rsid w:val="17A1C123"/>
    <w:rsid w:val="17A855A4"/>
    <w:rsid w:val="17C3DD55"/>
    <w:rsid w:val="180E4F50"/>
    <w:rsid w:val="18108420"/>
    <w:rsid w:val="1826A334"/>
    <w:rsid w:val="182F7D84"/>
    <w:rsid w:val="1866CA7F"/>
    <w:rsid w:val="1880E555"/>
    <w:rsid w:val="18C82296"/>
    <w:rsid w:val="19278AAD"/>
    <w:rsid w:val="192DD42C"/>
    <w:rsid w:val="19C5C24D"/>
    <w:rsid w:val="1A08E77C"/>
    <w:rsid w:val="1A3A4EB0"/>
    <w:rsid w:val="1A8D7631"/>
    <w:rsid w:val="1AAA5791"/>
    <w:rsid w:val="1AC5323C"/>
    <w:rsid w:val="1B1FF79B"/>
    <w:rsid w:val="1B2E6539"/>
    <w:rsid w:val="1B33017B"/>
    <w:rsid w:val="1B4E9CA3"/>
    <w:rsid w:val="1B6BD2D4"/>
    <w:rsid w:val="1B911208"/>
    <w:rsid w:val="1C3B3470"/>
    <w:rsid w:val="1C5EDD34"/>
    <w:rsid w:val="1C8057D5"/>
    <w:rsid w:val="1C9E7F9B"/>
    <w:rsid w:val="1D15F187"/>
    <w:rsid w:val="1DB91D08"/>
    <w:rsid w:val="1DEA6B8A"/>
    <w:rsid w:val="1E226E6F"/>
    <w:rsid w:val="1E2F72F7"/>
    <w:rsid w:val="1E41F5A7"/>
    <w:rsid w:val="1E6D3695"/>
    <w:rsid w:val="1E71E91B"/>
    <w:rsid w:val="1E9E0E05"/>
    <w:rsid w:val="1EB94AE4"/>
    <w:rsid w:val="1EE8AAA1"/>
    <w:rsid w:val="1EE8BE88"/>
    <w:rsid w:val="1F018223"/>
    <w:rsid w:val="2066B97E"/>
    <w:rsid w:val="20ED4694"/>
    <w:rsid w:val="20F6F878"/>
    <w:rsid w:val="212E806D"/>
    <w:rsid w:val="21DAA2AE"/>
    <w:rsid w:val="220BA848"/>
    <w:rsid w:val="223D30B8"/>
    <w:rsid w:val="22845A93"/>
    <w:rsid w:val="2299E4CD"/>
    <w:rsid w:val="22A4B8EF"/>
    <w:rsid w:val="22AFF10A"/>
    <w:rsid w:val="22C0DCFE"/>
    <w:rsid w:val="22C27CAA"/>
    <w:rsid w:val="22C8FFB0"/>
    <w:rsid w:val="22CEEA43"/>
    <w:rsid w:val="22F5AB4F"/>
    <w:rsid w:val="22F86B52"/>
    <w:rsid w:val="23137373"/>
    <w:rsid w:val="2314EAA7"/>
    <w:rsid w:val="2319C116"/>
    <w:rsid w:val="234F8A55"/>
    <w:rsid w:val="2362D4C3"/>
    <w:rsid w:val="2376D911"/>
    <w:rsid w:val="23914E88"/>
    <w:rsid w:val="23A24965"/>
    <w:rsid w:val="23D4AEFE"/>
    <w:rsid w:val="23D7BB77"/>
    <w:rsid w:val="246CE7E6"/>
    <w:rsid w:val="24C191E6"/>
    <w:rsid w:val="250F45A9"/>
    <w:rsid w:val="2539B669"/>
    <w:rsid w:val="256174FF"/>
    <w:rsid w:val="257881E1"/>
    <w:rsid w:val="25C4A19B"/>
    <w:rsid w:val="25EE13DA"/>
    <w:rsid w:val="261A005D"/>
    <w:rsid w:val="263ED7DA"/>
    <w:rsid w:val="264A19B5"/>
    <w:rsid w:val="264C8ED1"/>
    <w:rsid w:val="265422B9"/>
    <w:rsid w:val="2676DBE6"/>
    <w:rsid w:val="2680B88A"/>
    <w:rsid w:val="2687FEE7"/>
    <w:rsid w:val="26AE1157"/>
    <w:rsid w:val="26D30C65"/>
    <w:rsid w:val="26F58731"/>
    <w:rsid w:val="27117E49"/>
    <w:rsid w:val="27839AD7"/>
    <w:rsid w:val="2799B3B7"/>
    <w:rsid w:val="279A0052"/>
    <w:rsid w:val="27B2B975"/>
    <w:rsid w:val="27C4739B"/>
    <w:rsid w:val="27CE8AC0"/>
    <w:rsid w:val="27F3F69D"/>
    <w:rsid w:val="2825E5D0"/>
    <w:rsid w:val="28394B37"/>
    <w:rsid w:val="283D17D6"/>
    <w:rsid w:val="284CBFED"/>
    <w:rsid w:val="28A051BE"/>
    <w:rsid w:val="28FE5E49"/>
    <w:rsid w:val="29047E5F"/>
    <w:rsid w:val="29071713"/>
    <w:rsid w:val="2908B305"/>
    <w:rsid w:val="2944D350"/>
    <w:rsid w:val="299160E9"/>
    <w:rsid w:val="2999678E"/>
    <w:rsid w:val="2A0095A0"/>
    <w:rsid w:val="2A36A4CF"/>
    <w:rsid w:val="2A5CBB92"/>
    <w:rsid w:val="2A90D567"/>
    <w:rsid w:val="2AE78EBC"/>
    <w:rsid w:val="2AFC5B34"/>
    <w:rsid w:val="2B0F5BA8"/>
    <w:rsid w:val="2B1ECFF3"/>
    <w:rsid w:val="2B8656C0"/>
    <w:rsid w:val="2B9138DA"/>
    <w:rsid w:val="2BA6D9EB"/>
    <w:rsid w:val="2BC177C5"/>
    <w:rsid w:val="2BC24F6F"/>
    <w:rsid w:val="2BCBB6F3"/>
    <w:rsid w:val="2BD1D0EB"/>
    <w:rsid w:val="2C368314"/>
    <w:rsid w:val="2C53BDED"/>
    <w:rsid w:val="2C576FEF"/>
    <w:rsid w:val="2CA20DF3"/>
    <w:rsid w:val="2CAB24C0"/>
    <w:rsid w:val="2CF1F1F0"/>
    <w:rsid w:val="2D2A713A"/>
    <w:rsid w:val="2D2D8A65"/>
    <w:rsid w:val="2D3B7943"/>
    <w:rsid w:val="2D50C699"/>
    <w:rsid w:val="2D5B1416"/>
    <w:rsid w:val="2D97E3CF"/>
    <w:rsid w:val="2DABFDC3"/>
    <w:rsid w:val="2E2948EC"/>
    <w:rsid w:val="2E769A83"/>
    <w:rsid w:val="2E9D8CDE"/>
    <w:rsid w:val="2EA66092"/>
    <w:rsid w:val="2EBC56C8"/>
    <w:rsid w:val="2F617F86"/>
    <w:rsid w:val="2F7B8CAB"/>
    <w:rsid w:val="2F9265D3"/>
    <w:rsid w:val="2FD303EC"/>
    <w:rsid w:val="2FE9775D"/>
    <w:rsid w:val="30075FFB"/>
    <w:rsid w:val="3069D7A3"/>
    <w:rsid w:val="309A165A"/>
    <w:rsid w:val="30F0D39A"/>
    <w:rsid w:val="31072A96"/>
    <w:rsid w:val="311BCDC6"/>
    <w:rsid w:val="3188DE55"/>
    <w:rsid w:val="31AD4171"/>
    <w:rsid w:val="31DB902C"/>
    <w:rsid w:val="32072A4D"/>
    <w:rsid w:val="3246CAA5"/>
    <w:rsid w:val="32920DF8"/>
    <w:rsid w:val="32CAA183"/>
    <w:rsid w:val="32D68A1A"/>
    <w:rsid w:val="3304AC89"/>
    <w:rsid w:val="33376391"/>
    <w:rsid w:val="33C0E12C"/>
    <w:rsid w:val="33D73AC1"/>
    <w:rsid w:val="33FE8562"/>
    <w:rsid w:val="342603DF"/>
    <w:rsid w:val="3435A0C4"/>
    <w:rsid w:val="34527CBF"/>
    <w:rsid w:val="346B7366"/>
    <w:rsid w:val="349939B4"/>
    <w:rsid w:val="351C2C8A"/>
    <w:rsid w:val="35288D87"/>
    <w:rsid w:val="3563B9F8"/>
    <w:rsid w:val="3589F104"/>
    <w:rsid w:val="35923F62"/>
    <w:rsid w:val="35AE7912"/>
    <w:rsid w:val="35B4A7BA"/>
    <w:rsid w:val="35CBAC4D"/>
    <w:rsid w:val="35F176B9"/>
    <w:rsid w:val="360FD129"/>
    <w:rsid w:val="36136C62"/>
    <w:rsid w:val="3614FFDB"/>
    <w:rsid w:val="36243BF4"/>
    <w:rsid w:val="366715B8"/>
    <w:rsid w:val="369D506F"/>
    <w:rsid w:val="36D71A88"/>
    <w:rsid w:val="36DAF809"/>
    <w:rsid w:val="37147833"/>
    <w:rsid w:val="3738837C"/>
    <w:rsid w:val="375BDF4D"/>
    <w:rsid w:val="376E9E0A"/>
    <w:rsid w:val="37A95E8A"/>
    <w:rsid w:val="37F1756C"/>
    <w:rsid w:val="380EC41B"/>
    <w:rsid w:val="380F6759"/>
    <w:rsid w:val="380F78C5"/>
    <w:rsid w:val="38317865"/>
    <w:rsid w:val="3839CADC"/>
    <w:rsid w:val="388A739E"/>
    <w:rsid w:val="389C9FE3"/>
    <w:rsid w:val="38AA084F"/>
    <w:rsid w:val="38FBB8AA"/>
    <w:rsid w:val="3922E82D"/>
    <w:rsid w:val="397542FA"/>
    <w:rsid w:val="397C3238"/>
    <w:rsid w:val="39811E15"/>
    <w:rsid w:val="3A04190B"/>
    <w:rsid w:val="3A882BF3"/>
    <w:rsid w:val="3ACFCDFD"/>
    <w:rsid w:val="3AFD18C3"/>
    <w:rsid w:val="3B25F5D8"/>
    <w:rsid w:val="3B382D4E"/>
    <w:rsid w:val="3B886A12"/>
    <w:rsid w:val="3B895A23"/>
    <w:rsid w:val="3BB054E0"/>
    <w:rsid w:val="3C359A61"/>
    <w:rsid w:val="3D236EDC"/>
    <w:rsid w:val="3D26B65D"/>
    <w:rsid w:val="3D2A4B62"/>
    <w:rsid w:val="3D3C45AA"/>
    <w:rsid w:val="3D454AAF"/>
    <w:rsid w:val="3E91EC61"/>
    <w:rsid w:val="3ECA0B4A"/>
    <w:rsid w:val="3ECCEAE4"/>
    <w:rsid w:val="3EF48364"/>
    <w:rsid w:val="3F014CB4"/>
    <w:rsid w:val="3F3EC6C7"/>
    <w:rsid w:val="3F4C29D2"/>
    <w:rsid w:val="3FC2F738"/>
    <w:rsid w:val="3FE8E96C"/>
    <w:rsid w:val="3FED516A"/>
    <w:rsid w:val="40286402"/>
    <w:rsid w:val="40346C63"/>
    <w:rsid w:val="4079079C"/>
    <w:rsid w:val="407DE1D2"/>
    <w:rsid w:val="407ED1B3"/>
    <w:rsid w:val="408EE308"/>
    <w:rsid w:val="408FD636"/>
    <w:rsid w:val="40F55427"/>
    <w:rsid w:val="410FCE3C"/>
    <w:rsid w:val="41252DCD"/>
    <w:rsid w:val="412A22F2"/>
    <w:rsid w:val="4140DD89"/>
    <w:rsid w:val="414CD4EC"/>
    <w:rsid w:val="41701838"/>
    <w:rsid w:val="41706A1C"/>
    <w:rsid w:val="419BD524"/>
    <w:rsid w:val="419DCCCC"/>
    <w:rsid w:val="422C792A"/>
    <w:rsid w:val="423F66BE"/>
    <w:rsid w:val="426436E8"/>
    <w:rsid w:val="42BA7302"/>
    <w:rsid w:val="431714F8"/>
    <w:rsid w:val="43326006"/>
    <w:rsid w:val="438F4676"/>
    <w:rsid w:val="43C025C2"/>
    <w:rsid w:val="43F37965"/>
    <w:rsid w:val="4430EEBF"/>
    <w:rsid w:val="4454539C"/>
    <w:rsid w:val="4476D18A"/>
    <w:rsid w:val="44C800CB"/>
    <w:rsid w:val="44DCD889"/>
    <w:rsid w:val="451C9B32"/>
    <w:rsid w:val="456DF470"/>
    <w:rsid w:val="45A1D270"/>
    <w:rsid w:val="45C31BCB"/>
    <w:rsid w:val="45D1019E"/>
    <w:rsid w:val="45D5BD19"/>
    <w:rsid w:val="4606809B"/>
    <w:rsid w:val="466AEA2D"/>
    <w:rsid w:val="46894E8D"/>
    <w:rsid w:val="46AE285C"/>
    <w:rsid w:val="46BC3CEB"/>
    <w:rsid w:val="47637259"/>
    <w:rsid w:val="48041076"/>
    <w:rsid w:val="482D2FF8"/>
    <w:rsid w:val="48A68C04"/>
    <w:rsid w:val="48FC16DD"/>
    <w:rsid w:val="49AB28F7"/>
    <w:rsid w:val="49B9E889"/>
    <w:rsid w:val="49E4C305"/>
    <w:rsid w:val="49FFB9C2"/>
    <w:rsid w:val="4A01E089"/>
    <w:rsid w:val="4A11FA0B"/>
    <w:rsid w:val="4A3EC7F8"/>
    <w:rsid w:val="4AE070FA"/>
    <w:rsid w:val="4B06B96B"/>
    <w:rsid w:val="4B19F3E3"/>
    <w:rsid w:val="4B333BFE"/>
    <w:rsid w:val="4B563CBE"/>
    <w:rsid w:val="4B7C0520"/>
    <w:rsid w:val="4BC2E7E3"/>
    <w:rsid w:val="4BD4CD7B"/>
    <w:rsid w:val="4C1F8866"/>
    <w:rsid w:val="4C38B663"/>
    <w:rsid w:val="4CB7EC17"/>
    <w:rsid w:val="4D105C0C"/>
    <w:rsid w:val="4D1E5384"/>
    <w:rsid w:val="4D3665DC"/>
    <w:rsid w:val="4D71E382"/>
    <w:rsid w:val="4D830106"/>
    <w:rsid w:val="4D9393BF"/>
    <w:rsid w:val="4DB080DE"/>
    <w:rsid w:val="4DB6BC9A"/>
    <w:rsid w:val="4E3CBCDA"/>
    <w:rsid w:val="4E4E3961"/>
    <w:rsid w:val="4E634468"/>
    <w:rsid w:val="4EB9E9A9"/>
    <w:rsid w:val="4F861EF3"/>
    <w:rsid w:val="4FE6CA8F"/>
    <w:rsid w:val="50976A2E"/>
    <w:rsid w:val="5133BEEE"/>
    <w:rsid w:val="51371C7D"/>
    <w:rsid w:val="514358F6"/>
    <w:rsid w:val="51F2E445"/>
    <w:rsid w:val="5237C3F0"/>
    <w:rsid w:val="525B0663"/>
    <w:rsid w:val="5261738A"/>
    <w:rsid w:val="52907739"/>
    <w:rsid w:val="52BD2B80"/>
    <w:rsid w:val="52C4C418"/>
    <w:rsid w:val="52C5BE30"/>
    <w:rsid w:val="52CBC753"/>
    <w:rsid w:val="530DAE47"/>
    <w:rsid w:val="5336F6C9"/>
    <w:rsid w:val="53389330"/>
    <w:rsid w:val="53511C8A"/>
    <w:rsid w:val="5391CBCF"/>
    <w:rsid w:val="53C50215"/>
    <w:rsid w:val="544B7E78"/>
    <w:rsid w:val="545916F4"/>
    <w:rsid w:val="547A3B2A"/>
    <w:rsid w:val="549DCFEB"/>
    <w:rsid w:val="549E417F"/>
    <w:rsid w:val="54A15079"/>
    <w:rsid w:val="54AA492B"/>
    <w:rsid w:val="54D3246C"/>
    <w:rsid w:val="5570FF86"/>
    <w:rsid w:val="559EF4C4"/>
    <w:rsid w:val="55CE73D0"/>
    <w:rsid w:val="55EA88CC"/>
    <w:rsid w:val="55F6DE95"/>
    <w:rsid w:val="55FF0A2E"/>
    <w:rsid w:val="562649F8"/>
    <w:rsid w:val="566BCED8"/>
    <w:rsid w:val="5671B83F"/>
    <w:rsid w:val="5692DE91"/>
    <w:rsid w:val="56D5B4EA"/>
    <w:rsid w:val="56E7644F"/>
    <w:rsid w:val="56F257CF"/>
    <w:rsid w:val="571F4BFB"/>
    <w:rsid w:val="57425503"/>
    <w:rsid w:val="57624310"/>
    <w:rsid w:val="57FE482E"/>
    <w:rsid w:val="58024BE2"/>
    <w:rsid w:val="5802D821"/>
    <w:rsid w:val="58218242"/>
    <w:rsid w:val="585B4B85"/>
    <w:rsid w:val="5872359D"/>
    <w:rsid w:val="5874D55F"/>
    <w:rsid w:val="587C263A"/>
    <w:rsid w:val="59735182"/>
    <w:rsid w:val="59BBE99D"/>
    <w:rsid w:val="5A325375"/>
    <w:rsid w:val="5A81981B"/>
    <w:rsid w:val="5A83A434"/>
    <w:rsid w:val="5A88D2BA"/>
    <w:rsid w:val="5AB90AA4"/>
    <w:rsid w:val="5B12D144"/>
    <w:rsid w:val="5B2A7D73"/>
    <w:rsid w:val="5BA37B46"/>
    <w:rsid w:val="5BBE6A6D"/>
    <w:rsid w:val="5BDB13BA"/>
    <w:rsid w:val="5BEDA87A"/>
    <w:rsid w:val="5C054DE9"/>
    <w:rsid w:val="5C0EB055"/>
    <w:rsid w:val="5C2BBF51"/>
    <w:rsid w:val="5C37680A"/>
    <w:rsid w:val="5C4BEBCD"/>
    <w:rsid w:val="5C60BAC1"/>
    <w:rsid w:val="5CC4F5F6"/>
    <w:rsid w:val="5CCF4D0C"/>
    <w:rsid w:val="5D03202D"/>
    <w:rsid w:val="5D1E1A99"/>
    <w:rsid w:val="5D2E2CFA"/>
    <w:rsid w:val="5D443D8A"/>
    <w:rsid w:val="5D4E838E"/>
    <w:rsid w:val="5D5DF1FC"/>
    <w:rsid w:val="5DAAC3A1"/>
    <w:rsid w:val="5E2613AE"/>
    <w:rsid w:val="5E40DC16"/>
    <w:rsid w:val="5E652563"/>
    <w:rsid w:val="5E6BBD69"/>
    <w:rsid w:val="5E85B51C"/>
    <w:rsid w:val="5ECCD064"/>
    <w:rsid w:val="5ED0CAA8"/>
    <w:rsid w:val="5EDDA96B"/>
    <w:rsid w:val="5F4A25EB"/>
    <w:rsid w:val="5F945E32"/>
    <w:rsid w:val="5F95CBBC"/>
    <w:rsid w:val="5FCC4C16"/>
    <w:rsid w:val="600759E7"/>
    <w:rsid w:val="60416D3E"/>
    <w:rsid w:val="604A520F"/>
    <w:rsid w:val="60F9B4CF"/>
    <w:rsid w:val="611D64B6"/>
    <w:rsid w:val="6122F03A"/>
    <w:rsid w:val="614BAECB"/>
    <w:rsid w:val="6197D69E"/>
    <w:rsid w:val="61B58936"/>
    <w:rsid w:val="61C299D9"/>
    <w:rsid w:val="6230EC71"/>
    <w:rsid w:val="625E13F5"/>
    <w:rsid w:val="625F26E6"/>
    <w:rsid w:val="62ACF42D"/>
    <w:rsid w:val="62C67FB6"/>
    <w:rsid w:val="62D908E8"/>
    <w:rsid w:val="62E97BA5"/>
    <w:rsid w:val="62FD9848"/>
    <w:rsid w:val="63292764"/>
    <w:rsid w:val="633BA385"/>
    <w:rsid w:val="6357FDCA"/>
    <w:rsid w:val="6450F5E1"/>
    <w:rsid w:val="6451A163"/>
    <w:rsid w:val="64604529"/>
    <w:rsid w:val="646F6187"/>
    <w:rsid w:val="647AFD1A"/>
    <w:rsid w:val="64804D53"/>
    <w:rsid w:val="64BE4776"/>
    <w:rsid w:val="64ECA29E"/>
    <w:rsid w:val="64F86084"/>
    <w:rsid w:val="65423D22"/>
    <w:rsid w:val="659EA5E7"/>
    <w:rsid w:val="65E139C4"/>
    <w:rsid w:val="65E2BC79"/>
    <w:rsid w:val="6615DE47"/>
    <w:rsid w:val="661D6A8B"/>
    <w:rsid w:val="66362F58"/>
    <w:rsid w:val="665C07C9"/>
    <w:rsid w:val="665C6142"/>
    <w:rsid w:val="66B35D6D"/>
    <w:rsid w:val="66D9B208"/>
    <w:rsid w:val="66EBFFE8"/>
    <w:rsid w:val="66EC2264"/>
    <w:rsid w:val="66F6E6FD"/>
    <w:rsid w:val="66FC61B9"/>
    <w:rsid w:val="675C56FC"/>
    <w:rsid w:val="67899E65"/>
    <w:rsid w:val="67AA313D"/>
    <w:rsid w:val="67AB6589"/>
    <w:rsid w:val="67B3ACD6"/>
    <w:rsid w:val="67E2D569"/>
    <w:rsid w:val="6853D861"/>
    <w:rsid w:val="68540275"/>
    <w:rsid w:val="688A4D6A"/>
    <w:rsid w:val="68C25214"/>
    <w:rsid w:val="68C4DDB0"/>
    <w:rsid w:val="68CDFDF8"/>
    <w:rsid w:val="68DCF641"/>
    <w:rsid w:val="69426112"/>
    <w:rsid w:val="694E680E"/>
    <w:rsid w:val="6954B276"/>
    <w:rsid w:val="69906047"/>
    <w:rsid w:val="699DE01C"/>
    <w:rsid w:val="69A3B5FA"/>
    <w:rsid w:val="69FD31E9"/>
    <w:rsid w:val="6A23DA35"/>
    <w:rsid w:val="6A24BE3F"/>
    <w:rsid w:val="6A3888F4"/>
    <w:rsid w:val="6B3E213C"/>
    <w:rsid w:val="6B3ECA19"/>
    <w:rsid w:val="6B69974F"/>
    <w:rsid w:val="6B8F75BD"/>
    <w:rsid w:val="6BF55E17"/>
    <w:rsid w:val="6C10DEED"/>
    <w:rsid w:val="6C3BE2AD"/>
    <w:rsid w:val="6C69BA9A"/>
    <w:rsid w:val="6C9281F6"/>
    <w:rsid w:val="6D037B3A"/>
    <w:rsid w:val="6D6AE9FE"/>
    <w:rsid w:val="6D6E5E67"/>
    <w:rsid w:val="6DB3B361"/>
    <w:rsid w:val="6DC8B73F"/>
    <w:rsid w:val="6DE92C4C"/>
    <w:rsid w:val="6E81516E"/>
    <w:rsid w:val="6E925A42"/>
    <w:rsid w:val="6EB86744"/>
    <w:rsid w:val="6F19DD0B"/>
    <w:rsid w:val="6F4B68DC"/>
    <w:rsid w:val="6F647C5E"/>
    <w:rsid w:val="6F782C10"/>
    <w:rsid w:val="6F792EEC"/>
    <w:rsid w:val="6F7C75FF"/>
    <w:rsid w:val="6FCAEF03"/>
    <w:rsid w:val="7000E0CD"/>
    <w:rsid w:val="70060E41"/>
    <w:rsid w:val="70198720"/>
    <w:rsid w:val="7091F930"/>
    <w:rsid w:val="70BB7F0E"/>
    <w:rsid w:val="70D3B9D1"/>
    <w:rsid w:val="70E1B07F"/>
    <w:rsid w:val="70E5CC7D"/>
    <w:rsid w:val="717B8113"/>
    <w:rsid w:val="7199E1AA"/>
    <w:rsid w:val="72110EB3"/>
    <w:rsid w:val="722DEF5B"/>
    <w:rsid w:val="72908C70"/>
    <w:rsid w:val="72A2A232"/>
    <w:rsid w:val="733A448E"/>
    <w:rsid w:val="73482FE0"/>
    <w:rsid w:val="7351E9B7"/>
    <w:rsid w:val="736080A4"/>
    <w:rsid w:val="73A2E1C9"/>
    <w:rsid w:val="74504A46"/>
    <w:rsid w:val="745354F0"/>
    <w:rsid w:val="7479B1FC"/>
    <w:rsid w:val="7479CB93"/>
    <w:rsid w:val="74D65892"/>
    <w:rsid w:val="74F5BE68"/>
    <w:rsid w:val="7553A4FB"/>
    <w:rsid w:val="75958139"/>
    <w:rsid w:val="75F7CC7D"/>
    <w:rsid w:val="760B3A66"/>
    <w:rsid w:val="76122337"/>
    <w:rsid w:val="7622A1EE"/>
    <w:rsid w:val="764AA710"/>
    <w:rsid w:val="7665ACAE"/>
    <w:rsid w:val="76999233"/>
    <w:rsid w:val="76A6E536"/>
    <w:rsid w:val="76F92F19"/>
    <w:rsid w:val="7736A25C"/>
    <w:rsid w:val="7750638C"/>
    <w:rsid w:val="7758EA16"/>
    <w:rsid w:val="776C2C60"/>
    <w:rsid w:val="77818C08"/>
    <w:rsid w:val="77CDFE10"/>
    <w:rsid w:val="77EFB612"/>
    <w:rsid w:val="780BD701"/>
    <w:rsid w:val="78A178E0"/>
    <w:rsid w:val="78E96CAE"/>
    <w:rsid w:val="78FF64AF"/>
    <w:rsid w:val="79451897"/>
    <w:rsid w:val="79577DAA"/>
    <w:rsid w:val="79FC9A16"/>
    <w:rsid w:val="7A2D0057"/>
    <w:rsid w:val="7A326ED4"/>
    <w:rsid w:val="7AB497B3"/>
    <w:rsid w:val="7AF4B5B5"/>
    <w:rsid w:val="7B6492E7"/>
    <w:rsid w:val="7B8B4635"/>
    <w:rsid w:val="7B913FB1"/>
    <w:rsid w:val="7B9DC150"/>
    <w:rsid w:val="7BDDEFB1"/>
    <w:rsid w:val="7C0B7AE2"/>
    <w:rsid w:val="7C0F6815"/>
    <w:rsid w:val="7C29C934"/>
    <w:rsid w:val="7C2EC806"/>
    <w:rsid w:val="7C6715EC"/>
    <w:rsid w:val="7C718A92"/>
    <w:rsid w:val="7CE31ED8"/>
    <w:rsid w:val="7D2D6B83"/>
    <w:rsid w:val="7D4DD9CF"/>
    <w:rsid w:val="7D6450AC"/>
    <w:rsid w:val="7D6ABCF5"/>
    <w:rsid w:val="7D705E21"/>
    <w:rsid w:val="7D85F278"/>
    <w:rsid w:val="7DC0A3AA"/>
    <w:rsid w:val="7DDEA03C"/>
    <w:rsid w:val="7E263E90"/>
    <w:rsid w:val="7E832A71"/>
    <w:rsid w:val="7EB9EEA7"/>
    <w:rsid w:val="7F442BE0"/>
    <w:rsid w:val="7F4F7747"/>
    <w:rsid w:val="7F77728F"/>
    <w:rsid w:val="7F857A47"/>
    <w:rsid w:val="7F9D294E"/>
    <w:rsid w:val="7FA0DE8B"/>
    <w:rsid w:val="7FB6D2B9"/>
    <w:rsid w:val="7FBB9BDB"/>
    <w:rsid w:val="7FBF45A1"/>
    <w:rsid w:val="7FF6F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1F906"/>
  <w15:docId w15:val="{ABD2CB87-8AE3-9F40-BF51-07E40AE16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7E82"/>
  </w:style>
  <w:style w:type="paragraph" w:styleId="Heading1">
    <w:name w:val="heading 1"/>
    <w:basedOn w:val="Normal"/>
    <w:next w:val="BodyText"/>
    <w:uiPriority w:val="9"/>
    <w:qFormat/>
    <w:rsid w:val="00167C71"/>
    <w:pPr>
      <w:keepNext/>
      <w:keepLines/>
      <w:spacing w:before="480" w:after="0" w:line="480" w:lineRule="auto"/>
      <w:outlineLvl w:val="0"/>
    </w:pPr>
    <w:rPr>
      <w:rFonts w:ascii="Times New Roman" w:eastAsiaTheme="majorEastAsia" w:hAnsi="Times New Roman" w:cstheme="majorBidi"/>
      <w:b/>
      <w:bCs/>
      <w:color w:val="000000" w:themeColor="text1"/>
      <w:szCs w:val="32"/>
    </w:rPr>
  </w:style>
  <w:style w:type="paragraph" w:styleId="Heading2">
    <w:name w:val="heading 2"/>
    <w:basedOn w:val="Normal"/>
    <w:next w:val="BodyText"/>
    <w:uiPriority w:val="9"/>
    <w:unhideWhenUsed/>
    <w:qFormat/>
    <w:rsid w:val="00F927A3"/>
    <w:pPr>
      <w:keepNext/>
      <w:keepLines/>
      <w:spacing w:before="200" w:after="0" w:line="480" w:lineRule="auto"/>
      <w:outlineLvl w:val="1"/>
    </w:pPr>
    <w:rPr>
      <w:rFonts w:ascii="Times New Roman" w:eastAsiaTheme="majorEastAsia" w:hAnsi="Times New Roman" w:cstheme="majorBidi"/>
      <w:b/>
      <w:bCs/>
      <w:color w:val="000000" w:themeColor="text1"/>
      <w:szCs w:val="28"/>
    </w:rPr>
  </w:style>
  <w:style w:type="paragraph" w:styleId="Heading3">
    <w:name w:val="heading 3"/>
    <w:basedOn w:val="Normal"/>
    <w:next w:val="BodyText"/>
    <w:uiPriority w:val="9"/>
    <w:unhideWhenUsed/>
    <w:qFormat/>
    <w:rsid w:val="00FE1E5C"/>
    <w:pPr>
      <w:keepNext/>
      <w:keepLines/>
      <w:spacing w:before="200" w:after="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67C71"/>
    <w:pPr>
      <w:spacing w:before="180" w:after="180" w:line="480" w:lineRule="auto"/>
    </w:pPr>
    <w:rPr>
      <w:rFonts w:ascii="Times New Roman" w:hAnsi="Times New Roman"/>
    </w:rPr>
  </w:style>
  <w:style w:type="paragraph" w:customStyle="1" w:styleId="FirstParagraph">
    <w:name w:val="First Paragraph"/>
    <w:basedOn w:val="BodyText"/>
    <w:next w:val="BodyText"/>
    <w:qFormat/>
    <w:rsid w:val="00167C71"/>
  </w:style>
  <w:style w:type="paragraph" w:customStyle="1" w:styleId="Compact">
    <w:name w:val="Compact"/>
    <w:basedOn w:val="BodyText"/>
    <w:qFormat/>
    <w:pPr>
      <w:spacing w:before="36" w:after="36"/>
    </w:pPr>
  </w:style>
  <w:style w:type="paragraph" w:styleId="Title">
    <w:name w:val="Title"/>
    <w:basedOn w:val="Normal"/>
    <w:next w:val="BodyText"/>
    <w:qFormat/>
    <w:rsid w:val="00167C71"/>
    <w:pPr>
      <w:keepNext/>
      <w:keepLines/>
      <w:spacing w:before="360" w:after="120"/>
    </w:pPr>
    <w:rPr>
      <w:rFonts w:ascii="Times New Roman" w:eastAsiaTheme="majorEastAsia" w:hAnsi="Times New Roman" w:cstheme="majorBidi"/>
      <w:bCs/>
      <w:color w:val="000000" w:themeColor="text1"/>
      <w:szCs w:val="36"/>
    </w:rPr>
  </w:style>
  <w:style w:type="paragraph" w:styleId="Subtitle">
    <w:name w:val="Subtitle"/>
    <w:basedOn w:val="Title"/>
    <w:next w:val="BodyText"/>
    <w:qFormat/>
    <w:rsid w:val="00167C71"/>
    <w:pPr>
      <w:spacing w:before="120"/>
    </w:pPr>
    <w:rPr>
      <w:szCs w:val="30"/>
    </w:rPr>
  </w:style>
  <w:style w:type="paragraph" w:customStyle="1" w:styleId="Author">
    <w:name w:val="Author"/>
    <w:next w:val="BodyText"/>
    <w:qFormat/>
    <w:rsid w:val="00167C71"/>
    <w:pPr>
      <w:keepNext/>
      <w:keepLines/>
      <w:spacing w:after="80"/>
    </w:pPr>
    <w:rPr>
      <w:rFonts w:ascii="Times New Roman" w:hAnsi="Times New Roman"/>
    </w:rPr>
  </w:style>
  <w:style w:type="paragraph" w:styleId="Date">
    <w:name w:val="Date"/>
    <w:next w:val="BodyText"/>
    <w:qFormat/>
    <w:rsid w:val="00167C71"/>
    <w:pPr>
      <w:keepNext/>
      <w:keepLines/>
      <w:spacing w:after="80"/>
    </w:pPr>
    <w:rPr>
      <w:rFonts w:ascii="Times New Roman" w:hAnsi="Times New Roman"/>
    </w:rPr>
  </w:style>
  <w:style w:type="paragraph" w:customStyle="1" w:styleId="Abstract">
    <w:name w:val="Abstract"/>
    <w:basedOn w:val="Normal"/>
    <w:next w:val="BodyText"/>
    <w:qFormat/>
    <w:rsid w:val="00167C71"/>
    <w:pPr>
      <w:keepNext/>
      <w:keepLines/>
      <w:spacing w:after="0" w:line="480" w:lineRule="auto"/>
    </w:pPr>
    <w:rPr>
      <w:rFonts w:ascii="Times New Roman" w:hAnsi="Times New Roman"/>
      <w:szCs w:val="20"/>
    </w:rPr>
  </w:style>
  <w:style w:type="paragraph" w:styleId="Bibliography">
    <w:name w:val="Bibliography"/>
    <w:basedOn w:val="Normal"/>
    <w:qFormat/>
    <w:rsid w:val="0030190A"/>
    <w:pPr>
      <w:spacing w:after="0" w:line="480" w:lineRule="auto"/>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8670E"/>
    <w:rPr>
      <w:rFonts w:ascii="Times New Roman" w:hAnsi="Times New Roman"/>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545A8"/>
    <w:pPr>
      <w:keepNext/>
      <w:keepLines/>
      <w:spacing w:after="0"/>
    </w:pPr>
    <w:rPr>
      <w:rFonts w:ascii="Times New Roman" w:hAnsi="Times New Roman"/>
      <w:b/>
    </w:rPr>
  </w:style>
  <w:style w:type="paragraph" w:customStyle="1" w:styleId="Definition">
    <w:name w:val="Definition"/>
    <w:basedOn w:val="Normal"/>
    <w:rsid w:val="007545A8"/>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rsid w:val="00167C71"/>
    <w:pPr>
      <w:keepNext/>
    </w:pPr>
    <w:rPr>
      <w:rFonts w:ascii="Times New Roman" w:hAnsi="Times New Roman"/>
      <w:i w:val="0"/>
    </w:rPr>
  </w:style>
  <w:style w:type="paragraph" w:customStyle="1" w:styleId="ImageCaption">
    <w:name w:val="Image Caption"/>
    <w:basedOn w:val="Caption"/>
    <w:rsid w:val="00167C71"/>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4"/>
    </w:r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rPr>
      <w:rFonts w:ascii="Times New Roman" w:hAnsi="Times New Roman"/>
      <w:sz w:val="24"/>
    </w:rPr>
  </w:style>
  <w:style w:type="character" w:styleId="FootnoteReference">
    <w:name w:val="footnote reference"/>
    <w:basedOn w:val="CaptionChar"/>
    <w:rsid w:val="007545A8"/>
    <w:rPr>
      <w:rFonts w:ascii="Times New Roman" w:hAnsi="Times New Roman"/>
      <w:sz w:val="24"/>
      <w:vertAlign w:val="superscript"/>
    </w:rPr>
  </w:style>
  <w:style w:type="character" w:styleId="Hyperlink">
    <w:name w:val="Hyperlink"/>
    <w:basedOn w:val="CaptionChar"/>
    <w:rPr>
      <w:rFonts w:ascii="Times New Roman" w:hAnsi="Times New Roman"/>
      <w:color w:val="4F81BD" w:themeColor="accent1"/>
      <w:sz w:val="24"/>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styleId="Footer">
    <w:name w:val="footer"/>
    <w:basedOn w:val="Normal"/>
    <w:link w:val="FooterChar"/>
    <w:rsid w:val="00167C71"/>
    <w:pPr>
      <w:tabs>
        <w:tab w:val="center" w:pos="4680"/>
        <w:tab w:val="right" w:pos="9360"/>
      </w:tabs>
      <w:spacing w:after="0"/>
    </w:pPr>
  </w:style>
  <w:style w:type="character" w:customStyle="1" w:styleId="FooterChar">
    <w:name w:val="Footer Char"/>
    <w:basedOn w:val="DefaultParagraphFont"/>
    <w:link w:val="Footer"/>
    <w:rsid w:val="00167C71"/>
    <w:rPr>
      <w:rFonts w:ascii="Times New Roman" w:hAnsi="Times New Roman"/>
      <w:sz w:val="24"/>
    </w:rPr>
  </w:style>
  <w:style w:type="character" w:styleId="PageNumber">
    <w:name w:val="page number"/>
    <w:basedOn w:val="DefaultParagraphFont"/>
    <w:rsid w:val="00167C71"/>
    <w:rPr>
      <w:rFonts w:ascii="Times New Roman" w:hAnsi="Times New Roman"/>
      <w:sz w:val="24"/>
    </w:rPr>
  </w:style>
  <w:style w:type="character" w:styleId="LineNumber">
    <w:name w:val="line number"/>
    <w:basedOn w:val="DefaultParagraphFont"/>
    <w:rsid w:val="00167C71"/>
    <w:rPr>
      <w:rFonts w:ascii="Times New Roman" w:hAnsi="Times New Roman"/>
      <w:sz w:val="24"/>
    </w:rPr>
  </w:style>
  <w:style w:type="paragraph" w:styleId="TableofAuthorities">
    <w:name w:val="table of authorities"/>
    <w:basedOn w:val="Normal"/>
    <w:next w:val="Normal"/>
    <w:rsid w:val="007545A8"/>
    <w:pPr>
      <w:spacing w:after="0"/>
      <w:ind w:left="240" w:hanging="240"/>
    </w:pPr>
    <w:rPr>
      <w:rFonts w:ascii="Times New Roman" w:hAnsi="Times New Roman"/>
    </w:rPr>
  </w:style>
  <w:style w:type="paragraph" w:styleId="BodyText2">
    <w:name w:val="Body Text 2"/>
    <w:basedOn w:val="Normal"/>
    <w:link w:val="BodyText2Char"/>
    <w:rsid w:val="00FA047F"/>
    <w:pPr>
      <w:spacing w:after="120" w:line="480" w:lineRule="auto"/>
    </w:pPr>
    <w:rPr>
      <w:rFonts w:ascii="Times New Roman" w:hAnsi="Times New Roman"/>
    </w:rPr>
  </w:style>
  <w:style w:type="character" w:customStyle="1" w:styleId="BodyText2Char">
    <w:name w:val="Body Text 2 Char"/>
    <w:basedOn w:val="DefaultParagraphFont"/>
    <w:link w:val="BodyText2"/>
    <w:rsid w:val="00FA047F"/>
    <w:rPr>
      <w:rFonts w:ascii="Times New Roman" w:hAnsi="Times New Roman"/>
    </w:rPr>
  </w:style>
  <w:style w:type="character" w:styleId="EndnoteReference">
    <w:name w:val="endnote reference"/>
    <w:basedOn w:val="DefaultParagraphFont"/>
    <w:rsid w:val="0030190A"/>
    <w:rPr>
      <w:rFonts w:ascii="Times New Roman" w:hAnsi="Times New Roman"/>
      <w:sz w:val="24"/>
      <w:vertAlign w:val="superscript"/>
    </w:rPr>
  </w:style>
  <w:style w:type="character" w:styleId="PlaceholderText">
    <w:name w:val="Placeholder Text"/>
    <w:basedOn w:val="DefaultParagraphFont"/>
    <w:rsid w:val="00D373F1"/>
    <w:rPr>
      <w:color w:val="666666"/>
    </w:rPr>
  </w:style>
  <w:style w:type="paragraph" w:customStyle="1" w:styleId="Equation">
    <w:name w:val="Equation"/>
    <w:basedOn w:val="Normal"/>
    <w:qFormat/>
    <w:rsid w:val="00FA047F"/>
    <w:rPr>
      <w:rFonts w:ascii="Times New Roman" w:hAnsi="Times New Roman"/>
      <w: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B20A83"/>
    <w:rPr>
      <w:sz w:val="16"/>
      <w:szCs w:val="16"/>
    </w:rPr>
  </w:style>
  <w:style w:type="paragraph" w:styleId="CommentText">
    <w:name w:val="annotation text"/>
    <w:basedOn w:val="Normal"/>
    <w:link w:val="CommentTextChar"/>
    <w:rsid w:val="00B20A83"/>
    <w:rPr>
      <w:sz w:val="20"/>
      <w:szCs w:val="20"/>
    </w:rPr>
  </w:style>
  <w:style w:type="character" w:customStyle="1" w:styleId="CommentTextChar">
    <w:name w:val="Comment Text Char"/>
    <w:basedOn w:val="DefaultParagraphFont"/>
    <w:link w:val="CommentText"/>
    <w:rsid w:val="00B20A83"/>
    <w:rPr>
      <w:sz w:val="20"/>
      <w:szCs w:val="20"/>
    </w:rPr>
  </w:style>
  <w:style w:type="paragraph" w:styleId="CommentSubject">
    <w:name w:val="annotation subject"/>
    <w:basedOn w:val="CommentText"/>
    <w:next w:val="CommentText"/>
    <w:link w:val="CommentSubjectChar"/>
    <w:rsid w:val="00B20A83"/>
    <w:rPr>
      <w:b/>
      <w:bCs/>
    </w:rPr>
  </w:style>
  <w:style w:type="character" w:customStyle="1" w:styleId="CommentSubjectChar">
    <w:name w:val="Comment Subject Char"/>
    <w:basedOn w:val="CommentTextChar"/>
    <w:link w:val="CommentSubject"/>
    <w:rsid w:val="00B20A83"/>
    <w:rPr>
      <w:b/>
      <w:bCs/>
      <w:sz w:val="20"/>
      <w:szCs w:val="20"/>
    </w:rPr>
  </w:style>
  <w:style w:type="paragraph" w:styleId="Revision">
    <w:name w:val="Revision"/>
    <w:hidden/>
    <w:rsid w:val="006B595D"/>
    <w:pPr>
      <w:spacing w:after="0"/>
    </w:pPr>
  </w:style>
  <w:style w:type="paragraph" w:customStyle="1" w:styleId="paragraph">
    <w:name w:val="paragraph"/>
    <w:basedOn w:val="Normal"/>
    <w:rsid w:val="006C55E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6C55E4"/>
  </w:style>
  <w:style w:type="character" w:customStyle="1" w:styleId="eop">
    <w:name w:val="eop"/>
    <w:basedOn w:val="DefaultParagraphFont"/>
    <w:rsid w:val="006C55E4"/>
  </w:style>
  <w:style w:type="character" w:styleId="UnresolvedMention">
    <w:name w:val="Unresolved Mention"/>
    <w:basedOn w:val="DefaultParagraphFont"/>
    <w:uiPriority w:val="99"/>
    <w:semiHidden/>
    <w:unhideWhenUsed/>
    <w:rsid w:val="00BE2C8D"/>
    <w:rPr>
      <w:color w:val="605E5C"/>
      <w:shd w:val="clear" w:color="auto" w:fill="E1DFDD"/>
    </w:rPr>
  </w:style>
  <w:style w:type="character" w:styleId="FollowedHyperlink">
    <w:name w:val="FollowedHyperlink"/>
    <w:basedOn w:val="DefaultParagraphFont"/>
    <w:rsid w:val="00AA30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C0740-A11C-48DD-93A6-6DF2332FB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55982</Words>
  <Characters>319101</Characters>
  <Application>Microsoft Office Word</Application>
  <DocSecurity>0</DocSecurity>
  <Lines>2659</Lines>
  <Paragraphs>748</Paragraphs>
  <ScaleCrop>false</ScaleCrop>
  <HeadingPairs>
    <vt:vector size="2" baseType="variant">
      <vt:variant>
        <vt:lpstr>Title</vt:lpstr>
      </vt:variant>
      <vt:variant>
        <vt:i4>1</vt:i4>
      </vt:variant>
    </vt:vector>
  </HeadingPairs>
  <TitlesOfParts>
    <vt:vector size="1" baseType="lpstr">
      <vt:lpstr>Title: The relationship between an avian seed disperser and seed availability in the Southwest USA is lagged and dependent on climate and habitat context</vt:lpstr>
    </vt:vector>
  </TitlesOfParts>
  <Company/>
  <LinksUpToDate>false</LinksUpToDate>
  <CharactersWithSpaces>374335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The relationship between an avian seed disperser and seed availability in the Southwest USA is lagged and dependent on climate and habitat context</dc:title>
  <dc:subject/>
  <dc:creator>Ana Miller-ter Kuile</dc:creator>
  <cp:keywords/>
  <dc:description/>
  <cp:lastModifiedBy>Ana Miller-ter Kuile</cp:lastModifiedBy>
  <cp:revision>2</cp:revision>
  <dcterms:created xsi:type="dcterms:W3CDTF">2025-12-01T22:49:00Z</dcterms:created>
  <dcterms:modified xsi:type="dcterms:W3CDTF">2025-12-01T22:49:00Z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journal-of-animal-ecology.csl</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ZOTERO_PREF_1">
    <vt:lpwstr>&lt;data data-version="3" zotero-version="7.0.30"&gt;&lt;session id="ulaMgc2O"/&gt;&lt;style id="http://www.zotero.org/styles/journal-of-animal-ecology" hasBibliography="1" bibliographyStyleHasBeenSet="1"/&gt;&lt;prefs&gt;&lt;pref name="fieldType" value="Field"/&gt;&lt;/prefs&gt;&lt;/data&gt;</vt:lpwstr>
  </property>
  <property fmtid="{D5CDD505-2E9C-101B-9397-08002B2CF9AE}" pid="12" name="MTWinEqns">
    <vt:bool>true</vt:bool>
  </property>
  <property fmtid="{D5CDD505-2E9C-101B-9397-08002B2CF9AE}" pid="13" name="GrammarlyDocumentId">
    <vt:lpwstr>b94f0e2f-2ed8-46c4-b445-2a70ee1e1187</vt:lpwstr>
  </property>
</Properties>
</file>