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Title</w:t>
      </w:r>
      <w:r>
        <w:t xml:space="preserve">:</w:t>
      </w:r>
      <w:r>
        <w:t xml:space="preserve"> </w:t>
      </w:r>
      <w:r>
        <w:t xml:space="preserve">Linking</w:t>
      </w:r>
      <w:r>
        <w:t xml:space="preserve"> </w:t>
      </w:r>
      <w:r>
        <w:t xml:space="preserve">pinyon</w:t>
      </w:r>
      <w:r>
        <w:t xml:space="preserve"> </w:t>
      </w:r>
      <w:r>
        <w:t xml:space="preserve">jay</w:t>
      </w:r>
      <w:r>
        <w:t xml:space="preserve"> </w:t>
      </w:r>
      <w:r>
        <w:t xml:space="preserve">population</w:t>
      </w:r>
      <w:r>
        <w:t xml:space="preserve"> </w:t>
      </w:r>
      <w:r>
        <w:t xml:space="preserve">abundance</w:t>
      </w:r>
      <w:r>
        <w:t xml:space="preserve"> </w:t>
      </w:r>
      <w:r>
        <w:t xml:space="preserve">to</w:t>
      </w:r>
      <w:r>
        <w:t xml:space="preserve"> </w:t>
      </w:r>
      <w:r>
        <w:t xml:space="preserve">pinyon</w:t>
      </w:r>
      <w:r>
        <w:t xml:space="preserve"> </w:t>
      </w:r>
      <w:r>
        <w:t xml:space="preserve">cone</w:t>
      </w:r>
      <w:r>
        <w:t xml:space="preserve"> </w:t>
      </w:r>
      <w:r>
        <w:t xml:space="preserve">production</w:t>
      </w:r>
      <w:r>
        <w:t xml:space="preserve"> </w:t>
      </w:r>
      <w:r>
        <w:t xml:space="preserve">and</w:t>
      </w:r>
      <w:r>
        <w:t xml:space="preserve"> </w:t>
      </w:r>
      <w:r>
        <w:t xml:space="preserve">climate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SW</w:t>
      </w:r>
      <w:r>
        <w:t xml:space="preserve"> </w:t>
      </w:r>
      <w:r>
        <w:t xml:space="preserve">United</w:t>
      </w:r>
      <w:r>
        <w:t xml:space="preserve"> </w:t>
      </w:r>
      <w:r>
        <w:t xml:space="preserve">States</w:t>
      </w:r>
    </w:p>
    <w:p>
      <w:pPr>
        <w:pStyle w:val="FirstParagraph"/>
      </w:pPr>
      <w:r>
        <w:rPr>
          <w:bCs/>
          <w:b/>
        </w:rPr>
        <w:t xml:space="preserve">Author list</w:t>
      </w:r>
      <w:r>
        <w:t xml:space="preserve">: Ana Miller-ter Kuile</w:t>
      </w:r>
      <w:r>
        <w:rPr>
          <w:vertAlign w:val="superscript"/>
        </w:rPr>
        <w:t xml:space="preserve">1,2</w:t>
      </w:r>
      <w:r>
        <w:t xml:space="preserve">, Andreas Wion</w:t>
      </w:r>
      <w:r>
        <w:rPr>
          <w:vertAlign w:val="superscript"/>
        </w:rPr>
        <w:t xml:space="preserve">3</w:t>
      </w:r>
      <w:r>
        <w:t xml:space="preserve">, Jamie S. Sanderlin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bCs/>
          <w:b/>
        </w:rPr>
        <w:t xml:space="preserve">Author affiliations</w:t>
      </w:r>
      <w:r>
        <w:t xml:space="preserve">:</w:t>
      </w:r>
    </w:p>
    <w:p>
      <w:pPr>
        <w:pStyle w:val="BodyText"/>
      </w:pPr>
      <w:r>
        <w:t xml:space="preserve">1 Northern Arizona University School of Informatics, Computing, and Cyber Systems, Flagstaff, Arizona, USA</w:t>
      </w:r>
    </w:p>
    <w:p>
      <w:pPr>
        <w:pStyle w:val="BodyText"/>
      </w:pPr>
      <w:r>
        <w:t xml:space="preserve">2 USDA Forest Service Rocky Mountain Research Station, Flagstaff, Arizona, USA</w:t>
      </w:r>
    </w:p>
    <w:p>
      <w:pPr>
        <w:pStyle w:val="BodyText"/>
      </w:pPr>
      <w:r>
        <w:t xml:space="preserve">3 USGS Santa Fe, New Mexico, USA</w:t>
      </w:r>
    </w:p>
    <w:p>
      <w:pPr>
        <w:pStyle w:val="BodyText"/>
      </w:pPr>
      <w:r>
        <w:rPr>
          <w:bCs/>
          <w:b/>
        </w:rPr>
        <w:t xml:space="preserve">Keywords</w:t>
      </w:r>
      <w:r>
        <w:t xml:space="preserve">:</w:t>
      </w:r>
    </w:p>
    <w:bookmarkStart w:id="20" w:name="data-availability"/>
    <w:p>
      <w:pPr>
        <w:pStyle w:val="Heading1"/>
      </w:pPr>
      <w:r>
        <w:t xml:space="preserve">Data availability</w:t>
      </w:r>
    </w:p>
    <w:p>
      <w:r>
        <w:br w:type="page"/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Based on data from</w:t>
      </w:r>
      <w:r>
        <w:t xml:space="preserve"> </w:t>
      </w:r>
      <w:r>
        <w:t xml:space="preserve">(Abadi et al., 2010)</w:t>
      </w:r>
    </w:p>
    <w:bookmarkEnd w:id="21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bookmarkStart w:id="22" w:name="eq-a"/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i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μ</m:t>
              </m:r>
            </m:e>
          </m:d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β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rPr>
              <m:sty m:val="p"/>
            </m:rPr>
            <m:t>×</m:t>
          </m:r>
          <m:sSub>
            <m:e>
              <m:r>
                <m:t>X</m:t>
              </m:r>
            </m:e>
            <m:sub>
              <m:r>
                <m:t>t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2"/>
    </w:p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bookmarkEnd w:id="25"/>
    <w:bookmarkStart w:id="26" w:name="references"/>
    <w:p>
      <w:pPr>
        <w:pStyle w:val="Heading1"/>
      </w:pPr>
      <w:r>
        <w:t xml:space="preserve">References</w:t>
      </w:r>
    </w:p>
    <w:bookmarkEnd w:id="26"/>
    <w:bookmarkStart w:id="30" w:name="tables-and-figures"/>
    <w:p>
      <w:pPr>
        <w:pStyle w:val="Heading1"/>
      </w:pPr>
      <w:r>
        <w:t xml:space="preserve">Tables and Figures</w:t>
      </w:r>
    </w:p>
    <w:bookmarkStart w:id="29" w:name="refs"/>
    <w:bookmarkStart w:id="28" w:name="ref-abadi2010"/>
    <w:p>
      <w:pPr>
        <w:pStyle w:val="Bibliography"/>
      </w:pPr>
      <w:r>
        <w:t xml:space="preserve">Abadi, F., Gimenez, O., Arlettaz, R., &amp; Schaub, M. (2010). An assessment of integrated population models: bias, accuracy, and violation of the assumption of independence.</w:t>
      </w:r>
      <w:r>
        <w:t xml:space="preserve"> </w:t>
      </w:r>
      <w:r>
        <w:rPr>
          <w:iCs/>
          <w:i/>
        </w:rPr>
        <w:t xml:space="preserve">Ecology</w:t>
      </w:r>
      <w:r>
        <w:t xml:space="preserve">,</w:t>
      </w:r>
      <w:r>
        <w:t xml:space="preserve"> </w:t>
      </w:r>
      <w:r>
        <w:rPr>
          <w:iCs/>
          <w:i/>
        </w:rPr>
        <w:t xml:space="preserve">91</w:t>
      </w:r>
      <w:r>
        <w:t xml:space="preserve">(1), 7–14.</w:t>
      </w:r>
      <w:r>
        <w:t xml:space="preserve"> </w:t>
      </w:r>
      <w:hyperlink r:id="rId27">
        <w:r>
          <w:rPr>
            <w:rStyle w:val="Hyperlink"/>
          </w:rPr>
          <w:t xml:space="preserve">https://doi.org/10.1890/08-2235.1</w:t>
        </w:r>
      </w:hyperlink>
    </w:p>
    <w:bookmarkEnd w:id="28"/>
    <w:bookmarkEnd w:id="29"/>
    <w:bookmarkEnd w:id="30"/>
    <w:sectPr w:rsidR="0030190A" w:rsidRPr="0030190A" w:rsidSect="00167C71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lnNumType w:countBy="1" w:restart="continuous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43343738"/>
      <w:docPartObj>
        <w:docPartGallery w:val="Page Numbers (Bottom of Page)"/>
        <w:docPartUnique/>
      </w:docPartObj>
    </w:sdtPr>
    <w:sdtContent>
      <w:p w14:paraId="33B564F5" w14:textId="74F6C4DB" w:rsidR="00167C71" w:rsidRDefault="00167C71" w:rsidP="001A42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2C8349" w14:textId="77777777" w:rsidR="00167C71" w:rsidRDefault="00167C71" w:rsidP="00167C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99240881"/>
      <w:docPartObj>
        <w:docPartGallery w:val="Page Numbers (Bottom of Page)"/>
        <w:docPartUnique/>
      </w:docPartObj>
    </w:sdtPr>
    <w:sdtContent>
      <w:p w14:paraId="0DCCFA44" w14:textId="09554E58" w:rsidR="00167C71" w:rsidRDefault="00167C71" w:rsidP="001A42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5451A6" w14:textId="77777777" w:rsidR="00167C71" w:rsidRDefault="00167C71" w:rsidP="00167C71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FBAE0E6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51514795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167C71"/>
    <w:pPr>
      <w:keepNext/>
      <w:keepLines/>
      <w:spacing w:after="0" w:before="480" w:line="480" w:lineRule="auto"/>
      <w:outlineLvl w:val="0"/>
    </w:pPr>
    <w:rPr>
      <w:rFonts w:ascii="Times New Roman" w:cstheme="majorBidi" w:eastAsiaTheme="majorEastAsia" w:hAnsi="Times New Roman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927A3"/>
    <w:pPr>
      <w:keepNext/>
      <w:keepLines/>
      <w:spacing w:after="0" w:before="200" w:line="480" w:lineRule="auto"/>
      <w:outlineLvl w:val="1"/>
    </w:pPr>
    <w:rPr>
      <w:rFonts w:ascii="Times New Roman" w:cstheme="majorBidi" w:eastAsiaTheme="majorEastAsia" w:hAnsi="Times New Roman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167C71"/>
    <w:pPr>
      <w:spacing w:after="180" w:before="180" w:line="480" w:lineRule="auto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  <w:rsid w:val="00167C7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67C71"/>
    <w:pPr>
      <w:keepNext/>
      <w:keepLines/>
      <w:spacing w:after="120" w:before="360"/>
    </w:pPr>
    <w:rPr>
      <w:rFonts w:ascii="Times New Roman" w:cstheme="majorBidi" w:eastAsiaTheme="majorEastAsia" w:hAnsi="Times New Roman"/>
      <w:bCs/>
      <w:color w:themeColor="text1" w:val="000000"/>
      <w:szCs w:val="36"/>
    </w:rPr>
  </w:style>
  <w:style w:styleId="Subtitle" w:type="paragraph">
    <w:name w:val="Subtitle"/>
    <w:basedOn w:val="Title"/>
    <w:next w:val="BodyText"/>
    <w:qFormat/>
    <w:rsid w:val="00167C71"/>
    <w:pPr>
      <w:spacing w:before="120"/>
    </w:pPr>
    <w:rPr>
      <w:szCs w:val="30"/>
    </w:rPr>
  </w:style>
  <w:style w:customStyle="1" w:styleId="Author" w:type="paragraph">
    <w:name w:val="Author"/>
    <w:next w:val="BodyText"/>
    <w:qFormat/>
    <w:rsid w:val="00167C71"/>
    <w:pPr>
      <w:keepNext/>
      <w:keepLines/>
      <w:spacing w:after="80"/>
    </w:pPr>
    <w:rPr>
      <w:rFonts w:ascii="Times New Roman" w:hAnsi="Times New Roman"/>
    </w:rPr>
  </w:style>
  <w:style w:styleId="Date" w:type="paragraph">
    <w:name w:val="Date"/>
    <w:next w:val="BodyText"/>
    <w:qFormat/>
    <w:rsid w:val="00167C71"/>
    <w:pPr>
      <w:keepNext/>
      <w:keepLines/>
      <w:spacing w:after="80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167C71"/>
    <w:pPr>
      <w:keepNext/>
      <w:keepLines/>
      <w:spacing w:after="0" w:line="480" w:lineRule="auto"/>
    </w:pPr>
    <w:rPr>
      <w:rFonts w:ascii="Times New Roman" w:hAnsi="Times New Roman"/>
      <w:szCs w:val="20"/>
    </w:rPr>
  </w:style>
  <w:style w:styleId="Bibliography" w:type="paragraph">
    <w:name w:val="Bibliography"/>
    <w:basedOn w:val="Normal"/>
    <w:qFormat/>
    <w:rsid w:val="0030190A"/>
    <w:rPr>
      <w:rFonts w:ascii="Times New Roman" w:hAnsi="Times New Roman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08670E"/>
    <w:rPr>
      <w:rFonts w:ascii="Times New Roman" w:hAnsi="Times New Roman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545A8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7545A8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167C71"/>
    <w:pPr>
      <w:keepNext/>
    </w:pPr>
    <w:rPr>
      <w:rFonts w:ascii="Times New Roman" w:hAnsi="Times New Roman"/>
      <w:i w:val="0"/>
    </w:rPr>
  </w:style>
  <w:style w:customStyle="1" w:styleId="ImageCaption" w:type="paragraph">
    <w:name w:val="Image Caption"/>
    <w:basedOn w:val="Caption"/>
    <w:rsid w:val="00167C71"/>
    <w:rPr>
      <w:rFonts w:ascii="Times New Roman" w:hAnsi="Times New Roman"/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Pr>
      <w:rFonts w:ascii="Times New Roman" w:hAnsi="Times New Roman"/>
      <w:sz w:val="24"/>
    </w:rPr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  <w:rPr>
      <w:rFonts w:ascii="Times New Roman" w:hAnsi="Times New Roman"/>
      <w:sz w:val="24"/>
    </w:rPr>
  </w:style>
  <w:style w:styleId="FootnoteReference" w:type="character">
    <w:name w:val="footnote reference"/>
    <w:basedOn w:val="CaptionChar"/>
    <w:rsid w:val="007545A8"/>
    <w:rPr>
      <w:rFonts w:ascii="Times New Roman" w:hAnsi="Times New Roman"/>
      <w:sz w:val="24"/>
      <w:vertAlign w:val="superscript"/>
    </w:rPr>
  </w:style>
  <w:style w:styleId="Hyperlink" w:type="character">
    <w:name w:val="Hyperlink"/>
    <w:basedOn w:val="CaptionChar"/>
    <w:rPr>
      <w:rFonts w:ascii="Times New Roman" w:hAnsi="Times New Roman"/>
      <w:color w:themeColor="accent1" w:val="4F81BD"/>
      <w:sz w:val="2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oter" w:type="paragraph">
    <w:name w:val="footer"/>
    <w:basedOn w:val="Normal"/>
    <w:link w:val="FooterChar"/>
    <w:rsid w:val="00167C7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167C71"/>
    <w:rPr>
      <w:rFonts w:ascii="Times New Roman" w:hAnsi="Times New Roman"/>
      <w:sz w:val="24"/>
    </w:rPr>
  </w:style>
  <w:style w:styleId="PageNumber" w:type="character">
    <w:name w:val="page number"/>
    <w:basedOn w:val="DefaultParagraphFont"/>
    <w:rsid w:val="00167C71"/>
    <w:rPr>
      <w:rFonts w:ascii="Times New Roman" w:hAnsi="Times New Roman"/>
      <w:sz w:val="24"/>
    </w:rPr>
  </w:style>
  <w:style w:styleId="LineNumber" w:type="character">
    <w:name w:val="line number"/>
    <w:basedOn w:val="DefaultParagraphFont"/>
    <w:rsid w:val="00167C71"/>
    <w:rPr>
      <w:rFonts w:ascii="Times New Roman" w:hAnsi="Times New Roman"/>
      <w:sz w:val="24"/>
    </w:rPr>
  </w:style>
  <w:style w:styleId="TableofAuthorities" w:type="paragraph">
    <w:name w:val="table of authorities"/>
    <w:basedOn w:val="Normal"/>
    <w:next w:val="Normal"/>
    <w:rsid w:val="007545A8"/>
    <w:pPr>
      <w:spacing w:after="0"/>
      <w:ind w:hanging="240" w:left="240"/>
    </w:pPr>
    <w:rPr>
      <w:rFonts w:ascii="Times New Roman" w:hAnsi="Times New Roman"/>
    </w:rPr>
  </w:style>
  <w:style w:styleId="BodyText2" w:type="paragraph">
    <w:name w:val="Body Text 2"/>
    <w:basedOn w:val="Normal"/>
    <w:link w:val="BodyText2Char"/>
    <w:rsid w:val="0030190A"/>
    <w:pPr>
      <w:spacing w:after="120" w:line="480" w:lineRule="auto"/>
    </w:pPr>
    <w:rPr>
      <w:rFonts w:ascii="Times New Roman" w:hAnsi="Times New Roman"/>
    </w:rPr>
  </w:style>
  <w:style w:customStyle="1" w:styleId="BodyText2Char" w:type="character">
    <w:name w:val="Body Text 2 Char"/>
    <w:basedOn w:val="DefaultParagraphFont"/>
    <w:link w:val="BodyText2"/>
    <w:rsid w:val="0030190A"/>
    <w:rPr>
      <w:rFonts w:ascii="Times New Roman" w:hAnsi="Times New Roman"/>
      <w:sz w:val="24"/>
    </w:rPr>
  </w:style>
  <w:style w:styleId="EndnoteReference" w:type="character">
    <w:name w:val="endnote reference"/>
    <w:basedOn w:val="DefaultParagraphFont"/>
    <w:rsid w:val="0030190A"/>
    <w:rPr>
      <w:rFonts w:ascii="Times New Roman" w:hAnsi="Times New Roman"/>
      <w:sz w:val="24"/>
      <w:vertAlign w:val="superscript"/>
    </w:rPr>
  </w:style>
  <w:style w:styleId="PlaceholderText" w:type="character">
    <w:name w:val="Placeholder Text"/>
    <w:basedOn w:val="DefaultParagraphFont"/>
    <w:rsid w:val="00D373F1"/>
    <w:rPr>
      <w:color w:val="66666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hyperlink" Id="rId27" Target="https://doi.org/10.1890/08-2235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890/08-2235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Linking pinyon jay population abundance to pinyon cone production and climate in the SW United States</dc:title>
  <dc:creator/>
  <cp:keywords/>
  <dcterms:created xsi:type="dcterms:W3CDTF">2024-08-15T17:31:35Z</dcterms:created>
  <dcterms:modified xsi:type="dcterms:W3CDTF">2024-08-15T17:31:35Z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journal-of-animal-ecology.csl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