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A3D097" w14:textId="1117EEDC" w:rsidR="00BA739E" w:rsidRPr="00BA739E" w:rsidRDefault="2E9D8CDE" w:rsidP="5A83A434">
      <w:pPr>
        <w:pStyle w:val="Title"/>
        <w:rPr>
          <w:szCs w:val="24"/>
        </w:rPr>
      </w:pPr>
      <w:bookmarkStart w:id="0" w:name="materials-and-methods"/>
      <w:r w:rsidRPr="10F02EB4">
        <w:rPr>
          <w:b/>
        </w:rPr>
        <w:t>Title:</w:t>
      </w:r>
      <w:r>
        <w:t xml:space="preserve"> </w:t>
      </w:r>
      <w:r w:rsidR="46AE285C" w:rsidRPr="10F02EB4">
        <w:rPr>
          <w:bCs w:val="0"/>
          <w:szCs w:val="24"/>
        </w:rPr>
        <w:t xml:space="preserve"> Caching in: Tree masting influences populations of </w:t>
      </w:r>
      <w:r w:rsidR="001F33F2">
        <w:rPr>
          <w:bCs w:val="0"/>
          <w:szCs w:val="24"/>
        </w:rPr>
        <w:t>a declining</w:t>
      </w:r>
      <w:r w:rsidR="46AE285C" w:rsidRPr="10F02EB4">
        <w:rPr>
          <w:bCs w:val="0"/>
          <w:szCs w:val="24"/>
        </w:rPr>
        <w:t xml:space="preserve"> avian species</w:t>
      </w:r>
    </w:p>
    <w:p w14:paraId="12ECABA7" w14:textId="5E3336E7" w:rsidR="00A63129" w:rsidRDefault="2E9D8CDE" w:rsidP="00A63129">
      <w:pPr>
        <w:pStyle w:val="FirstParagraph"/>
      </w:pPr>
      <w:r w:rsidRPr="5A83A434">
        <w:rPr>
          <w:b/>
          <w:bCs/>
        </w:rPr>
        <w:t xml:space="preserve">Author </w:t>
      </w:r>
      <w:r w:rsidR="7C2EC806" w:rsidRPr="5A83A434">
        <w:rPr>
          <w:b/>
          <w:bCs/>
        </w:rPr>
        <w:t>L</w:t>
      </w:r>
      <w:r w:rsidRPr="5A83A434">
        <w:rPr>
          <w:b/>
          <w:bCs/>
        </w:rPr>
        <w:t>ist</w:t>
      </w:r>
      <w:r>
        <w:t>: Ana Miller-ter Kuile</w:t>
      </w:r>
      <w:r w:rsidRPr="5A83A434">
        <w:rPr>
          <w:vertAlign w:val="superscript"/>
        </w:rPr>
        <w:t>1,2</w:t>
      </w:r>
      <w:r>
        <w:t>, Andreas</w:t>
      </w:r>
      <w:r w:rsidR="0AB545A8">
        <w:t xml:space="preserve"> P.</w:t>
      </w:r>
      <w:r>
        <w:t xml:space="preserve"> Wion</w:t>
      </w:r>
      <w:r w:rsidRPr="5A83A434">
        <w:rPr>
          <w:vertAlign w:val="superscript"/>
        </w:rPr>
        <w:t>3</w:t>
      </w:r>
      <w:r>
        <w:t xml:space="preserve">, Kyle </w:t>
      </w:r>
      <w:r w:rsidR="64ECA29E">
        <w:t xml:space="preserve">C. </w:t>
      </w:r>
      <w:r>
        <w:t>Rodman</w:t>
      </w:r>
      <w:r w:rsidRPr="5A83A434">
        <w:rPr>
          <w:vertAlign w:val="superscript"/>
        </w:rPr>
        <w:t>4</w:t>
      </w:r>
      <w:r>
        <w:t>, Kiona Ogle</w:t>
      </w:r>
      <w:r w:rsidRPr="5A83A434">
        <w:rPr>
          <w:vertAlign w:val="superscript"/>
        </w:rPr>
        <w:t>1</w:t>
      </w:r>
      <w:r>
        <w:t>, Jamie S. Sanderlin</w:t>
      </w:r>
      <w:r w:rsidRPr="5A83A434">
        <w:rPr>
          <w:vertAlign w:val="superscript"/>
        </w:rPr>
        <w:t>2</w:t>
      </w:r>
    </w:p>
    <w:p w14:paraId="1C81DFAA" w14:textId="6DCE129C" w:rsidR="00A63129" w:rsidRDefault="2E9D8CDE" w:rsidP="00A63129">
      <w:pPr>
        <w:pStyle w:val="BodyText"/>
      </w:pPr>
      <w:r w:rsidRPr="5A83A434">
        <w:rPr>
          <w:b/>
          <w:bCs/>
        </w:rPr>
        <w:t xml:space="preserve">Author </w:t>
      </w:r>
      <w:r w:rsidR="64604529" w:rsidRPr="5A83A434">
        <w:rPr>
          <w:b/>
          <w:bCs/>
        </w:rPr>
        <w:t>A</w:t>
      </w:r>
      <w:r w:rsidRPr="5A83A434">
        <w:rPr>
          <w:b/>
          <w:bCs/>
        </w:rPr>
        <w:t>ffiliations</w:t>
      </w:r>
      <w:r>
        <w:t>:</w:t>
      </w:r>
    </w:p>
    <w:p w14:paraId="3D6E46DD" w14:textId="77777777" w:rsidR="00A63129" w:rsidRDefault="2E9D8CDE" w:rsidP="00A63129">
      <w:pPr>
        <w:pStyle w:val="BodyText"/>
      </w:pPr>
      <w:r w:rsidRPr="001F33F2">
        <w:rPr>
          <w:vertAlign w:val="superscript"/>
        </w:rPr>
        <w:t>1</w:t>
      </w:r>
      <w:r>
        <w:t xml:space="preserve"> Northern Arizona University School of Informatics, Computing, and Cyber Systems, Flagstaff, Arizona, USA</w:t>
      </w:r>
    </w:p>
    <w:p w14:paraId="4AA15869" w14:textId="77777777" w:rsidR="00A63129" w:rsidRDefault="2E9D8CDE" w:rsidP="00A63129">
      <w:pPr>
        <w:pStyle w:val="BodyText"/>
      </w:pPr>
      <w:r w:rsidRPr="001F33F2">
        <w:rPr>
          <w:vertAlign w:val="superscript"/>
        </w:rPr>
        <w:t>2</w:t>
      </w:r>
      <w:r>
        <w:t xml:space="preserve"> USDA Forest Service Rocky Mountain Research Station, Flagstaff, Arizona, USA</w:t>
      </w:r>
    </w:p>
    <w:p w14:paraId="2AC9A2F7" w14:textId="15ACCA95" w:rsidR="00A63129" w:rsidRDefault="2E9D8CDE" w:rsidP="00A63129">
      <w:pPr>
        <w:pStyle w:val="BodyText"/>
      </w:pPr>
      <w:r w:rsidRPr="001F33F2">
        <w:rPr>
          <w:vertAlign w:val="superscript"/>
        </w:rPr>
        <w:t>3</w:t>
      </w:r>
      <w:r>
        <w:t xml:space="preserve"> </w:t>
      </w:r>
      <w:r w:rsidR="2F7B8CAB">
        <w:t>Forest Stewards Guild, Santa Fe, New Mexico, USA</w:t>
      </w:r>
    </w:p>
    <w:p w14:paraId="147DAA03" w14:textId="77777777" w:rsidR="00A63129" w:rsidRDefault="2E9D8CDE" w:rsidP="00A63129">
      <w:pPr>
        <w:pStyle w:val="BodyText"/>
      </w:pPr>
      <w:r w:rsidRPr="001F33F2">
        <w:rPr>
          <w:vertAlign w:val="superscript"/>
        </w:rPr>
        <w:t>4</w:t>
      </w:r>
      <w:r>
        <w:t xml:space="preserve"> Ecological Restoration Institute, Northern Arizona University, Flagstaff, Arizona, USA</w:t>
      </w:r>
    </w:p>
    <w:p w14:paraId="33EFE51F" w14:textId="77777777" w:rsidR="00A63129" w:rsidRDefault="00A63129" w:rsidP="00A63129">
      <w:pPr>
        <w:pStyle w:val="BodyText"/>
      </w:pPr>
      <w:r>
        <w:rPr>
          <w:b/>
          <w:bCs/>
        </w:rPr>
        <w:t>Corresponding author:</w:t>
      </w:r>
      <w:r>
        <w:t xml:space="preserve"> Ana Miller-ter Kuile, ana.miller-ter-kuile@nau.edu, Northern Arizona University School of Informatics, Computing, and Cyber Systems, 1295 Knoles Drive, Flagstaff, Arizona 86011</w:t>
      </w:r>
    </w:p>
    <w:p w14:paraId="15359A4D" w14:textId="77777777" w:rsidR="00A63129" w:rsidRDefault="00A63129" w:rsidP="00A63129">
      <w:pPr>
        <w:pStyle w:val="Heading1"/>
      </w:pPr>
      <w:bookmarkStart w:id="1" w:name="conflict-of-interest"/>
      <w:r>
        <w:t>Conflict of Interest</w:t>
      </w:r>
    </w:p>
    <w:p w14:paraId="446D2CC0" w14:textId="77777777" w:rsidR="00A63129" w:rsidRDefault="00A63129" w:rsidP="00A63129">
      <w:pPr>
        <w:pStyle w:val="FirstParagraph"/>
      </w:pPr>
      <w:r>
        <w:t>The authors declare no conflicts of interest.</w:t>
      </w:r>
    </w:p>
    <w:p w14:paraId="2B5AA51B" w14:textId="77777777" w:rsidR="00A63129" w:rsidRDefault="00A63129" w:rsidP="00A63129">
      <w:pPr>
        <w:pStyle w:val="Heading1"/>
      </w:pPr>
      <w:bookmarkStart w:id="2" w:name="author-contributions"/>
      <w:bookmarkEnd w:id="1"/>
      <w:r>
        <w:t>Author Contributions</w:t>
      </w:r>
    </w:p>
    <w:p w14:paraId="009A3C9E" w14:textId="16BB6F0D" w:rsidR="00A63129" w:rsidRDefault="36D71A88" w:rsidP="00A63129">
      <w:pPr>
        <w:pStyle w:val="FirstParagraph"/>
      </w:pPr>
      <w:r>
        <w:t>AM</w:t>
      </w:r>
      <w:r w:rsidR="001F33F2">
        <w:t>-tK</w:t>
      </w:r>
      <w:r w:rsidR="2E9D8CDE">
        <w:t xml:space="preserve">, </w:t>
      </w:r>
      <w:r w:rsidR="1E2F72F7">
        <w:t>APW</w:t>
      </w:r>
      <w:r w:rsidR="2E9D8CDE">
        <w:t xml:space="preserve">, and </w:t>
      </w:r>
      <w:r w:rsidR="6B69974F">
        <w:t>KCR</w:t>
      </w:r>
      <w:r w:rsidR="2E9D8CDE">
        <w:t xml:space="preserve"> conceived the ideas; </w:t>
      </w:r>
      <w:r w:rsidR="223D30B8">
        <w:t>A</w:t>
      </w:r>
      <w:r w:rsidR="001F33F2">
        <w:t>M-tK</w:t>
      </w:r>
      <w:r w:rsidR="2E9D8CDE">
        <w:t xml:space="preserve">, </w:t>
      </w:r>
      <w:r w:rsidR="57FE482E">
        <w:t>KO</w:t>
      </w:r>
      <w:r w:rsidR="2E9D8CDE">
        <w:t xml:space="preserve">, and </w:t>
      </w:r>
      <w:r w:rsidR="69906047">
        <w:t>JSS</w:t>
      </w:r>
      <w:r w:rsidR="2E9D8CDE">
        <w:t xml:space="preserve"> developed statistical methods; </w:t>
      </w:r>
      <w:r w:rsidR="0B65BD00">
        <w:t>A</w:t>
      </w:r>
      <w:r w:rsidR="001F33F2">
        <w:t>M-tK</w:t>
      </w:r>
      <w:r w:rsidR="2E9D8CDE">
        <w:t xml:space="preserve"> and </w:t>
      </w:r>
      <w:r w:rsidR="600759E7">
        <w:t>KCR</w:t>
      </w:r>
      <w:r w:rsidR="2E9D8CDE">
        <w:t xml:space="preserve"> developed novel data layers and ran statistical models; </w:t>
      </w:r>
      <w:r w:rsidR="14F1C26D">
        <w:t>AM</w:t>
      </w:r>
      <w:r w:rsidR="001F33F2">
        <w:t>-tK</w:t>
      </w:r>
      <w:r w:rsidR="2E9D8CDE">
        <w:t xml:space="preserve"> led the writing of the manuscript with support from </w:t>
      </w:r>
      <w:r w:rsidR="6DB3B361">
        <w:t>APW</w:t>
      </w:r>
      <w:r w:rsidR="2E9D8CDE">
        <w:t xml:space="preserve"> and </w:t>
      </w:r>
      <w:r w:rsidR="7CE31ED8">
        <w:t>KCR</w:t>
      </w:r>
      <w:r w:rsidR="2E9D8CDE">
        <w:t xml:space="preserve">. All authors contributed to the drafts and gave final approval for publication. </w:t>
      </w:r>
    </w:p>
    <w:p w14:paraId="215CF191" w14:textId="0149FBD0" w:rsidR="00A63129" w:rsidRDefault="2E9D8CDE" w:rsidP="00A63129">
      <w:pPr>
        <w:pStyle w:val="FirstParagraph"/>
      </w:pPr>
      <w:r w:rsidRPr="5A83A434">
        <w:rPr>
          <w:b/>
          <w:bCs/>
        </w:rPr>
        <w:lastRenderedPageBreak/>
        <w:t xml:space="preserve">Statement on </w:t>
      </w:r>
      <w:r w:rsidR="5E40DC16" w:rsidRPr="5A83A434">
        <w:rPr>
          <w:b/>
          <w:bCs/>
        </w:rPr>
        <w:t>I</w:t>
      </w:r>
      <w:r w:rsidRPr="5A83A434">
        <w:rPr>
          <w:b/>
          <w:bCs/>
        </w:rPr>
        <w:t>nclusion</w:t>
      </w:r>
    </w:p>
    <w:p w14:paraId="4F7CD11A" w14:textId="0E4DFD8F" w:rsidR="00A63129" w:rsidRDefault="2E9D8CDE" w:rsidP="00A63129">
      <w:pPr>
        <w:pStyle w:val="FirstParagraph"/>
      </w:pPr>
      <w:r>
        <w:t xml:space="preserve">The authors reside within the study area. We shared preliminary results with wildlife biology land managers in the region and intend to provide a 1-page report to managers and others aimed at conserving </w:t>
      </w:r>
      <w:r w:rsidR="00AC0442">
        <w:t>two-needle pinyon</w:t>
      </w:r>
      <w:r>
        <w:t xml:space="preserve"> pine and pinyon jay.</w:t>
      </w:r>
    </w:p>
    <w:p w14:paraId="026EB98D" w14:textId="26D558F8" w:rsidR="00A63129" w:rsidRDefault="2E9D8CDE" w:rsidP="00A63129">
      <w:pPr>
        <w:pStyle w:val="Heading1"/>
      </w:pPr>
      <w:bookmarkStart w:id="3" w:name="data-availability"/>
      <w:bookmarkEnd w:id="2"/>
      <w:r>
        <w:t xml:space="preserve">Data </w:t>
      </w:r>
      <w:r w:rsidR="1635E2D6">
        <w:t>A</w:t>
      </w:r>
      <w:r>
        <w:t>vailability</w:t>
      </w:r>
    </w:p>
    <w:p w14:paraId="6CD1074C" w14:textId="77777777" w:rsidR="00A63129" w:rsidRDefault="00A63129" w:rsidP="00A63129">
      <w:pPr>
        <w:pStyle w:val="FirstParagraph"/>
      </w:pPr>
      <w:r>
        <w:t>Data and code for this paper are available on Zenodo (</w:t>
      </w:r>
      <w:commentRangeStart w:id="4"/>
      <w:r>
        <w:t>get up there!</w:t>
      </w:r>
      <w:commentRangeEnd w:id="4"/>
      <w:r>
        <w:commentReference w:id="4"/>
      </w:r>
      <w:r>
        <w:t>)</w:t>
      </w:r>
    </w:p>
    <w:p w14:paraId="2A11EDD7" w14:textId="77777777" w:rsidR="00A63129" w:rsidRDefault="00A63129" w:rsidP="00A63129">
      <w:r>
        <w:br w:type="page"/>
      </w:r>
    </w:p>
    <w:p w14:paraId="0CDE2BD9" w14:textId="77777777" w:rsidR="00A63129" w:rsidRDefault="00A63129" w:rsidP="00A63129">
      <w:pPr>
        <w:pStyle w:val="Heading1"/>
      </w:pPr>
      <w:bookmarkStart w:id="5" w:name="abstract"/>
      <w:bookmarkEnd w:id="3"/>
      <w:r>
        <w:lastRenderedPageBreak/>
        <w:t>Abstract</w:t>
      </w:r>
    </w:p>
    <w:p w14:paraId="4244D609" w14:textId="77777777" w:rsidR="00A63129" w:rsidRDefault="00A63129" w:rsidP="00A63129">
      <w:pPr>
        <w:pStyle w:val="Compact"/>
        <w:numPr>
          <w:ilvl w:val="0"/>
          <w:numId w:val="3"/>
        </w:numPr>
      </w:pPr>
      <w:r>
        <w:t>[Big picture and gaps]</w:t>
      </w:r>
    </w:p>
    <w:p w14:paraId="65D3E591" w14:textId="77777777" w:rsidR="00A63129" w:rsidRDefault="00A63129" w:rsidP="00A63129">
      <w:pPr>
        <w:pStyle w:val="Compact"/>
        <w:numPr>
          <w:ilvl w:val="0"/>
          <w:numId w:val="3"/>
        </w:numPr>
      </w:pPr>
      <w:r>
        <w:t>[Methods]</w:t>
      </w:r>
    </w:p>
    <w:p w14:paraId="0D1AE4C3" w14:textId="77777777" w:rsidR="00A63129" w:rsidRDefault="00A63129" w:rsidP="00A63129">
      <w:pPr>
        <w:pStyle w:val="Compact"/>
        <w:numPr>
          <w:ilvl w:val="0"/>
          <w:numId w:val="3"/>
        </w:numPr>
      </w:pPr>
      <w:r>
        <w:t>[Results]</w:t>
      </w:r>
    </w:p>
    <w:p w14:paraId="5BC6D4B2" w14:textId="77777777" w:rsidR="00A63129" w:rsidRDefault="00A63129" w:rsidP="00A63129">
      <w:pPr>
        <w:pStyle w:val="Compact"/>
        <w:numPr>
          <w:ilvl w:val="0"/>
          <w:numId w:val="3"/>
        </w:numPr>
      </w:pPr>
      <w:r>
        <w:t>[Synthesis]</w:t>
      </w:r>
    </w:p>
    <w:p w14:paraId="75DA91EB" w14:textId="77777777" w:rsidR="00A63129" w:rsidRDefault="00A63129" w:rsidP="00A63129">
      <w:pPr>
        <w:pStyle w:val="Heading1"/>
      </w:pPr>
      <w:bookmarkStart w:id="6" w:name="keywords"/>
      <w:bookmarkEnd w:id="5"/>
      <w:r>
        <w:t>Keywords</w:t>
      </w:r>
    </w:p>
    <w:p w14:paraId="5D1CDBBB" w14:textId="056D9B65" w:rsidR="00A63129" w:rsidRDefault="7C29C934" w:rsidP="00A63129">
      <w:pPr>
        <w:pStyle w:val="FirstParagraph"/>
      </w:pPr>
      <w:r>
        <w:t>seed production</w:t>
      </w:r>
      <w:r w:rsidR="2E9D8CDE">
        <w:t>,</w:t>
      </w:r>
      <w:r w:rsidR="05C25FED">
        <w:t xml:space="preserve"> interannual climate variability,</w:t>
      </w:r>
      <w:r w:rsidR="2E9D8CDE">
        <w:t xml:space="preserve"> mutualism, </w:t>
      </w:r>
      <w:r w:rsidR="05058B66" w:rsidRPr="5A83A434">
        <w:rPr>
          <w:i/>
          <w:iCs/>
        </w:rPr>
        <w:t>Pinus edulis</w:t>
      </w:r>
      <w:r w:rsidR="2E9D8CDE">
        <w:t xml:space="preserve">, </w:t>
      </w:r>
      <w:r w:rsidR="00AC0442" w:rsidRPr="00AC0442">
        <w:rPr>
          <w:i/>
          <w:iCs/>
        </w:rPr>
        <w:t>Gymnorhinus cyanocephalus</w:t>
      </w:r>
      <w:r w:rsidR="2E9D8CDE">
        <w:t xml:space="preserve">, </w:t>
      </w:r>
      <w:r w:rsidR="1B2E6539">
        <w:t xml:space="preserve">resource availability, </w:t>
      </w:r>
      <w:r w:rsidR="2E9D8CDE">
        <w:t>species interactions</w:t>
      </w:r>
    </w:p>
    <w:p w14:paraId="37267C69" w14:textId="77777777" w:rsidR="00A63129" w:rsidRDefault="00A63129" w:rsidP="00A63129">
      <w:pPr>
        <w:pStyle w:val="Heading1"/>
      </w:pPr>
      <w:bookmarkStart w:id="7" w:name="introduction"/>
      <w:bookmarkEnd w:id="6"/>
      <w:r>
        <w:t>1 Introduction</w:t>
      </w:r>
    </w:p>
    <w:p w14:paraId="6C92FC6F" w14:textId="6EBD2E2B" w:rsidR="00A63129" w:rsidRDefault="2E9D8CDE" w:rsidP="00A63129">
      <w:pPr>
        <w:pStyle w:val="BodyText"/>
      </w:pPr>
      <w:r>
        <w:t>Species interactions, including predation, herbivory, competition, and mutualisms, shape the functioning of every ecosystem</w:t>
      </w:r>
      <w:r w:rsidR="675C56FC">
        <w:t xml:space="preserve"> </w:t>
      </w:r>
      <w:r w:rsidR="00A63129">
        <w:fldChar w:fldCharType="begin"/>
      </w:r>
      <w:r w:rsidR="00A63129">
        <w:instrText xml:space="preserve"> ADDIN ZOTERO_ITEM CSL_CITATION {"citationID":"n0hq5tWa","properties":{"formattedCitation":"(Tylianakis et al., 2008)","plainCitation":"(Tylianakis et al., 2008)","noteIndex":0},"citationItems":[{"id":138,"uris":["http://zotero.org/users/6391447/items/695HTSZE"],"itemData":{"id":138,"type":"article-journal","abstract":"The main drivers of global environmental change (CO2 enrichment, nitrogen deposition, climate, biotic invasions and land use) cause extinctions and alter species distributions, and recent evidence shows that they exert pervasive impacts on various antagonistic and mutualistic interactions among species. In this review, we synthesize data from 688 published studies to show that these drivers often alter competitive interactions among plants and animals, exert multitrophic effects on the decomposer food web, increase intensity of pathogen infection, weaken mutualisms involving plants, and enhance herbivory while having variable effects on predation. A recurrent ﬁnding is that there is substantial variability among studies in both the magnitude and direction of effects of any given GEC driver on any given type of biotic interaction. Further, we show that higher order effects among multiple drivers acting simultaneously create challenges in predicting future responses to global environmental change, and that extrapolating these complex impacts across entire networks of species interactions yields unanticipated effects on ecosystems. Finally, we conclude that in order to reliably predict the effects of GEC on community and ecosystem processes, the greatest single challenge will be to determine how biotic and abiotic context alters the direction and magnitude of GEC effects on biotic interactions.","container-title":"Ecology Letters","DOI":"10.1111/j.1461-0248.2008.01250.x","ISSN":"1461023X, 14610248","issue":"12","language":"en","page":"1351-1363","source":"DOI.org (Crossref)","title":"Global change and species interactions in terrestrial ecosystems","volume":"11","author":[{"family":"Tylianakis","given":"Jason M."},{"family":"Didham","given":"Raphael K."},{"family":"Bascompte","given":"Jordi"},{"family":"Wardle","given":"David A."}],"issued":{"date-parts":[["2008",12]]}}}],"schema":"https://github.com/citation-style-language/schema/raw/master/csl-citation.json"} </w:instrText>
      </w:r>
      <w:r w:rsidR="00A63129">
        <w:fldChar w:fldCharType="separate"/>
      </w:r>
      <w:r w:rsidR="675C56FC" w:rsidRPr="10F02EB4">
        <w:rPr>
          <w:noProof/>
        </w:rPr>
        <w:t>(Tylianakis et al., 2008)</w:t>
      </w:r>
      <w:r w:rsidR="00A63129">
        <w:fldChar w:fldCharType="end"/>
      </w:r>
      <w:r>
        <w:t>. Mutualist relationships</w:t>
      </w:r>
      <w:r w:rsidR="005D5F13">
        <w:t>, in particular,</w:t>
      </w:r>
      <w:r>
        <w:t xml:space="preserve"> are threatened by environmental change across the globe - the loss of one interaction partner often leads to the co-extinction or functional extinction of the other and the loss of ecological functions maintained by mutualist interactions</w:t>
      </w:r>
      <w:r w:rsidR="675C56FC">
        <w:t xml:space="preserve"> </w:t>
      </w:r>
      <w:r w:rsidR="00A63129">
        <w:fldChar w:fldCharType="begin"/>
      </w:r>
      <w:r w:rsidR="00A63129">
        <w:instrText xml:space="preserve"> ADDIN ZOTERO_ITEM CSL_CITATION {"citationID":"F1ghP4Qh","properties":{"formattedCitation":"(Bascompte et al., 2019; Donoso et al., 2020; Valiente\\uc0\\u8208{}Banuet et al., 2015)","plainCitation":"(Bascompte et al., 2019; Donoso et al., 2020; Valiente‐Banuet et al., 2015)","noteIndex":0},"citationItems":[{"id":2840,"uris":["http://zotero.org/groups/5634119/items/XBV6UPW4"],"itemData":{"id":2840,"type":"article-journal","abstract":"Species extinctions may trigger coextinctions, leading to a biased pruning of the evolutionary and functional trees.","container-title":"Science Advances","DOI":"10.1126/sciadv.aav2539","ISSN":"2375-2548","issue":"5","journalAbbreviation":"Sci. Adv.","language":"en","note":"publisher: American Association for the Advancement of Science (AAAS)","source":"Crossref","title":"Mutualistic interactions reshuffle the effects of climate change on plants across the tree of life","URL":"https://www.science.org/doi/10.1126/sciadv.aav2539","volume":"5","author":[{"family":"Bascompte","given":"Jordi"},{"family":"García","given":"María B."},{"family":"Ortega","given":"Raúl"},{"family":"Rezende","given":"Enrico L."},{"family":"Pironon","given":"Samuel"}],"accessed":{"date-parts":[["2025",7,16]]},"issued":{"date-parts":[["2019",5,3]]}}},{"id":2530,"uris":["http://zotero.org/users/6391447/items/B5R8FK83"],"itemData":{"id":2530,"type":"article-journal","abstract":"Abstract\n            Downsizing of animal communities due to defaunation is prevalent in many ecosystems. Yet, we know little about its consequences for ecosystem functions such as seed dispersal. Here, we use eight seed-dispersal networks sampled across the Andes and simulate how downsizing of avian frugivores impacts structural network robustness and seed dispersal. We use a trait-based modeling framework to quantify the consequences of downsizing—relative to random extinctions—for the number of interactions and secondary plant extinctions (as measures of structural robustness) and for long-distance seed dispersal (as a measure of ecosystem function). We find that downsizing leads to stronger functional than structural losses. For instance, 10% size-structured loss of bird species results in almost 40% decline of long-distance seed dispersal, but in less than 10% of structural loss. Our simulations reveal that measures of the structural robustness of ecological networks underestimate the consequences of animal extinction and downsizing for ecosystem functioning.","container-title":"Nature Communications","DOI":"10.1038/s41467-020-15438-y","ISSN":"2041-1723","issue":"1","journalAbbreviation":"Nat Commun","language":"en","page":"1582","source":"DOI.org (Crossref)","title":"Downsizing of animal communities triggers stronger functional than structural decay in seed-dispersal networks","volume":"11","author":[{"family":"Donoso","given":"Isabel"},{"family":"Sorensen","given":"Marjorie C."},{"family":"Blendinger","given":"Pedro G."},{"family":"Kissling","given":"W. Daniel"},{"family":"Neuschulz","given":"Eike Lena"},{"family":"Mueller","given":"Thomas"},{"family":"Schleuning","given":"Matthias"}],"issued":{"date-parts":[["2020",3,27]]}}},{"id":134,"uris":["http://zotero.org/users/6391447/items/VWMS2D8E"],"itemData":{"id":134,"type":"article-journal","container-title":"Functional Ecology","DOI":"10.1111/1365-2435.12356","ISSN":"0269-8463, 1365-2435","issue":"3","journalAbbreviation":"Funct Ecol","language":"en","page":"299-307","source":"DOI.org (Crossref)","title":"Beyond species loss: the extinction of ecological interactions in a changing world","title-short":"Beyond species loss","volume":"29","author":[{"family":"Valiente‐Banuet","given":"Alfonso"},{"family":"Aizen","given":"Marcelo A."},{"family":"Alcántara","given":"Julio M."},{"family":"Arroyo","given":"Juan"},{"family":"Cocucci","given":"Andrea"},{"family":"Galetti","given":"Mauro"},{"family":"García","given":"María B."},{"family":"García","given":"Daniel"},{"family":"Gómez","given":"José M."},{"family":"Jordano","given":"Pedro"},{"family":"Medel","given":"Rodrigo"},{"family":"Navarro","given":"Luis"},{"family":"Obeso","given":"José R."},{"family":"Oviedo","given":"Ramona"},{"family":"Ramírez","given":"Nelson"},{"family":"Rey","given":"Pedro J."},{"family":"Traveset","given":"Anna"},{"family":"Verdú","given":"Miguel"},{"family":"Zamora","given":"Regino"}],"editor":[{"family":"Johnson","given":"Marc"}],"issued":{"date-parts":[["2015",3]]}}}],"schema":"https://github.com/citation-style-language/schema/raw/master/csl-citation.json"} </w:instrText>
      </w:r>
      <w:r w:rsidR="00A63129">
        <w:fldChar w:fldCharType="separate"/>
      </w:r>
      <w:r w:rsidR="675C56FC" w:rsidRPr="10F02EB4">
        <w:rPr>
          <w:rFonts w:cs="Times New Roman"/>
        </w:rPr>
        <w:t>(Bascompte et al., 2019; Donoso et al., 2020; Valiente‐Banuet et al., 2015)</w:t>
      </w:r>
      <w:r w:rsidR="00A63129">
        <w:fldChar w:fldCharType="end"/>
      </w:r>
      <w:r w:rsidR="675C56FC">
        <w:t>.</w:t>
      </w:r>
      <w:r w:rsidR="005D5F13">
        <w:t xml:space="preserve"> For example, the loss of large-bodied seed dispersers changes ecosystem functions such as carbon storage</w:t>
      </w:r>
      <w:r w:rsidR="00785258">
        <w:t xml:space="preserve"> </w:t>
      </w:r>
      <w:r w:rsidR="00785258">
        <w:fldChar w:fldCharType="begin"/>
      </w:r>
      <w:r w:rsidR="00785258">
        <w:instrText xml:space="preserve"> ADDIN ZOTERO_ITEM CSL_CITATION {"citationID":"V7YwUqLB","properties":{"formattedCitation":"(Brodie et al., 2025)","plainCitation":"(Brodie et al., 2025)","noteIndex":0},"citationItems":[{"id":2959,"uris":["http://zotero.org/users/6391447/items/XHTXUPAK"],"itemData":{"id":2959,"type":"article-journal","abstract":"Abstract\n            \n              The urgent need to mitigate and adapt to climate change necessitates a comprehensive understanding of carbon cycling dynamics. Traditionally, global carbon cycle models have focused on vegetation, but recent research suggests that animals can play a significant role in carbon dynamics under some circumstances, potentially enhancing the effectiveness of nature‐based solutions to mitigate climate change. However, links between animals, plants, and carbon remain unclear. We explored the complex interactions between defaunation and ecosystem carbon in Earth's most biodiverse and carbon‐rich biome, tropical rainforests. Defaunation can change patterns of seed dispersal, granivory, and herbivory in ways that alter tree species composition and, therefore, forest carbon above‐ and belowground. Most studies we reviewed show that defaunation reduces carbon storage 0−26% in the Neo‐ and Afrotropics, primarily via population declines in large‐seeded, animal‐dispersed trees. However, Asian forests are not predicted to experience changes because their high‐carbon trees are wind dispersed. Extrapolating these local effects to entire ecosystems implies losses of </w:instrText>
      </w:r>
      <w:r w:rsidR="00785258">
        <w:rPr>
          <w:rFonts w:ascii="Cambria Math" w:hAnsi="Cambria Math" w:cs="Cambria Math"/>
        </w:rPr>
        <w:instrText>∼</w:instrText>
      </w:r>
      <w:r w:rsidR="00785258">
        <w:instrText xml:space="preserve">1.6 Pg CO\n              2\n              equivalent across the Brazilian Atlantic Forest and 4−9.2 Pg across the Amazon over 100 years and of </w:instrText>
      </w:r>
      <w:r w:rsidR="00785258">
        <w:rPr>
          <w:rFonts w:ascii="Cambria Math" w:hAnsi="Cambria Math" w:cs="Cambria Math"/>
        </w:rPr>
        <w:instrText>∼</w:instrText>
      </w:r>
      <w:r w:rsidR="00785258">
        <w:instrText xml:space="preserve">14.7−26.3 Pg across the Congo basin over 250 years. In addition to being hard to quantify with precision, the effects of defaunation on ecosystem carbon are highly context dependent; outcomes varied based on the balance between antagonist and mutualist species interactions, abiotic conditions, human pressure, and numerous other factors. A combination of experiments, large‐scale comparative studies, and mechanistic models could help disentangle the effects of defaunation from other anthropogenic forces in the face of the incredible complexity of tropical forest systems. Overall, our synthesis emphasizes the importance of—and inconsistent results when—integrating animal dynamics into carbon cycle models, which is crucial for developing climate change mitigation strategies and effective policies.\n            \n          , \n            \n              \n              Impactos de la defaunación sobre el balance de carbono en los bosques tropicales\n              \n                \n                La urgencia por mitigar y adaptarse al cambio climático requiere que se entiendan las dinámicas del ciclo del carbono. Es común que los modelos del ciclo del carbono se enfoquen en la vegetación, pero estudios recientes sugieren que los animales pueden tener un papel significativo en las dinámicas del carbono bajo ciertas circunstancias, lo que tiene el potencial para mejorar la efectividad de las soluciones basadas en la naturaleza para mitigar el cambio climático. Sin embargo, todavía no está clara la relación entre los animales, las plantas y el carbono. Exploramos las interacciones complejas entre la defaunación y el carbono ambiental en el bioma más biodiverso y más rico en carbono de la Tierra: los bosques tropicales. La defaunación puede cambiar los patrones de dispersión de semillas, granivoría y herbivoría de manera que alteran la composición de especies de árboles y, por lo tanto, el carbono boscoso encima y debajo de la tierra.\n                \n                  La mayoría de los estudios que revisamos muestran que la defaunación reduce el almacenamiento de carbono 0‐26% en las zonas neotropical y afrotropical, principalmente por medio de las declinaciones poblacionales de los árboles con semillas grandes dispersadas por animales. Sin embargo, no hay pronósticos de que los bosques asiáticos sufran cambios porque sus árboles de carbono alto tienen dispersión por viento. Si extrapolamos estos efectos locales a ecosistemas completos, hay una pérdida explícita equivalente de </w:instrText>
      </w:r>
      <w:r w:rsidR="00785258">
        <w:rPr>
          <w:rFonts w:ascii="Cambria Math" w:hAnsi="Cambria Math" w:cs="Cambria Math"/>
        </w:rPr>
        <w:instrText>∼</w:instrText>
      </w:r>
      <w:r w:rsidR="00785258">
        <w:instrText xml:space="preserve">1.6 Pg CO\n                  2\n                  en el Bosque Atlántico Brasileño y de 4 ‐ 9.2 Pg en la Amazonia a lo largo de cien años; la pérdida es de </w:instrText>
      </w:r>
      <w:r w:rsidR="00785258">
        <w:rPr>
          <w:rFonts w:ascii="Cambria Math" w:hAnsi="Cambria Math" w:cs="Cambria Math"/>
        </w:rPr>
        <w:instrText>∼</w:instrText>
      </w:r>
      <w:r w:rsidR="00785258">
        <w:instrText xml:space="preserve">14.7 ‐ 26.3 Pg en la cuenca del Congo a lo largo de 250 años. Además de que son difíciles de cuantificar con precisión, los efectos de la defaunación sobre el carbono ambiental dependen en gran parte del contexto; los resultados variaron con base en el balance entra las interacciones de las especies mutualistas y antagonistas, las condiciones abióticas, la presión antropogénica y muchos factores más. Una combinación de experimentos, estudios comparativos a gran escala y modelos mecánicos podrían ayudar a comprender los efectos de la defaunación causada por otras fuerzas antropogénicas de frente a la increíble complejidad de los sistemas de bosques tropicales. En general, nuestra síntesis resalta la importancia de – y los resultados inconstantes cuando – la integración de las dinámicas animales en los modelos del ciclo del carbono, lo cual es importante para desarrollar estrategias de mitigación del cambio climático y políticas efectivas.","container-title":"Conservation Biology","DOI":"10.1111/cobi.14414","ISSN":"0888-8892, 1523-1739","issue":"1","journalAbbreviation":"Conservation Biology","language":"en","page":"e14414","source":"DOI.org (Crossref)","title":"Defaunation impacts on the carbon balance of tropical forests","volume":"39","author":[{"family":"Brodie","given":"Jedediah F."},{"family":"Bello","given":"Carolina"},{"family":"Emer","given":"Carine"},{"family":"Galetti","given":"Mauro"},{"family":"Luskin","given":"Matthew S."},{"family":"Osuri","given":"Anand"},{"family":"Peres","given":"Carlos A."},{"family":"Stoll","given":"Annina"},{"family":"Villar","given":"Nacho"},{"family":"López","given":"Ana‐Benítez"}],"issued":{"date-parts":[["2025",2]]}}}],"schema":"https://github.com/citation-style-language/schema/raw/master/csl-citation.json"} </w:instrText>
      </w:r>
      <w:r w:rsidR="00785258">
        <w:fldChar w:fldCharType="separate"/>
      </w:r>
      <w:r w:rsidR="00785258">
        <w:rPr>
          <w:noProof/>
        </w:rPr>
        <w:t>(Brodie et al., 2025)</w:t>
      </w:r>
      <w:r w:rsidR="00785258">
        <w:fldChar w:fldCharType="end"/>
      </w:r>
      <w:r w:rsidR="005D5F13">
        <w:t xml:space="preserve"> and the </w:t>
      </w:r>
      <w:r w:rsidR="00785258">
        <w:t xml:space="preserve">global pollinator decline is likely to influence not only crop production </w:t>
      </w:r>
      <w:r w:rsidR="00785258">
        <w:fldChar w:fldCharType="begin"/>
      </w:r>
      <w:r w:rsidR="00D85BFC">
        <w:instrText xml:space="preserve"> ADDIN ZOTERO_ITEM CSL_CITATION {"citationID":"ARKgqsGP","properties":{"formattedCitation":"(Burkle et al., 2013; Reilly et al., 2024)","plainCitation":"(Burkle et al., 2013; Reilly et al., 2024)","noteIndex":0},"citationItems":[{"id":2960,"uris":["http://zotero.org/users/6391447/items/QWPJRRYP"],"itemData":{"id":2960,"type":"article-journal","abstract":"Honeybees Can't Do It Alone\n            \n              The majority of food crops require pollination to set fruit with the honeybee providing a pollination workhorse, with both feral and managed populations an integral component of crop management (see the Perspective by\n              \n                Tylianakis\n              \n              , published online 28 February).\n              \n                Garibaldi\n                et al.\n              \n              (p.\n              1608\n              , published online 28 February) now show that wild pollinators are also a vital part of our crop systems. In more than 40 important crops grown worldwide, wild pollinators improved pollination efficiency, increasing fruit set by twice that facilitated by honeybees.\n              \n                Burkle\n                et al.\n              \n              (p.\n              1611\n              , published online 28 February) took advantage of one of the most thorough and oldest data sets available on plant-pollinator interaction networks and recollected data on plant-pollinator interactions after more than 120 years of climate change and landscape alteration. The historical data set consists of observations collected by Charles Robertson near Carlinville, Illinois (USA), in the late 1800s on the phenology of plants and their pollinating insects, as well as information about which plants and pollinators interacted with one another. Many sites were revisited in the early 1970s and in 2009 and 2010 to collect similar plant-pollinator data. Pollinator function has declined through time, with bees showing lower visitation rates and lower fidelity to individual plant species.\n            \n          , \n            \n              Long-term data in a North American landscape document the loss of species interactions in plant-pollinator networks.\n              \n                [Also see Perspective by\n                Tylianakis\n                ]\n              \n            \n          , \n            Using historic data sets, we quantified the degree to which global change over 120 years disrupted plant-pollinator interactions in a temperate forest understory community in Illinois, USA. We found degradation of interaction network structure and function and extirpation of 50% of bee species. Network changes can be attributed to shifts in forb and bee phenologies resulting in temporal mismatches, nonrandom species extinctions, and loss of spatial co-occurrences between extant species in modified landscapes. Quantity and quality of pollination services have declined through time. The historic network showed flexibility in response to disturbance; however, our data suggest that networks will be less resilient to future changes.","container-title":"Science","DOI":"10.1126/science.1232728","ISSN":"0036-8075, 1095-9203","issue":"6127","journalAbbreviation":"Science","language":"en","page":"1611-1615","source":"DOI.org (Crossref)","title":"Plant-Pollinator Interactions over 120 Years: Loss of Species, Co-Occurrence, and Function","title-short":"Plant-Pollinator Interactions over 120 Years","volume":"339","author":[{"family":"Burkle","given":"Laura A."},{"family":"Marlin","given":"John C."},{"family":"Knight","given":"Tiffany M."}],"issued":{"date-parts":[["2013",3,29]]}}},{"id":2981,"uris":["http://zotero.org/users/6391447/items/G7EIG2IS"],"itemData":{"id":2981,"type":"article-journal","abstract":"Abstract\n            \n              Aim\n              Most of the world's food crops are dependent on pollinators. However, there is a great deal of uncertainty in the strength of this relationship, especially regarding the relative contributions of the honey bee (often a managed species) and wild insects to crop yields on a global scale. Previous data syntheses have likewise reached differing conclusions on whether pollinator species diversity, or only the number of pollinator visits to flowers, is important to crop yield. This study quantifies the current state of these relationships and links to a dynamic version of our analyses that updates automatically as studies become available.\n            \n            \n              Location\n              Global.\n            \n            \n              Time Period\n              Present.\n            \n            \n              Taxa studied\n              Insect pollinators of global crops.\n            \n            \n              Methods\n              Using a newly created database of 93 crop pollination studies across six continents that roughly triples the number of studies previously available, we analysed the relationship between insect visit rates, pollinator diversity, and crop yields in a series of mixed‐effects models.\n            \n            \n              Results\n              We found that honey bees and wild insects contribute roughly equal amounts to crop yields worldwide, having similar average flower visitation rates and producing similar increases in yield per visit. We also found that pollinator species diversity was positively associated with increased crop yields even when total visits from all species are accounted for, though it was less explanatory than the total number of visits itself.\n            \n            \n              Main conclusions\n              Our analysis suggests a middle ground where honey bees are not responsible for the vast majority of crop pollination as has often been assumed in the agricultural literature, and likewise wild insects are not vastly more important than honey bees, as recent global analyses have reported. We also conclude that while pollinator diversity is less important than the number of pollinator visits, these typically involve many species, underscoring the importance of conserving a diversity of wild pollinators.","container-title":"Global Ecology and Biogeography","DOI":"10.1111/geb.13843","ISSN":"1466-822X, 1466-8238","issue":"7","journalAbbreviation":"Global Ecol Biogeogr","language":"en","page":"e13843","source":"DOI.org (Crossref)","title":"Wild insects and honey bees are equally important to crop yields in a global analysis","volume":"33","author":[{"family":"Reilly","given":"James"},{"family":"Bartomeus","given":"Ignasi"},{"family":"Simpson","given":"Dylan"},{"family":"Allen‐Perkins","given":"Alfonso"},{"family":"Garibaldi","given":"Lucas"},{"family":"Winfree","given":"Rachael"}],"issued":{"date-parts":[["2024",7]]}}}],"schema":"https://github.com/citation-style-language/schema/raw/master/csl-citation.json"} </w:instrText>
      </w:r>
      <w:r w:rsidR="00785258">
        <w:fldChar w:fldCharType="separate"/>
      </w:r>
      <w:r w:rsidR="00D85BFC">
        <w:rPr>
          <w:noProof/>
        </w:rPr>
        <w:t>(Burkle et al., 2013; Reilly et al., 2024)</w:t>
      </w:r>
      <w:r w:rsidR="00785258">
        <w:fldChar w:fldCharType="end"/>
      </w:r>
      <w:r w:rsidR="00785258">
        <w:t xml:space="preserve">, but also the structure and diversity of plant communities </w:t>
      </w:r>
      <w:r w:rsidR="00785258">
        <w:fldChar w:fldCharType="begin"/>
      </w:r>
      <w:r w:rsidR="00D85BFC">
        <w:instrText xml:space="preserve"> ADDIN ZOTERO_ITEM CSL_CITATION {"citationID":"tYa9I6y2","properties":{"formattedCitation":"(Artamendi et al., 2024; Potts et al., 2010)","plainCitation":"(Artamendi et al., 2024; Potts et al., 2010)","noteIndex":0},"citationItems":[{"id":2980,"uris":["http://zotero.org/users/6391447/items/9GYEVZG9"],"itemData":{"id":2980,"type":"article-journal","container-title":"Nature Ecology &amp; Evolution","DOI":"10.1038/s41559-024-02595-2","ISSN":"2397-334X","issue":"2","journalAbbreviation":"Nat Ecol Evol","language":"en","page":"296-313","source":"DOI.org (Crossref)","title":"Loss of pollinator diversity consistently reduces reproductive success for wild and cultivated plants","volume":"9","author":[{"family":"Artamendi","given":"Maddi"},{"family":"Martin","given":"Philip A."},{"family":"Bartomeus","given":"Ignasi"},{"family":"Magrach","given":"Ainhoa"}],"issued":{"date-parts":[["2024",12,11]]}}},{"id":2962,"uris":["http://zotero.org/users/6391447/items/HCPNDDJ3"],"itemData":{"id":2962,"type":"article-journal","container-title":"Trends in Ecology &amp; Evolution","DOI":"10.1016/j.tree.2010.01.007","ISSN":"01695347","issue":"6","journalAbbreviation":"Trends in Ecology &amp; Evolution","language":"en","license":"https://www.elsevier.com/tdm/userlicense/1.0/","page":"345-353","source":"DOI.org (Crossref)","title":"Global pollinator declines: trends, impacts and drivers","title-short":"Global pollinator declines","volume":"25","author":[{"family":"Potts","given":"Simon G."},{"family":"Biesmeijer","given":"Jacobus C."},{"family":"Kremen","given":"Claire"},{"family":"Neumann","given":"Peter"},{"family":"Schweiger","given":"Oliver"},{"family":"Kunin","given":"William E."}],"issued":{"date-parts":[["2010",6]]}}}],"schema":"https://github.com/citation-style-language/schema/raw/master/csl-citation.json"} </w:instrText>
      </w:r>
      <w:r w:rsidR="00785258">
        <w:fldChar w:fldCharType="separate"/>
      </w:r>
      <w:r w:rsidR="00D85BFC">
        <w:rPr>
          <w:noProof/>
        </w:rPr>
        <w:t>(Artamendi et al., 2024; Potts et al., 2010)</w:t>
      </w:r>
      <w:r w:rsidR="00785258">
        <w:fldChar w:fldCharType="end"/>
      </w:r>
      <w:r w:rsidR="00785258">
        <w:t>.</w:t>
      </w:r>
    </w:p>
    <w:p w14:paraId="04445354" w14:textId="77777777" w:rsidR="002D0660" w:rsidRDefault="2E9D8CDE" w:rsidP="002D0660">
      <w:pPr>
        <w:pStyle w:val="BodyText"/>
        <w:ind w:firstLine="720"/>
      </w:pPr>
      <w:r>
        <w:t xml:space="preserve">Interactions between plants and their seed dispersers (“synzoochrony”; </w:t>
      </w:r>
      <w:r w:rsidR="00A63129">
        <w:fldChar w:fldCharType="begin"/>
      </w:r>
      <w:r w:rsidR="00A63129">
        <w:instrText xml:space="preserve"> ADDIN ZOTERO_ITEM CSL_CITATION {"citationID":"7BCxOdCc","properties":{"formattedCitation":"(G\\uc0\\u243{}mez et al., 2019)","plainCitation":"(Gómez et al., 2019)","noteIndex":0},"citationItems":[{"id":2837,"uris":["http://zotero.org/groups/5634119/items/8DLSXLPD"],"itemData":{"id":2837,"type":"article-journal","abstract":"ABSTRACTSynzoochory is the dispersal of seeds by seed‐caching animals. The animal partner in this interaction plays a dual role, acting both as seed disperser and seed predator. We propose that this duality gives to synzoochory two distinctive features that have crucial ecological and evolutionary consequences. First, because plants attract animals that have not only positive (seed dispersal) but also negative (seed predation) impacts on their fitness, the evolution of adaptations to synzoochory is strongly constrained. Consequently, it is not easy to identify traits that define a synzoochorous dispersal syndrome. The absence of clear adaptations entails the extra difficulty of identifying synzoochorous plants by relying on dispersal traits, limiting our ability to explore the full geographic, taxonomic and phylogenetic extent of synzoochory. Second, the positive and negative outcomes of interactions with synzoochorous animals are expressed simultaneously. Consequently, synzoochorous interactions are not exclusively mutualistic or antagonistic, but are located at some point along a mutualism–antagonism continuum. What makes synzoochory interesting and unique is that the position of each partner along the continuum can be evaluated for every plant–animal interaction, and thus the continuum can be precisely described by assessing the relative frequency of positive and negative interaction events in each pairwise interaction. Herein we explore these two main features of synzoochory with a comprehensive quantitative survey of published studies on synzoochory. Synzoochory has been recorded for at least 1339 plant species differing in life forms, from annual and short‐lived herbs to long‐lived trees, belonging to 641 genera and 157 families widely distributed across the globe and across the seed plant phylogeny. Over 30 animal families belonging to five disparate taxonomic groups (rodents, marsupials, birds, insects, and land crabs) potentially act as synzoochorous dispersers. Although synzoochory appears to be fundamentally a secondary dispersal mode, many abundant and dominant trees are primarily synzoochorous. In addition, we found evidence of the existence of diplosynzoochory (caching animals acting both as primary and secondary dispersers of the same individual seed), mostly in nut‐bearing trees. Finally, we found that synzoochorous interactions are widely spread across the mutualism–antagonism continuum. Nevertheless, there were some differences among disperser species and functional groups. Corvids and some rodents (cricetids, nesomyids, sciurids) were located in the positive‐effects region of the continuum and presumably behave mostly as dispersers, whereas land crabs and insects were located in the negative‐effects extreme and behave mostly as seed predators. Our review demonstrates that synzoochory is not an anecdotal ecological interaction. Rather, it is pivotal to the functioning of many ecosystems where the natural regeneration of keystone plant species depends on the activity of granivorous animals that play a dual role. This distinctive interaction should not be ignored if we wish to have an accurate understanding of the functioning of natural systems.","container-title":"Biological Reviews","DOI":"10.1111/brv.12481","ISSN":"1464-7931, 1469-185X","issue":"3","language":"en","license":"http://onlinelibrary.wiley.com/termsAndConditions#vor","note":"publisher: Wiley","page":"874-902","source":"Crossref","title":"Synzoochory: the ecological and evolutionary relevance of a dual interaction","title-short":"Synzoochory","volume":"94","author":[{"family":"Gómez","given":"José María"},{"family":"Schupp","given":"Eugene W."},{"family":"Jordano","given":"Pedro"}],"issued":{"date-parts":[["2019",6]]}}}],"schema":"https://github.com/citation-style-language/schema/raw/master/csl-citation.json"} </w:instrText>
      </w:r>
      <w:r w:rsidR="00A63129">
        <w:fldChar w:fldCharType="separate"/>
      </w:r>
      <w:r w:rsidR="675C56FC" w:rsidRPr="5A83A434">
        <w:rPr>
          <w:rFonts w:cs="Times New Roman"/>
        </w:rPr>
        <w:t>(Gómez et al., 2019)</w:t>
      </w:r>
      <w:r w:rsidR="00A63129">
        <w:fldChar w:fldCharType="end"/>
      </w:r>
      <w:r>
        <w:t xml:space="preserve"> are an important subset of mutualistic interactions that shape plant and animal </w:t>
      </w:r>
      <w:r>
        <w:lastRenderedPageBreak/>
        <w:t>communities</w:t>
      </w:r>
      <w:r w:rsidR="00F2608D">
        <w:t xml:space="preserve"> </w:t>
      </w:r>
      <w:r w:rsidR="00F2608D">
        <w:fldChar w:fldCharType="begin"/>
      </w:r>
      <w:r w:rsidR="00F2608D">
        <w:instrText xml:space="preserve"> ADDIN ZOTERO_ITEM CSL_CITATION {"citationID":"M9tFkBfH","properties":{"formattedCitation":"(Pearse et al., 2016; Qiu et al., 2023)","plainCitation":"(Pearse et al., 2016; Qiu et al., 2023)","noteIndex":0},"citationItems":[{"id":2856,"uris":["http://zotero.org/groups/5634119/items/NN72KZHU"],"itemData":{"id":2856,"type":"article-journal","abstract":"SummaryMast seeding is a widespread and widely studied phenomenon. However, the physiological mechanisms that mediate masting events and link them to weather and plant resources are still debated. Here, we explore how masting is affected by plant resource budgets, fruit maturation success, and hormonal coordination of cues including weather and resources. There is little empirical support for the commonly stated hypothesis that plants store carbohydrates over several years to expend in a high‐seed year. Plants can switch carbohydrates away from growth in high‐seed years, and seed crops are more probably limited by nitrogen or phosphorus. Resources are clearly involved in the proximate mechanisms driving masting, but resource budget (RB) models cannot create masting in the absence of selection because some underlying selective benefit is required to set the level of a ‘full’ seed crop at greater than the annual resource increment. Economies of scale (EOSs) provide the ultimate factor selecting for masting, butEOSs probably always interact with resources, which modify the relationship between weather cues and reproduction. Thus,RBandEOSmodels are not alternative explanations for masting – both are required. Experiments manipulating processes that affect mast seeding will help clarify the physiological mechanisms that underlie mast seeding.ContentsSummary546I.Introduction546II.Ultimate and proximate hypotheses for masting behaviour547III.The role of plant resources in masting548IV.Which resources limit seed set?552V.Pollination, fruit development, and masting554VI.Hormonal control of seed set and masting556VII.Evolutionary perspectives on masting behaviour558VIII.Unifying resource budget and economy of scale models of masting558IX.Conclusions559Acknowledgements559References559","container-title":"New Phytologist","DOI":"10.1111/nph.14114","ISSN":"0028-646X, 1469-8137","issue":"3","language":"en","license":"http://onlinelibrary.wiley.com/termsAndConditions#am","note":"publisher: Wiley","page":"546-562","source":"Crossref","title":"Mechanisms of mast seeding: resources, weather, cues, and selection","title-short":"Mechanisms of mast seeding","volume":"212","author":[{"family":"Pearse","given":"Ian S."},{"family":"Koenig","given":"Walter D."},{"family":"Kelly","given":"Dave"}],"issued":{"date-parts":[["2016",11]]}}},{"id":2965,"uris":["http://zotero.org/groups/5634119/items/RZD7PAXV"],"itemData":{"id":2965,"type":"article-journal","container-title":"Nature Plants","DOI":"10.1038/s41477-023-01446-5","ISSN":"2055-0278","issue":"7","journalAbbreviation":"Nat. Plants","language":"en","page":"1044-1056","source":"DOI.org (Crossref)","title":"Masting is uncommon in trees that depend on mutualist dispersers in the context of global climate and fertility gradients","volume":"9","author":[{"family":"Qiu","given":"Tong"},{"family":"Aravena","given":"Marie-Claire"},{"family":"Ascoli","given":"Davide"},{"family":"Bergeron","given":"Yves"},{"family":"Bogdziewicz","given":"Michal"},{"family":"Boivin","given":"Thomas"},{"family":"Bonal","given":"Raul"},{"family":"Caignard","given":"Thomas"},{"family":"Cailleret","given":"Maxime"},{"family":"Calama","given":"Rafael"},{"family":"Calderon","given":"Sergio Donoso"},{"family":"Camarero","given":"J. Julio"},{"family":"Chang-Yang","given":"Chia-Hao"},{"family":"Chave","given":"Jerome"},{"family":"Chianucci","given":"Francesco"},{"family":"Courbaud","given":"Benoit"},{"family":"Cutini","given":"Andrea"},{"family":"Das","given":"Adrian J."},{"family":"Delpierre","given":"Nicolas"},{"family":"Delzon","given":"Sylvain"},{"family":"Dietze","given":"Michael"},{"family":"Dormont","given":"Laurent"},{"family":"Espelta","given":"Josep Maria"},{"family":"Fahey","given":"Timothy J."},{"family":"Farfan-Rios","given":"William"},{"family":"Franklin","given":"Jerry F."},{"family":"Gehring","given":"Catherine A."},{"family":"Gilbert","given":"Gregory S."},{"family":"Gratzer","given":"Georg"},{"family":"Greenberg","given":"Cathryn H."},{"family":"Guignabert","given":"Arthur"},{"family":"Guo","given":"Qinfeng"},{"family":"Hacket-Pain","given":"Andrew"},{"family":"Hampe","given":"Arndt"},{"family":"Han","given":"Qingmin"},{"family":"Holik","given":"Jan"},{"family":"Hoshizaki","given":"Kazuhiko"},{"family":"Ibanez","given":"Ines"},{"family":"Johnstone","given":"Jill F."},{"family":"Journé","given":"Valentin"},{"family":"Kitzberger","given":"Thomas"},{"family":"Knops","given":"Johannes M. H."},{"family":"Kunstler","given":"Georges"},{"family":"Kurokawa","given":"Hiroko"},{"family":"Lageard","given":"Jonathan G. A."},{"family":"LaMontagne","given":"Jalene M."},{"family":"Lefevre","given":"Francois"},{"family":"Leininger","given":"Theodor"},{"family":"Limousin","given":"Jean-Marc"},{"family":"Lutz","given":"James A."},{"family":"Macias","given":"Diana"},{"family":"Marell","given":"Anders"},{"family":"McIntire","given":"Eliot J. B."},{"family":"Moore","given":"Christopher M."},{"family":"Moran","given":"Emily"},{"family":"Motta","given":"Renzo"},{"family":"Myers","given":"Jonathan A."},{"family":"Nagel","given":"Thomas A."},{"family":"Naoe","given":"Shoji"},{"family":"Noguchi","given":"Mahoko"},{"family":"Oguro","given":"Michio"},{"family":"Parmenter","given":"Robert"},{"family":"Pearse","given":"Ian S."},{"family":"Perez-Ramos","given":"Ignacio M."},{"family":"Piechnik","given":"Lukasz"},{"family":"Podgorski","given":"Tomasz"},{"family":"Poulsen","given":"John"},{"family":"Redmond","given":"Miranda D."},{"family":"Reid","given":"Chantal D."},{"family":"Rodman","given":"Kyle C."},{"family":"Rodriguez-Sanchez","given":"Francisco"},{"family":"Samonil","given":"Pavel"},{"family":"Sanguinetti","given":"Javier D."},{"family":"Scher","given":"C. Lane"},{"family":"Seget","given":"Barbara"},{"family":"Sharma","given":"Shubhi"},{"family":"Shibata","given":"Mitsue"},{"family":"Silman","given":"Miles"},{"family":"Steele","given":"Michael A."},{"family":"Stephenson","given":"Nathan L."},{"family":"Straub","given":"Jacob N."},{"family":"Sutton","given":"Samantha"},{"family":"Swenson","given":"Jennifer J."},{"family":"Swift","given":"Margaret"},{"family":"Thomas","given":"Peter A."},{"family":"Uriarte","given":"Maria"},{"family":"Vacchiano","given":"Giorgio"},{"family":"Whipple","given":"Amy V."},{"family":"Whitham","given":"Thomas G."},{"family":"Wion","given":"Andreas P."},{"family":"Wright","given":"S. Joseph"},{"family":"Zhu","given":"Kai"},{"family":"Zimmerman","given":"Jess K."},{"family":"Zywiec","given":"Magdalena"},{"family":"Clark","given":"James S."}],"issued":{"date-parts":[["2023",6,29]]}}}],"schema":"https://github.com/citation-style-language/schema/raw/master/csl-citation.json"} </w:instrText>
      </w:r>
      <w:r w:rsidR="00F2608D">
        <w:fldChar w:fldCharType="separate"/>
      </w:r>
      <w:r w:rsidR="00F2608D">
        <w:rPr>
          <w:noProof/>
        </w:rPr>
        <w:t>(Pearse et al., 2016; Qiu et al., 2023)</w:t>
      </w:r>
      <w:r w:rsidR="00F2608D">
        <w:fldChar w:fldCharType="end"/>
      </w:r>
      <w:r>
        <w:t>. In seed dispersal interactions, plants often benefit by being dispersed further from conspecifics and pathogens</w:t>
      </w:r>
      <w:r w:rsidR="675C56FC">
        <w:t xml:space="preserve"> </w:t>
      </w:r>
      <w:r w:rsidR="00A63129">
        <w:fldChar w:fldCharType="begin"/>
      </w:r>
      <w:r w:rsidR="00A63129">
        <w:instrText xml:space="preserve"> ADDIN ZOTERO_ITEM CSL_CITATION {"citationID":"Ud33z9jE","properties":{"formattedCitation":"(Comita et al., 2014; Connell, 1971; Janzen, 1970)","plainCitation":"(Comita et al., 2014; Connell, 1971; Janzen, 1970)","noteIndex":0},"citationItems":[{"id":2844,"uris":["http://zotero.org/groups/5634119/items/842XACA6"],"itemData":{"id":2844,"type":"article-journal","abstract":"SummaryThe Janzen–Connell hypothesis proposes that specialist natural enemies, such as herbivores and pathogens, maintain diversity in plant communities by reducing survival rates of conspecific seeds and seedlings located close to reproductive adults or in areas of high conspecific density. Variation in the strength of distance‐ and density‐dependent effects is hypothesized to explain variation in plant species richness along climatic gradients, with effects predicted to be stronger in the tropics than the temperate zone and in wetter habitats compared to drier habitats.We conducted a comprehensive literature search to identify peer‐reviewed experimental studies published in the 40+ years since the hypothesis was first proposed. Using data from these studies, we conducted a meta‐analysis to assess the current weight of evidence for the distance and density predictions of the Janzen–Connell hypothesis.Overall, we found significant support for both the distance‐ and density‐dependent predictions. For all studies combined, survival rates were significantly reduced near conspecifics compared to far from conspecifics, and in areas with high densities of conspecifics compared to areas with low conspecific densities. There was no indication that these results were due to publication bias.The strength of distance and density effects varied widely among studies. Contrary to expectations, this variation was unrelated to latitude, and there was no significant effect of study region. However, we did find a trend for stronger distance and density dependence in wetter sites compared to sites with lower annual precipitation. In addition, effects were significantly stronger at the seedling stage compared to the seed stage.Synthesis. Our study provides support for the idea that distance‐ and density‐dependent mortality occurs in plant communities world‐wide. Available evidence suggests that natural enemies are frequently the cause of such patterns, consistent with the Janzen–Connell hypothesis, but additional studies are needed to rule out other mechanisms (e.g. intraspecific competition). With the widespread existence of density and distance dependence clearly established, future research should focus on assessing the degree to which these effects permit species coexistence and contribute to the maintenance of diversity in plant communities.","container-title":"Journal of Ecology","DOI":"10.1111/1365-2745.12232","ISSN":"0022-0477, 1365-2745","issue":"4","language":"en","license":"http://creativecommons.org/licenses/by-nc/3.0/","note":"publisher: Wiley","page":"845-856","source":"Crossref","title":"Testing predictions of the &lt;span style=\"font-variant:small-caps;\"&gt;J&lt;/span&gt;anzen–&lt;span style=\"font-variant:small-caps;\"&gt;C&lt;/span&gt;onnell hypothesis: a meta‐analysis of experimental evidence for distance‐ and density‐dependent seed and seedling survival","title-short":"Testing predictions of the &lt;span style=\"font-variant","volume":"102","author":[{"family":"Comita","given":"Liza S."},{"family":"Queenborough","given":"Simon A."},{"family":"Murphy","given":"Stephen J."},{"family":"Eck","given":"Jenalle L."},{"family":"Xu","given":"Kaiyang"},{"family":"Krishnadas","given":"Meghna"},{"family":"Beckman","given":"Noelle"},{"family":"Zhu","given":"Yan"}],"editor":[{"family":"Gómez‐Aparicio","given":"Lorena"}],"issued":{"date-parts":[["2014",7]]}}},{"id":2843,"uris":["http://zotero.org/groups/5634119/items/XJJSSKN8"],"itemData":{"id":2843,"type":"chapter","container-title":"Dynamics of Populations","event-place":"Wageningen, The Netherlands","publisher":"Centre for Agricultural Publishing and Documentation","publisher-place":"Wageningen, The Netherlands","title":"On the role of natural enemies in preventing competitive exclusion in some marine animals and in rain forest trees","author":[{"family":"Connell","given":"J.H."}],"issued":{"date-parts":[["1971"]]}}},{"id":2842,"uris":["http://zotero.org/groups/5634119/items/N7BJVFH8"],"itemData":{"id":2842,"type":"article-journal","container-title":"The American Naturalist","issue":"940","page":"501-528","title":"Herbivores and the number of tree species in tropical forests","volume":"104","author":[{"family":"Janzen","given":"Daniel"}],"issued":{"date-parts":[["1970"]]}}}],"schema":"https://github.com/citation-style-language/schema/raw/master/csl-citation.json"} </w:instrText>
      </w:r>
      <w:r w:rsidR="00A63129">
        <w:fldChar w:fldCharType="separate"/>
      </w:r>
      <w:r w:rsidR="1466A940" w:rsidRPr="5A83A434">
        <w:rPr>
          <w:noProof/>
        </w:rPr>
        <w:t>(Comita et al., 2014; Connell, 1971; Janzen, 1970)</w:t>
      </w:r>
      <w:r w:rsidR="00A63129">
        <w:fldChar w:fldCharType="end"/>
      </w:r>
      <w:r>
        <w:t xml:space="preserve"> </w:t>
      </w:r>
      <w:r w:rsidR="1466A940">
        <w:t xml:space="preserve">or by being buried by seed dispersers (“scatterhoarding”, </w:t>
      </w:r>
      <w:r w:rsidR="00A63129">
        <w:fldChar w:fldCharType="begin"/>
      </w:r>
      <w:r w:rsidR="00A63129">
        <w:instrText xml:space="preserve"> ADDIN ZOTERO_ITEM CSL_CITATION {"citationID":"qJNdNntd","properties":{"formattedCitation":"(Elwood et al., 2018)","plainCitation":"(Elwood et al., 2018)","noteIndex":0},"citationItems":[{"id":2846,"uris":["http://zotero.org/groups/5634119/items/35Z6PZPK"],"itemData":{"id":2846,"type":"article-journal","abstract":"AbstractBoth seed predators and herbivores can have profound effects on individual plant growth, reproduction and survival, but their population‐level effects are less well understood. While most plants interact with a suite of seed predators and herbivores over their life cycle, few studies incorporate the effects of multiple interacting partners and multiple life stages on plant population growth.We constructed a matrix model using 6 years of data from a rare, seed‐producing population of American chestnut (Castanea dentata). We combined field demographic data with published experimental results on the effects of pre‐dispersal seed predators (weevils) and post‐dispersal seed predators (scatter‐hoarding vertebrates) and incorporated the effect of vertebrate herbivores estimated from the field data. We explored the impact of these three different animal interactions for short‐term (transient) and long‐term (asymptotic) tree population growth. In addition, we used the model to explore the conditions under which scatter hoarding would function as a mutualism.Seed predators had greater effect on both short‐ and long‐term population growth than herbivores. Although weevil infestation can greatly reduce the probability of germination, pre‐dispersal seed predators had smaller effects on both short‐ or long‐term population growth than post‐dispersal predators. The elasticities of weevil‐related parameters were also small. The effect of browsers on both the short‐ and long‐term population growth rate were the smallest of the effects studied. Post‐dispersal seed predation affected population growth the most in the interactions studied. The probability of seed removal was among the largest elasticities, similar in magnitude to survival of large trees.Synthesis. Our results indicate that neither weevils nor the intensity of browse damage observed at our study site are likely to hinder tree regeneration or reintroduction, although both reduced population growth. Although researchers and forest managers often assume that seeds are unimportant for long‐lived tree populations, our test of this assumption shows that scatterhoarders and other post‐dispersal seed consumers can significantly limit natural regeneration. Forest management that alters scatterhoarder behaviour could have significant effects on tree population dynamics that are largely unexplored.","container-title":"Journal of Ecology","DOI":"10.1111/1365-2745.12902","ISSN":"0022-0477, 1365-2745","issue":"3","language":"en","license":"http://onlinelibrary.wiley.com/termsAndConditions#am","note":"publisher: Wiley","page":"1191-1203","source":"Crossref","title":"Scatterhoarders drive long‐ and short‐term population dynamics of a nut‐producing tree, while pre‐dispersal seed predators and herbivores have little effect","volume":"106","author":[{"family":"Elwood","given":"Elise C."},{"family":"Lichti","given":"Nathanael I."},{"family":"Fitzsimmons","given":"Sara F."},{"family":"Dalgleish","given":"Harmony J."}],"editor":[{"family":"Zuidema","given":"Pieter"}],"issued":{"date-parts":[["2018",5]]}}}],"schema":"https://github.com/citation-style-language/schema/raw/master/csl-citation.json"} </w:instrText>
      </w:r>
      <w:r w:rsidR="00A63129">
        <w:fldChar w:fldCharType="separate"/>
      </w:r>
      <w:r w:rsidR="1466A940" w:rsidRPr="5A83A434">
        <w:rPr>
          <w:noProof/>
        </w:rPr>
        <w:t>(Elwood et al., 2018)</w:t>
      </w:r>
      <w:r w:rsidR="00A63129">
        <w:fldChar w:fldCharType="end"/>
      </w:r>
      <w:r w:rsidR="1466A940">
        <w:t>. A</w:t>
      </w:r>
      <w:r>
        <w:t>nimals benefit by eating many of the seeds they disperse</w:t>
      </w:r>
      <w:r w:rsidR="1AAA5791">
        <w:t>,</w:t>
      </w:r>
      <w:r w:rsidR="1466A940">
        <w:t xml:space="preserve"> and in the case of scatterhoarders, stashing seeds for later away from predation </w:t>
      </w:r>
      <w:r w:rsidR="1AAA5791">
        <w:t>by</w:t>
      </w:r>
      <w:r w:rsidR="1466A940">
        <w:t xml:space="preserve"> other seed eaters </w:t>
      </w:r>
      <w:r w:rsidR="00A63129">
        <w:fldChar w:fldCharType="begin"/>
      </w:r>
      <w:r w:rsidR="00A63129">
        <w:instrText xml:space="preserve"> ADDIN ZOTERO_ITEM CSL_CITATION {"citationID":"vtuKCRbP","properties":{"formattedCitation":"(Vander Wall, 2003)","plainCitation":"(Vander Wall, 2003)","noteIndex":0},"citationItems":[{"id":2852,"uris":["http://zotero.org/groups/5634119/items/LYSN5QZ9"],"itemData":{"id":2852,"type":"article-journal","container-title":"Behavioral Ecology","DOI":"10.1093/beheco/arg064","ISSN":"1465-7279","issue":"5","language":"en","note":"publisher: Oxford University Press (OUP)","page":"656-667","source":"Crossref","title":"Reciprocal pilferage and the evolution of food-hoarding behavior","volume":"14","author":[{"family":"Vander Wall","given":"S. B."}],"issued":{"date-parts":[["2003",9,1]]}}}],"schema":"https://github.com/citation-style-language/schema/raw/master/csl-citation.json"} </w:instrText>
      </w:r>
      <w:r w:rsidR="00A63129">
        <w:fldChar w:fldCharType="separate"/>
      </w:r>
      <w:r w:rsidR="1AAA5791" w:rsidRPr="5A83A434">
        <w:rPr>
          <w:noProof/>
        </w:rPr>
        <w:t>(Vander Wall, 2003)</w:t>
      </w:r>
      <w:r w:rsidR="00A63129">
        <w:fldChar w:fldCharType="end"/>
      </w:r>
      <w:r>
        <w:t xml:space="preserve">. However, </w:t>
      </w:r>
      <w:r w:rsidR="360FD129">
        <w:t>such interactions</w:t>
      </w:r>
      <w:r>
        <w:t xml:space="preserve"> can</w:t>
      </w:r>
      <w:r w:rsidR="133EE712">
        <w:t xml:space="preserve"> also</w:t>
      </w:r>
      <w:r>
        <w:t xml:space="preserve"> become negative </w:t>
      </w:r>
      <w:r w:rsidR="1826A334">
        <w:t xml:space="preserve">for </w:t>
      </w:r>
      <w:r>
        <w:t>plants</w:t>
      </w:r>
      <w:r w:rsidR="0D719BAA">
        <w:t xml:space="preserve"> when limited seeds are available,</w:t>
      </w:r>
      <w:r>
        <w:t xml:space="preserve"> with seed dispersers </w:t>
      </w:r>
      <w:r w:rsidR="482D2FF8">
        <w:t xml:space="preserve">instead </w:t>
      </w:r>
      <w:r>
        <w:t>becoming seed predators</w:t>
      </w:r>
      <w:r w:rsidR="1AAA5791">
        <w:t xml:space="preserve"> </w:t>
      </w:r>
      <w:r w:rsidR="00A63129">
        <w:fldChar w:fldCharType="begin"/>
      </w:r>
      <w:r w:rsidR="00A63129">
        <w:instrText xml:space="preserve"> ADDIN ZOTERO_ITEM CSL_CITATION {"citationID":"rgWWhLTl","properties":{"formattedCitation":"(Bogdziewicz et al., 2020)","plainCitation":"(Bogdziewicz et al., 2020)","noteIndex":0},"citationItems":[{"id":2854,"uris":["http://zotero.org/groups/5634119/items/MJABSAQ9"],"itemData":{"id":2854,"type":"article-journal","abstract":"AbstractNumerous interactions between plants and animals vary in their outcome between antagonism and mutualism. Interactions between plants and scatter‐hoarding animals provide a prime example of this phenomenon. Scatterhoarders consume large quantities of seeds (potentially reducing plant establishment), yet also disperse seeds and bury them in shallow caches (potentially improving recruitment). Despite intense work on mechanisms that cause these interactions to shift along an antagonism–mutualism continuum, it remains difficult to quantify their final outcomes.We demonstrate how readily available field data can be used to reach this goal, with interactions between rodents and two oaks species (sessile oak Quercus petraea, and red oak Q. rubra) as an empirical example. Our approach consists of quantifying the net outcome of the interaction through collecting data on different vital rates (e.g. probability that cached seeds survive to germination, probability of seedling recruitment with and without rodents; near and far from conspecific trees; with and without seed pilferage) and assembling them in a simple mathematical model.We found that during the period of the study, interactions between scatter‐hoarding rodents and both focal oaks were antagonistic. Even though caching increased the likelihood of seedling establishment, this effect was not strong enough to compensate for the costs of seed predation. Furthermore, there was no evidence that the short‐distance transportation that is usually provided by small mammals benefited early oak recruitment.Synthesis. Our empirical results demonstrated that certain common assumptions – that caching by rodents invariably benefits plant recruitment; that improved seedling establishment after seed burial is sufficient to make plant–scatterhoarder interactions mutualistic; that transportation away from maternal plants is highly beneficial—do not always hold and should be tested rather than taken for granted.","container-title":"Journal of Ecology","DOI":"10.1111/1365-2745.13307","ISSN":"0022-0477, 1365-2745","issue":"3","language":"en","license":"http://onlinelibrary.wiley.com/termsAndConditions#vor","note":"publisher: Wiley","page":"1009-1018","source":"Crossref","title":"Do benefits of seed dispersal and caching by scatterhoarders outweigh the costs of predation? An example with oaks and yellow‐necked mice","title-short":"Do benefits of seed dispersal and caching by scatterhoarders outweigh the costs of predation?","volume":"108","author":[{"family":"Bogdziewicz","given":"Michał"},{"family":"Crone","given":"Elizabeth E."},{"family":"Zwolak","given":"Rafał"}],"editor":[{"family":"Rees","given":"Mark"}],"issued":{"date-parts":[["2020",5]]}}}],"schema":"https://github.com/citation-style-language/schema/raw/master/csl-citation.json"} </w:instrText>
      </w:r>
      <w:r w:rsidR="00A63129">
        <w:fldChar w:fldCharType="separate"/>
      </w:r>
      <w:r w:rsidR="1AAA5791" w:rsidRPr="5A83A434">
        <w:rPr>
          <w:noProof/>
        </w:rPr>
        <w:t>(Bogdziewicz et al., 2020)</w:t>
      </w:r>
      <w:r w:rsidR="00A63129">
        <w:fldChar w:fldCharType="end"/>
      </w:r>
      <w:r>
        <w:t>.</w:t>
      </w:r>
      <w:r w:rsidR="002D0660">
        <w:t xml:space="preserve"> </w:t>
      </w:r>
    </w:p>
    <w:p w14:paraId="33229DB1" w14:textId="60AB85E1" w:rsidR="002D0660" w:rsidRDefault="005E2AEB" w:rsidP="002D0660">
      <w:pPr>
        <w:pStyle w:val="BodyText"/>
        <w:ind w:firstLine="720"/>
      </w:pPr>
      <w:r>
        <w:t>M</w:t>
      </w:r>
      <w:r w:rsidR="2E9D8CDE">
        <w:t xml:space="preserve">any plant species </w:t>
      </w:r>
      <w:r>
        <w:t xml:space="preserve">whose seeds are readily eaten by seed predators (e.g., insects, rodents, birds) </w:t>
      </w:r>
      <w:r w:rsidR="2E9D8CDE">
        <w:t xml:space="preserve">exhibit “masting” patterns in which, at the population level, plants produce a </w:t>
      </w:r>
      <w:r w:rsidR="7665ACAE">
        <w:t xml:space="preserve">synchronous and </w:t>
      </w:r>
      <w:r w:rsidR="2E9D8CDE">
        <w:t>abundan</w:t>
      </w:r>
      <w:r w:rsidR="0BDEC906">
        <w:t>t</w:t>
      </w:r>
      <w:r w:rsidR="2E9D8CDE">
        <w:t xml:space="preserve"> seed</w:t>
      </w:r>
      <w:r w:rsidR="04B50E02">
        <w:t xml:space="preserve"> crop</w:t>
      </w:r>
      <w:r w:rsidR="2E9D8CDE">
        <w:t xml:space="preserve"> in </w:t>
      </w:r>
      <w:r w:rsidR="2B9138DA">
        <w:t>particular</w:t>
      </w:r>
      <w:r w:rsidR="2E9D8CDE">
        <w:t xml:space="preserve"> years - animals will still eat many seeds but at least a few seeds will be dispersed to areas favorable for germination</w:t>
      </w:r>
      <w:r w:rsidR="26D30C65">
        <w:t xml:space="preserve"> </w:t>
      </w:r>
      <w:r w:rsidR="00A63129">
        <w:fldChar w:fldCharType="begin"/>
      </w:r>
      <w:r w:rsidR="00A63129">
        <w:instrText xml:space="preserve"> ADDIN ZOTERO_ITEM CSL_CITATION {"citationID":"ENgCc4CB","properties":{"formattedCitation":"(Vander Wall, 2002)","plainCitation":"(Vander Wall, 2002)","noteIndex":0},"citationItems":[{"id":2871,"uris":["http://zotero.org/groups/5634119/items/Y9A4MSB8"],"itemData":{"id":2871,"type":"article-journal","container-title":"Ecology","DOI":"10.1890/0012-9658(2002)083[3508:miadpf]2.0.co;2","ISSN":"0012-9658","issue":"12","language":"en","license":"http://doi.wiley.com/10.1002/tdm_license_1.1","note":"publisher: Wiley","page":"3508-3516","source":"Crossref","title":"MASTING IN ANIMAL-DISPERSED PINES FACILITATES SEED DISPERSAL","volume":"83","author":[{"family":"Vander Wall","given":"Stephen B."}],"issued":{"date-parts":[["2002",12]]}}}],"schema":"https://github.com/citation-style-language/schema/raw/master/csl-citation.json"} </w:instrText>
      </w:r>
      <w:r w:rsidR="00A63129">
        <w:fldChar w:fldCharType="separate"/>
      </w:r>
      <w:r w:rsidR="26D30C65" w:rsidRPr="5A83A434">
        <w:rPr>
          <w:noProof/>
        </w:rPr>
        <w:t>(Vander Wall, 2002)</w:t>
      </w:r>
      <w:r w:rsidR="00A63129">
        <w:fldChar w:fldCharType="end"/>
      </w:r>
      <w:r w:rsidR="26D30C65">
        <w:t xml:space="preserve">. </w:t>
      </w:r>
      <w:r w:rsidR="002D0660">
        <w:t xml:space="preserve">Masting occurs for a variety of reasons, including climate favorability and seed predator avoidance </w:t>
      </w:r>
      <w:r w:rsidR="002D0660">
        <w:fldChar w:fldCharType="begin"/>
      </w:r>
      <w:r w:rsidR="002D0660">
        <w:instrText xml:space="preserve"> ADDIN ZOTERO_ITEM CSL_CITATION {"citationID":"nPbyyVjc","properties":{"formattedCitation":"(Qiu et al., 2023)","plainCitation":"(Qiu et al., 2023)","noteIndex":0},"citationItems":[{"id":2965,"uris":["http://zotero.org/groups/5634119/items/RZD7PAXV"],"itemData":{"id":2965,"type":"article-journal","container-title":"Nature Plants","DOI":"10.1038/s41477-023-01446-5","ISSN":"2055-0278","issue":"7","journalAbbreviation":"Nat. Plants","language":"en","page":"1044-1056","source":"DOI.org (Crossref)","title":"Masting is uncommon in trees that depend on mutualist dispersers in the context of global climate and fertility gradients","volume":"9","author":[{"family":"Qiu","given":"Tong"},{"family":"Aravena","given":"Marie-Claire"},{"family":"Ascoli","given":"Davide"},{"family":"Bergeron","given":"Yves"},{"family":"Bogdziewicz","given":"Michal"},{"family":"Boivin","given":"Thomas"},{"family":"Bonal","given":"Raul"},{"family":"Caignard","given":"Thomas"},{"family":"Cailleret","given":"Maxime"},{"family":"Calama","given":"Rafael"},{"family":"Calderon","given":"Sergio Donoso"},{"family":"Camarero","given":"J. Julio"},{"family":"Chang-Yang","given":"Chia-Hao"},{"family":"Chave","given":"Jerome"},{"family":"Chianucci","given":"Francesco"},{"family":"Courbaud","given":"Benoit"},{"family":"Cutini","given":"Andrea"},{"family":"Das","given":"Adrian J."},{"family":"Delpierre","given":"Nicolas"},{"family":"Delzon","given":"Sylvain"},{"family":"Dietze","given":"Michael"},{"family":"Dormont","given":"Laurent"},{"family":"Espelta","given":"Josep Maria"},{"family":"Fahey","given":"Timothy J."},{"family":"Farfan-Rios","given":"William"},{"family":"Franklin","given":"Jerry F."},{"family":"Gehring","given":"Catherine A."},{"family":"Gilbert","given":"Gregory S."},{"family":"Gratzer","given":"Georg"},{"family":"Greenberg","given":"Cathryn H."},{"family":"Guignabert","given":"Arthur"},{"family":"Guo","given":"Qinfeng"},{"family":"Hacket-Pain","given":"Andrew"},{"family":"Hampe","given":"Arndt"},{"family":"Han","given":"Qingmin"},{"family":"Holik","given":"Jan"},{"family":"Hoshizaki","given":"Kazuhiko"},{"family":"Ibanez","given":"Ines"},{"family":"Johnstone","given":"Jill F."},{"family":"Journé","given":"Valentin"},{"family":"Kitzberger","given":"Thomas"},{"family":"Knops","given":"Johannes M. H."},{"family":"Kunstler","given":"Georges"},{"family":"Kurokawa","given":"Hiroko"},{"family":"Lageard","given":"Jonathan G. A."},{"family":"LaMontagne","given":"Jalene M."},{"family":"Lefevre","given":"Francois"},{"family":"Leininger","given":"Theodor"},{"family":"Limousin","given":"Jean-Marc"},{"family":"Lutz","given":"James A."},{"family":"Macias","given":"Diana"},{"family":"Marell","given":"Anders"},{"family":"McIntire","given":"Eliot J. B."},{"family":"Moore","given":"Christopher M."},{"family":"Moran","given":"Emily"},{"family":"Motta","given":"Renzo"},{"family":"Myers","given":"Jonathan A."},{"family":"Nagel","given":"Thomas A."},{"family":"Naoe","given":"Shoji"},{"family":"Noguchi","given":"Mahoko"},{"family":"Oguro","given":"Michio"},{"family":"Parmenter","given":"Robert"},{"family":"Pearse","given":"Ian S."},{"family":"Perez-Ramos","given":"Ignacio M."},{"family":"Piechnik","given":"Lukasz"},{"family":"Podgorski","given":"Tomasz"},{"family":"Poulsen","given":"John"},{"family":"Redmond","given":"Miranda D."},{"family":"Reid","given":"Chantal D."},{"family":"Rodman","given":"Kyle C."},{"family":"Rodriguez-Sanchez","given":"Francisco"},{"family":"Samonil","given":"Pavel"},{"family":"Sanguinetti","given":"Javier D."},{"family":"Scher","given":"C. Lane"},{"family":"Seget","given":"Barbara"},{"family":"Sharma","given":"Shubhi"},{"family":"Shibata","given":"Mitsue"},{"family":"Silman","given":"Miles"},{"family":"Steele","given":"Michael A."},{"family":"Stephenson","given":"Nathan L."},{"family":"Straub","given":"Jacob N."},{"family":"Sutton","given":"Samantha"},{"family":"Swenson","given":"Jennifer J."},{"family":"Swift","given":"Margaret"},{"family":"Thomas","given":"Peter A."},{"family":"Uriarte","given":"Maria"},{"family":"Vacchiano","given":"Giorgio"},{"family":"Whipple","given":"Amy V."},{"family":"Whitham","given":"Thomas G."},{"family":"Wion","given":"Andreas P."},{"family":"Wright","given":"S. Joseph"},{"family":"Zhu","given":"Kai"},{"family":"Zimmerman","given":"Jess K."},{"family":"Zywiec","given":"Magdalena"},{"family":"Clark","given":"James S."}],"issued":{"date-parts":[["2023",6,29]]}}}],"schema":"https://github.com/citation-style-language/schema/raw/master/csl-citation.json"} </w:instrText>
      </w:r>
      <w:r w:rsidR="002D0660">
        <w:fldChar w:fldCharType="separate"/>
      </w:r>
      <w:r w:rsidR="002D0660">
        <w:rPr>
          <w:noProof/>
        </w:rPr>
        <w:t>(Qiu et al., 2023)</w:t>
      </w:r>
      <w:r w:rsidR="002D0660">
        <w:fldChar w:fldCharType="end"/>
      </w:r>
      <w:r w:rsidR="002D0660">
        <w:t xml:space="preserve"> </w:t>
      </w:r>
      <w:r>
        <w:t>For seed dispersers, masting means that seed availability is unreliable across space and time, and thus, interactions between masting plants and seed dispersers are also likely to differ based on the availability</w:t>
      </w:r>
      <w:r w:rsidR="00D753EE">
        <w:t xml:space="preserve"> </w:t>
      </w:r>
      <w:r w:rsidR="002D0660">
        <w:t>of seeds, frequency of masting</w:t>
      </w:r>
      <w:r w:rsidR="00D753EE">
        <w:t>,</w:t>
      </w:r>
      <w:r>
        <w:t xml:space="preserve"> alternative food resources, interannual climate variability, and habitat characteristics </w:t>
      </w:r>
      <w:bookmarkStart w:id="8" w:name="_Hlk206500564"/>
      <w:r>
        <w:fldChar w:fldCharType="begin"/>
      </w:r>
      <w:r w:rsidR="002D0660">
        <w:instrText xml:space="preserve"> ADDIN ZOTERO_ITEM CSL_CITATION {"citationID":"hnFVmCyr","properties":{"formattedCitation":"(Chamberlain et al., 2014; Elwood et al., 2018; McKinnon et al., 2017; Pearse et al., 2016; Sawaya et al., 2018; Simon et al., 2023)","plainCitation":"(Chamberlain et al., 2014; Elwood et al., 2018; McKinnon et al., 2017; Pearse et al., 2016; Sawaya et al., 2018; Simon et al., 2023)","noteIndex":0},"citationItems":[{"id":133,"uris":["http://zotero.org/users/6391447/items/NWNSW57M"],"itemData":{"id":133,"type":"article-journal","abstract":"The net effects of interspeciﬁc species interactions on individuals and populations vary in both sign (À, 0, +) and magnitude (strong to weak). Interaction outcomes are context-dependent when the sign and/or magnitude change as a function of the biotic or abiotic context. While context dependency appears to be common, its distribution in nature is poorly described. Here, we used meta-analysis to quantify variation in species interaction outcomes (competition, mutualism, or predation) for 247 published articles. Contrary to our expectations, variation in the magnitude of effect sizes did not differ among species interactions, and while mutualism was most likely to change sign across contexts (and predation least likely), mutualism did not strongly differ from competition. Both the magnitude and sign of species interactions varied the most along spatial and abiotic gradients, and least as a function of the presence/absence of a third species. However, the degree of context dependency across these context types was not consistent among mutualism, competition and predation studies. Surprisingly, study location and ecosystem type varied in the degree of context dependency, with laboratory studies showing the highest variation in outcomes. We urge that studying context dependency per se, rather than focusing only on mean outcomes, can provide a general method for describing patterns of variation in nature.","container-title":"Ecology Letters","DOI":"10.1111/ele.12279","ISSN":"1461023X","issue":"7","journalAbbreviation":"Ecol Lett","language":"en","page":"881-890","source":"DOI.org (Crossref)","title":"How context dependent are species interactions?","volume":"17","author":[{"family":"Chamberlain","given":"Scott A."},{"family":"Bronstein","given":"Judith L."},{"family":"Rudgers","given":"Jennifer A."}],"editor":[{"family":"Etienne","given":"Rampal"}],"issued":{"date-parts":[["2014",7]]}}},{"id":2846,"uris":["http://zotero.org/groups/5634119/items/35Z6PZPK"],"itemData":{"id":2846,"type":"article-journal","abstract":"AbstractBoth seed predators and herbivores can have profound effects on individual plant growth, reproduction and survival, but their population‐level effects are less well understood. While most plants interact with a suite of seed predators and herbivores over their life cycle, few studies incorporate the effects of multiple interacting partners and multiple life stages on plant population growth.We constructed a matrix model using 6 years of data from a rare, seed‐producing population of American chestnut (Castanea dentata). We combined field demographic data with published experimental results on the effects of pre‐dispersal seed predators (weevils) and post‐dispersal seed predators (scatter‐hoarding vertebrates) and incorporated the effect of vertebrate herbivores estimated from the field data. We explored the impact of these three different animal interactions for short‐term (transient) and long‐term (asymptotic) tree population growth. In addition, we used the model to explore the conditions under which scatter hoarding would function as a mutualism.Seed predators had greater effect on both short‐ and long‐term population growth than herbivores. Although weevil infestation can greatly reduce the probability of germination, pre‐dispersal seed predators had smaller effects on both short‐ or long‐term population growth than post‐dispersal predators. The elasticities of weevil‐related parameters were also small. The effect of browsers on both the short‐ and long‐term population growth rate were the smallest of the effects studied. Post‐dispersal seed predation affected population growth the most in the interactions studied. The probability of seed removal was among the largest elasticities, similar in magnitude to survival of large trees.Synthesis. Our results indicate that neither weevils nor the intensity of browse damage observed at our study site are likely to hinder tree regeneration or reintroduction, although both reduced population growth. Although researchers and forest managers often assume that seeds are unimportant for long‐lived tree populations, our test of this assumption shows that scatterhoarders and other post‐dispersal seed consumers can significantly limit natural regeneration. Forest management that alters scatterhoarder behaviour could have significant effects on tree population dynamics that are largely unexplored.","container-title":"Journal of Ecology","DOI":"10.1111/1365-2745.12902","ISSN":"0022-0477, 1365-2745","issue":"3","language":"en","license":"http://onlinelibrary.wiley.com/termsAndConditions#am","note":"publisher: Wiley","page":"1191-1203","source":"Crossref","title":"Scatterhoarders drive long‐ and short‐term population dynamics of a nut‐producing tree, while pre‐dispersal seed predators and herbivores have little effect","volume":"106","author":[{"family":"Elwood","given":"Elise C."},{"family":"Lichti","given":"Nathanael I."},{"family":"Fitzsimmons","given":"Sara F."},{"family":"Dalgleish","given":"Harmony J."}],"editor":[{"family":"Zuidema","given":"Pieter"}],"issued":{"date-parts":[["2018",5]]}}},{"id":2872,"uris":["http://zotero.org/groups/5634119/items/XSSRDULF"],"itemData":{"id":2872,"type":"article-journal","container-title":"Journal of Field Ornithology","DOI":"10.1111/jofo.12187","ISSN":"0273-8570","issue":"1","journalAbbreviation":"J. Field Ornithol.","language":"en","license":"http://doi.wiley.com/10.1002/tdm_license_1","note":"publisher: Resilience Alliance, Inc.","page":"65-79","source":"Crossref","title":"Does the proportion of arthropods versus fruit in the diet influence overwintering condition of an omnivorous songbird?","volume":"88","author":[{"family":"McKinnon","given":"Emily A."},{"family":"Kurt Kyser","given":"T."},{"family":"Stutchbury","given":"Bridget J. M."}],"issued":{"date-parts":[["2017",3]]}}},{"id":2856,"uris":["http://zotero.org/groups/5634119/items/NN72KZHU"],"itemData":{"id":2856,"type":"article-journal","abstract":"SummaryMast seeding is a widespread and widely studied phenomenon. However, the physiological mechanisms that mediate masting events and link them to weather and plant resources are still debated. Here, we explore how masting is affected by plant resource budgets, fruit maturation success, and hormonal coordination of cues including weather and resources. There is little empirical support for the commonly stated hypothesis that plants store carbohydrates over several years to expend in a high‐seed year. Plants can switch carbohydrates away from growth in high‐seed years, and seed crops are more probably limited by nitrogen or phosphorus. Resources are clearly involved in the proximate mechanisms driving masting, but resource budget (RB) models cannot create masting in the absence of selection because some underlying selective benefit is required to set the level of a ‘full’ seed crop at greater than the annual resource increment. Economies of scale (EOSs) provide the ultimate factor selecting for masting, butEOSs probably always interact with resources, which modify the relationship between weather cues and reproduction. Thus,RBandEOSmodels are not alternative explanations for masting – both are required. Experiments manipulating processes that affect mast seeding will help clarify the physiological mechanisms that underlie mast seeding.ContentsSummary546I.Introduction546II.Ultimate and proximate hypotheses for masting behaviour547III.The role of plant resources in masting548IV.Which resources limit seed set?552V.Pollination, fruit development, and masting554VI.Hormonal control of seed set and masting556VII.Evolutionary perspectives on masting behaviour558VIII.Unifying resource budget and economy of scale models of masting558IX.Conclusions559Acknowledgements559References559","container-title":"New Phytologist","DOI":"10.1111/nph.14114","ISSN":"0028-646X, 1469-8137","issue":"3","language":"en","license":"http://onlinelibrary.wiley.com/termsAndConditions#am","note":"publisher: Wiley","page":"546-562","source":"Crossref","title":"Mechanisms of mast seeding: resources, weather, cues, and selection","title-short":"Mechanisms of mast seeding","volume":"212","author":[{"family":"Pearse","given":"Ian S."},{"family":"Koenig","given":"Walter D."},{"family":"Kelly","given":"Dave"}],"issued":{"date-parts":[["2016",11]]}}},{"id":2839,"uris":["http://zotero.org/groups/5634119/items/4S5TLTGP"],"itemData":{"id":2839,"type":"article-journal","abstract":"ABSTRACTThe conditional mutualism between scatterhoarders and trees varies on a continuum from mutualism to antagonism and can change across time and space, and among species. We examined 4 tree species (red oak [Quercus rubra], white oak [Quercus alba], American chestnut [Castanea dentata] and hybrid chestnut [C. dentata × Castanea mollissima) across 5 sites and 3 years to quantify the variability in this conditional mutualism. We used a published model to compare the rates of seed emergence with and without burial to the probability that seeds will be cached and left uneaten by scatterhoarders to quantify variation in the conditional mutualism that can be explained by environmental variation among sites, years, species, and seed provenance within species. All species tested had increased emergence when buried. However, comparing benefits of burial to the probability of caching by scatterhoarders indicated a mutualism in red oak, while white oak was nearly always antagonistic. Chestnut was variable around the boundary between mutualism and antagonism, indicating a high degree of context dependence in the relationship with scatterhoarders. We found that different seed provenances did not vary in their potential for mutualism. Temperature did not explain microsite differences in seed emergence in any of the species tested. In hybrid chestnut only, emergence on the surface declined with soil moisture in the fall. By quantifying the variation in the conditional mutualism that was not caused by changes in scatterhoarder behavior, we show that environmental conditions and seed traits are an important and underappreciated component of the variation in the relationship between trees and scatterhoarders.","container-title":"Integrative Zoology","DOI":"10.1111/1749-4877.12311","ISSN":"1749-4877, 1749-4877","issue":"3","language":"en","license":"http://onlinelibrary.wiley.com/termsAndConditions#vor","note":"publisher: Wiley","page":"319-330","source":"Crossref","title":"Environmental variation shifts the relationship between trees and scatterhoarders along the continuum from mutualism to antagonism","volume":"13","author":[{"family":"Sawaya","given":"Gina M."},{"family":"Goldberg","given":"Adam S."},{"family":"Steele","given":"Michael A."},{"family":"Dalgleish","given":"Harmony J."}],"issued":{"date-parts":[["2018",5]]}}},{"id":2873,"uris":["http://zotero.org/groups/5634119/items/LT7L98WS"],"itemData":{"id":2873,"type":"article-journal","abstract":"AbstractOmnivores utilize dietary sources which differ in nutrients, hence dietary limitations due to environmental change or habitat alteration could cause nutrient limitations, and thus deterioration of body condition if omnivory is obligate. We investigated how the body condition of the omnivorous Village weaver Ploceus cucullatus (weavers), which forages predominantly on grains, responds to the supplementation of its grain diet with insects instead of fruits. Forty wild‐caught weavers held in aviaries were fed a combination of grains and fruits, or grains and insects ad libitum for 8 weeks. We determined diet preference by recording the number of birds on each diet option per minute for 1 h and the amount of food left‐over after 3 h of foraging. Fortnightly, we assessed indices of body condition including body mass, pectoral muscle, and fat scores, packed cell volume (PCV), and hemoglobin concentration (HBC). We modeled the number of foragers, food left‐over, and body condition indices as functions of diet, while accounting for time (weeks) and sex effects. Grains were the preferred diet, but males ate more fruits and insects than females. Weavers fed on grains and fruits lost body and pectoral muscle mass and accumulated less fat than those fed on grains and insects. This effect was sex‐dependent: females supplemented with fruits lost more pectoral muscle mass than males of the same group and males but not females, supplemented with insects accumulated more fat reserve than those supplemented with fruits. PCV and HBC did not differ between diets but increased over the 8 weeks. Weavers are likely obligate rather than facultative omnivores, with insects as being a more nutritive supplement than fruits. Nutrient limitation arising from environmental change or habitat alteration could impair body condition and affect physiological function to environmental seasonality in obligate omnivores like the weavers.","container-title":"Ecology and Evolution","DOI":"10.1002/ece3.10141","ISSN":"2045-7758, 2045-7758","issue":"5","language":"en","license":"http://creativecommons.org/licenses/by/4.0/","note":"publisher: Wiley","source":"Crossref","title":"Supplementing a grain diet with insects instead of fruits sustains the body condition of an omnivorous bird","URL":"https://onlinelibrary.wiley.com/doi/10.1002/ece3.10141","volume":"13","author":[{"family":"Simon","given":"Ojodomo G."},{"family":"Manu","given":"Shiiwua A."},{"family":"Nwaogu","given":"Chima J."},{"family":"Omotoriogun","given":"Taiwo C."}],"accessed":{"date-parts":[["2025",7,16]]},"issued":{"date-parts":[["2023",5]]}}}],"schema":"https://github.com/citation-style-language/schema/raw/master/csl-citation.json"} </w:instrText>
      </w:r>
      <w:r>
        <w:fldChar w:fldCharType="separate"/>
      </w:r>
      <w:r w:rsidR="002D0660">
        <w:rPr>
          <w:noProof/>
        </w:rPr>
        <w:t>(Chamberlain et al., 2014; Elwood et al., 2018; McKinnon et al., 2017; Pearse et al., 2016; Sawaya et al., 2018; Simon et al., 2023)</w:t>
      </w:r>
      <w:r>
        <w:fldChar w:fldCharType="end"/>
      </w:r>
      <w:r>
        <w:t xml:space="preserve">. </w:t>
      </w:r>
      <w:bookmarkEnd w:id="8"/>
      <w:r w:rsidR="002D0660">
        <w:t xml:space="preserve">Further, these relationships are likely to have complex temporal patterns (e.g., lags between seed availability and seed disperser population increases; </w:t>
      </w:r>
      <w:r w:rsidR="002D0660">
        <w:fldChar w:fldCharType="begin"/>
      </w:r>
      <w:r w:rsidR="002D0660">
        <w:instrText xml:space="preserve"> ADDIN ZOTERO_ITEM CSL_CITATION {"citationID":"PRBU4sFR","properties":{"formattedCitation":"(Moore &amp; Dittel, 2020)","plainCitation":"(Moore &amp; Dittel, 2020)","noteIndex":0},"citationItems":[{"id":2866,"uris":["http://zotero.org/groups/5634119/items/DSHJRM3N"],"itemData":{"id":2866,"type":"article-journal","abstract":"AbstractSpecies interactions are context dependent, in that their direction and magnitude can vary across ecological conditions. For seed dispersal interactions—especially interactions between plants and seed‐caching animals—the direction of the interactions is often obscured because of seed mortality inherent in seed handling and the delayed effects of fitness benefits received by plants. It is, therefore, an open question in ecology to understand the ecological contexts under which seed dispersal interactions are facilitative, antagonistic or null.We review the fitness benefits of animal‐mediated seed dispersal, extend a recently published model to include negative density‐dependent effects, and review the feedback between seed production (with a focus on masting) and seed‐caching animal populations.Negative density‐dependent effects are pervasive and strongly affect the direction of plant‐seed‐disperser interactions, and including them into models will give a more accurate understanding of the direction of the interaction. Including negative density‐dependent effects also makes the interpretation of interaction more mutualistic since seed dispersers decrease seed densities. Additionally, there is substantial interannual variability in seed production in most nut‐producing plant species, and the lags between seed production and seed‐disperser population sizes complicate and limit inferences made about the direction of interactions in any given short‐term study.Synthesis. If we wish to know the direction of species interactions in real ecological communities, we need models that contain a minimum level of biological realism. For complex and long‐term phenomena such as context‐dependent species interactions we should embrace a multifaceted approach of short‐term field research, long‐term field research, simple models, and complex models to form a more robust understanding of the ecological problem of context dependency.","container-title":"Journal of Ecology","DOI":"10.1111/1365-2745.13414","ISSN":"0022-0477, 1365-2745","issue":"5","language":"en","license":"http://creativecommons.org/licenses/by/4.0/","note":"publisher: Wiley","page":"1775-1783","source":"Crossref","title":"On mutualism, models, and masting: The effects of seed‐dispersing animals on the plants they disperse","title-short":"On mutualism, models, and masting","volume":"108","author":[{"family":"Moore","given":"Christopher M."},{"family":"Dittel","given":"Jacob W."}],"editor":[{"family":"Shefferson","given":"Richard"}],"issued":{"date-parts":[["2020",9]]}}}],"schema":"https://github.com/citation-style-language/schema/raw/master/csl-citation.json"} </w:instrText>
      </w:r>
      <w:r w:rsidR="002D0660">
        <w:fldChar w:fldCharType="separate"/>
      </w:r>
      <w:r w:rsidR="002D0660" w:rsidRPr="10F02EB4">
        <w:rPr>
          <w:noProof/>
        </w:rPr>
        <w:t>(Moore &amp; Dittel, 2020)</w:t>
      </w:r>
      <w:r w:rsidR="002D0660">
        <w:fldChar w:fldCharType="end"/>
      </w:r>
      <w:r w:rsidR="002D0660">
        <w:t xml:space="preserve">. Understanding the relationships in space and time between seed production in masting species and seed dispersers, generally, is an important first step in understanding the ecology and evolution of the complex species interaction of seed dispersal, as well as the conservation and management of ecosystems relying on this ecosystem function </w:t>
      </w:r>
      <w:r w:rsidR="002D0660">
        <w:fldChar w:fldCharType="begin"/>
      </w:r>
      <w:r w:rsidR="002D0660">
        <w:instrText xml:space="preserve"> ADDIN ZOTERO_ITEM CSL_CITATION {"citationID":"QsCwjQy3","properties":{"formattedCitation":"(Moore &amp; Dittel, 2020)","plainCitation":"(Moore &amp; Dittel, 2020)","noteIndex":0},"citationItems":[{"id":2866,"uris":["http://zotero.org/groups/5634119/items/DSHJRM3N"],"itemData":{"id":2866,"type":"article-journal","abstract":"AbstractSpecies interactions are context dependent, in that their direction and magnitude can vary across ecological conditions. For seed dispersal interactions—especially interactions between plants and seed‐caching animals—the direction of the interactions is often obscured because of seed mortality inherent in seed handling and the delayed effects of fitness benefits received by plants. It is, therefore, an open question in ecology to understand the ecological contexts under which seed dispersal interactions are facilitative, antagonistic or null.We review the fitness benefits of animal‐mediated seed dispersal, extend a recently published model to include negative density‐dependent effects, and review the feedback between seed production (with a focus on masting) and seed‐caching animal populations.Negative density‐dependent effects are pervasive and strongly affect the direction of plant‐seed‐disperser interactions, and including them into models will give a more accurate understanding of the direction of the interaction. Including negative density‐dependent effects also makes the interpretation of interaction more mutualistic since seed dispersers decrease seed densities. Additionally, there is substantial interannual variability in seed production in most nut‐producing plant species, and the lags between seed production and seed‐disperser population sizes complicate and limit inferences made about the direction of interactions in any given short‐term study.Synthesis. If we wish to know the direction of species interactions in real ecological communities, we need models that contain a minimum level of biological realism. For complex and long‐term phenomena such as context‐dependent species interactions we should embrace a multifaceted approach of short‐term field research, long‐term field research, simple models, and complex models to form a more robust understanding of the ecological problem of context dependency.","container-title":"Journal of Ecology","DOI":"10.1111/1365-2745.13414","ISSN":"0022-0477, 1365-2745","issue":"5","language":"en","license":"http://creativecommons.org/licenses/by/4.0/","note":"publisher: Wiley","page":"1775-1783","source":"Crossref","title":"On mutualism, models, and masting: The effects of seed‐dispersing animals on the plants they disperse","title-short":"On mutualism, models, and masting","volume":"108","author":[{"family":"Moore","given":"Christopher M."},{"family":"Dittel","given":"Jacob W."}],"editor":[{"family":"Shefferson","given":"Richard"}],"issued":{"date-parts":[["2020",9]]}}}],"schema":"https://github.com/citation-style-language/schema/raw/master/csl-citation.json"} </w:instrText>
      </w:r>
      <w:r w:rsidR="002D0660">
        <w:fldChar w:fldCharType="separate"/>
      </w:r>
      <w:r w:rsidR="002D0660" w:rsidRPr="10F02EB4">
        <w:rPr>
          <w:noProof/>
        </w:rPr>
        <w:t>(Moore &amp; Dittel, 2020)</w:t>
      </w:r>
      <w:r w:rsidR="002D0660">
        <w:fldChar w:fldCharType="end"/>
      </w:r>
      <w:r w:rsidR="002D0660">
        <w:t>.</w:t>
      </w:r>
    </w:p>
    <w:p w14:paraId="52D66FA0" w14:textId="0F7CBB26" w:rsidR="002D0660" w:rsidRDefault="002D0660" w:rsidP="00207146">
      <w:pPr>
        <w:pStyle w:val="BodyText"/>
        <w:ind w:firstLine="720"/>
      </w:pPr>
      <w:r>
        <w:lastRenderedPageBreak/>
        <w:t xml:space="preserve">In temperate conifer forests, birds are primary seed dispersers that interact with masting species </w:t>
      </w:r>
      <w:r>
        <w:fldChar w:fldCharType="begin"/>
      </w:r>
      <w:r>
        <w:instrText xml:space="preserve"> ADDIN ZOTERO_ITEM CSL_CITATION {"citationID":"DFp5FAvE","properties":{"formattedCitation":"(Pesendorfer et al., 2016; Vander Wall, 2023)","plainCitation":"(Pesendorfer et al., 2016; Vander Wall, 2023)","noteIndex":0},"citationItems":[{"id":2848,"uris":["http://zotero.org/groups/5634119/items/P3HRTS3R"],"itemData":{"id":2848,"type":"article-journal","container-title":"The Condor","DOI":"10.1650/condor-15-125.1","ISSN":"0010-5422, 1938-5129","issue":"2","language":"en","note":"publisher: Oxford University Press (OUP)","page":"215-237","source":"Crossref","title":"Scatter-hoarding corvids as seed dispersers for oaks and pines: A review of a widely distributed mutualism and its utility to habitat restoration","title-short":"Scatter-hoarding corvids as seed dispersers for oaks and pines","volume":"118","author":[{"family":"Pesendorfer","given":"Mario B."},{"family":"Sillett","given":"T. Scott"},{"family":"Koenig","given":"Walter D."},{"family":"Morrison","given":"Scott A."}],"issued":{"date-parts":[["2016",5]]}}},{"id":2875,"uris":["http://zotero.org/groups/5634119/items/AQVVC42G"],"itemData":{"id":2875,"type":"article-journal","container-title":"The Botanical Review","DOI":"10.1007/s12229-023-09288-8","ISSN":"0006-8101, 1874-9372","issue":"3","journalAbbreviation":"Bot. Rev.","language":"en","license":"https://www.springernature.com/gp/researchers/text-and-data-mining","note":"publisher: Springer Science and Business Media LLC","page":"275-307","source":"Crossref","title":"Seed Dispersal in Pines (Pinus)","volume":"89","author":[{"family":"Vander Wall","given":"Stephen B."}],"issued":{"date-parts":[["2023",9]]}}}],"schema":"https://github.com/citation-style-language/schema/raw/master/csl-citation.json"} </w:instrText>
      </w:r>
      <w:r>
        <w:fldChar w:fldCharType="separate"/>
      </w:r>
      <w:r w:rsidRPr="10F02EB4">
        <w:rPr>
          <w:noProof/>
        </w:rPr>
        <w:t>(Pesendorfer et al., 2016; Vander Wall, 2023)</w:t>
      </w:r>
      <w:r>
        <w:fldChar w:fldCharType="end"/>
      </w:r>
      <w:r>
        <w:t xml:space="preserve">. A notable example is the relationship between the two-needle pinyon pine </w:t>
      </w:r>
      <w:r w:rsidRPr="00D431E9">
        <w:rPr>
          <w:i/>
          <w:iCs/>
        </w:rPr>
        <w:t>(</w:t>
      </w:r>
      <w:r w:rsidRPr="10F02EB4">
        <w:rPr>
          <w:i/>
          <w:iCs/>
        </w:rPr>
        <w:t>Pinus edulis</w:t>
      </w:r>
      <w:r w:rsidRPr="10F02EB4">
        <w:t xml:space="preserve">) </w:t>
      </w:r>
      <w:r>
        <w:t>and the pinyon jay (</w:t>
      </w:r>
      <w:r w:rsidRPr="00D431E9">
        <w:rPr>
          <w:i/>
          <w:iCs/>
        </w:rPr>
        <w:t>Gymnorhinus cyanocephalus</w:t>
      </w:r>
      <w:r w:rsidRPr="10F02EB4">
        <w:t>) in the western US (United States). In this close mutualism, jays</w:t>
      </w:r>
      <w:r w:rsidRPr="00D431E9">
        <w:rPr>
          <w:i/>
          <w:iCs/>
        </w:rPr>
        <w:t xml:space="preserve"> </w:t>
      </w:r>
      <w:r>
        <w:t xml:space="preserve">cache seeds as a food resource throughout the landscape, which, in turn, can help to promote new regeneration of the pinyon pine </w:t>
      </w:r>
      <w:r>
        <w:fldChar w:fldCharType="begin"/>
      </w:r>
      <w:r>
        <w:instrText xml:space="preserve"> ADDIN ZOTERO_ITEM CSL_CITATION {"citationID":"us6MDUBF","properties":{"formattedCitation":"(Floyd, 1982; Ligon, 1978; Wiggins, 2005)","plainCitation":"(Floyd, 1982; Ligon, 1978; Wiggins, 2005)","noteIndex":0},"citationItems":[{"id":2770,"uris":["http://zotero.org/groups/5634119/items/TLD8BRSG"],"itemData":{"id":2770,"type":"article-journal","container-title":"The Southwestern Naturalist","DOI":"10.2307/3671138","ISSN":"00384909","issue":"2","journalAbbreviation":"The Southwestern Naturalist","page":"143","source":"DOI.org (Crossref)","title":"The Interaction of Pinon Pine and Gambel Oak in Plant Succession near Dolores, Colorado","volume":"27","author":[{"family":"Floyd","given":"Mary E."}],"issued":{"date-parts":[["1982",5,21]]}}},{"id":2753,"uris":["http://zotero.org/groups/5634119/items/4RGGXF3K"],"itemData":{"id":2753,"type":"article-journal","abstract":"Pinon Jays (Gymnorhinus cyanoephalus) and pinon pine trees (Pinus edulis) interact in a mutualistic fashion, in that the jays provide a primary means of seed dissemination for pinon trees in the Southwest, while at irregular intervals the trees provide the jays with an abundant and highly nutritious source of food. Availability of pinon seeds permits both late winter (February) and late summer (August) breeding by the jays. Seeds and photoperiod interact synergistically to accelerate gonadal development in late winter. When seeds are abundant, considerable testis growth takes place in some Pinon Jay ♂ ♂ even before the winter solstice. This relationship was investigated experimentally. Use of a specific food (pinon seeds) as a proximate timer for breeding, the ability of individual jays to breed in spring, molt, and breed again in August without an intervening period of gonadal refractoriness, and testicular development in early December, when day length approaches its minimum, are extraordinary characteristics among north—temperate—zone passerine birds. The synchrony of seed production by pinon pines over large geographic areas is interpreted as an evolved mechanism that (1) overwhelms invertebrate seed and cone predators, and (2) increases the numbers of seeds per tree that will be cached by Pinon Jays and other vertebrates. Caching sites of Pinon Jays are often at locations especially conducive to germination and growth of pinon pine seedlings.","container-title":"Ecological Monographs","DOI":"10.2307/2937295","ISSN":"0012-9615, 1557-7015","issue":"2","journalAbbreviation":"Ecological Monographs","language":"en","license":"http://onlinelibrary.wiley.com/termsAndConditions#vor","page":"111-126","source":"DOI.org (Crossref)","title":"Reproductive Interdependence of Pinon Jays and Pinon Pines","volume":"48","author":[{"family":"Ligon","given":"J. David"}],"issued":{"date-parts":[["1978",3]]}}},{"id":2357,"uris":["http://zotero.org/groups/5634119/items/HNHDJ28B"],"itemData":{"id":2357,"type":"report","publisher":"USDA Forest Service, Rocky Mountain Region","title":"Pinyon Jay (Gymnorhinus cyanocephalus): a technical conservation assessment.","URL":"http://www.fs.fed.us/r2/projects/scp/assessments/pinyonjay.pdf","author":[{"family":"Wiggins","given":"D. A."}],"issued":{"date-parts":[["2005"]]}}}],"schema":"https://github.com/citation-style-language/schema/raw/master/csl-citation.json"} </w:instrText>
      </w:r>
      <w:r>
        <w:fldChar w:fldCharType="separate"/>
      </w:r>
      <w:r w:rsidRPr="10F02EB4">
        <w:rPr>
          <w:noProof/>
        </w:rPr>
        <w:t>(Floyd, 1982; Ligon, 1978; Wiggins, 2005)</w:t>
      </w:r>
      <w:r>
        <w:fldChar w:fldCharType="end"/>
      </w:r>
      <w:r>
        <w:t xml:space="preserve">. Piñon pine is a masting species, so jays have adapted to taking advantage of the pulse of resources through the evolution of morphological traits such as </w:t>
      </w:r>
      <w:r w:rsidR="00D431E9">
        <w:t xml:space="preserve">seed-storing </w:t>
      </w:r>
      <w:r>
        <w:t>esophageal pouches and behavioral traits such as long-range foraging dispersal (“irruption”) and flock-based social structures that help birds find</w:t>
      </w:r>
      <w:r w:rsidR="00D431E9">
        <w:t>, disperse,</w:t>
      </w:r>
      <w:r>
        <w:t xml:space="preserve"> and store large numbers of seeds </w:t>
      </w:r>
      <w:r>
        <w:fldChar w:fldCharType="begin"/>
      </w:r>
      <w:r w:rsidR="00207146">
        <w:instrText xml:space="preserve"> ADDIN ZOTERO_ITEM CSL_CITATION {"citationID":"AL92HlC2","properties":{"formattedCitation":"(Bednekoff &amp; Balda, 1996; Ligon, 1978; Marzluff, 1988; Marzluff &amp; Balda, 1988; Stotz &amp; Balda, 1995)","plainCitation":"(Bednekoff &amp; Balda, 1996; Ligon, 1978; Marzluff, 1988; Marzluff &amp; Balda, 1988; Stotz &amp; Balda, 1995)","noteIndex":0},"citationItems":[{"id":2859,"uris":["http://zotero.org/groups/5634119/items/QGTMN6KW"],"itemData":{"id":2859,"type":"article-journal","container-title":"Behaviour","issue":"11/12","page":"807-826","title":"Social caching and observational spatial memory in pinyon jays","volume":"133","author":[{"family":"Bednekoff","given":"Peter A"},{"family":"Balda","given":"Russell P."}],"issued":{"date-parts":[["1996"]]}}},{"id":2753,"uris":["http://zotero.org/groups/5634119/items/4RGGXF3K"],"itemData":{"id":2753,"type":"article-journal","abstract":"Pinon Jays (Gymnorhinus cyanoephalus) and pinon pine trees (Pinus edulis) interact in a mutualistic fashion, in that the jays provide a primary means of seed dissemination for pinon trees in the Southwest, while at irregular intervals the trees provide the jays with an abundant and highly nutritious source of food. Availability of pinon seeds permits both late winter (February) and late summer (August) breeding by the jays. Seeds and photoperiod interact synergistically to accelerate gonadal development in late winter. When seeds are abundant, considerable testis growth takes place in some Pinon Jay ♂ ♂ even before the winter solstice. This relationship was investigated experimentally. Use of a specific food (pinon seeds) as a proximate timer for breeding, the ability of individual jays to breed in spring, molt, and breed again in August without an intervening period of gonadal refractoriness, and testicular development in early December, when day length approaches its minimum, are extraordinary characteristics among north—temperate—zone passerine birds. The synchrony of seed production by pinon pines over large geographic areas is interpreted as an evolved mechanism that (1) overwhelms invertebrate seed and cone predators, and (2) increases the numbers of seeds per tree that will be cached by Pinon Jays and other vertebrates. Caching sites of Pinon Jays are often at locations especially conducive to germination and growth of pinon pine seedlings.","container-title":"Ecological Monographs","DOI":"10.2307/2937295","ISSN":"0012-9615, 1557-7015","issue":"2","journalAbbreviation":"Ecological Monographs","language":"en","license":"http://onlinelibrary.wiley.com/termsAndConditions#vor","page":"111-126","source":"DOI.org (Crossref)","title":"Reproductive Interdependence of Pinon Jays and Pinon Pines","volume":"48","author":[{"family":"Ligon","given":"J. David"}],"issued":{"date-parts":[["1978",3]]}}},{"id":2862,"uris":["http://zotero.org/groups/5634119/items/PYGWLTH3"],"itemData":{"id":2862,"type":"article-journal","container-title":"Animal Behaviour","DOI":"10.1016/s0003-3472(88)80244-6","ISSN":"0003-3472","issue":"1","language":"en","license":"https://www.elsevier.com/tdm/userlicense/1.0/","note":"publisher: Elsevier BV","page":"1-10","source":"Crossref","title":"Do pinyon jays alter nest placement based on prior experience?","volume":"36","author":[{"family":"Marzluff","given":"John M."}],"issued":{"date-parts":[["1988",2]]}}},{"id":2861,"uris":["http://zotero.org/groups/5634119/items/CQUD9PTD"],"itemData":{"id":2861,"type":"article-journal","container-title":"The Auk","DOI":"10.2307/4087492","ISSN":"0004-8038, 1938-4254","issue":"2","note":"publisher: Oxford University Press (OUP)","page":"286-295","source":"Crossref","title":"The Advantages of, and Constraints Forcing, Mate Fidelity in Pinyon Jays","volume":"105","author":[{"family":"Marzluff","given":"John M."},{"family":"Balda","given":"Russell P."}],"issued":{"date-parts":[["1988",4]]}}},{"id":2860,"uris":["http://zotero.org/groups/5634119/items/MRSH59Y5"],"itemData":{"id":2860,"type":"article-journal","container-title":"The Southwestern Naturalist","issue":"2","page":"180-184","title":"Cache and recovery behavior of wild pinyon jays in northern Arizona","volume":"40","author":[{"family":"Stotz","given":"Nancy G."},{"family":"Balda","given":"Russell P."}],"issued":{"date-parts":[["1995"]]}}}],"schema":"https://github.com/citation-style-language/schema/raw/master/csl-citation.json"} </w:instrText>
      </w:r>
      <w:r>
        <w:fldChar w:fldCharType="separate"/>
      </w:r>
      <w:r w:rsidR="00207146">
        <w:rPr>
          <w:noProof/>
        </w:rPr>
        <w:t>(Bednekoff &amp; Balda, 1996; Ligon, 1978; Marzluff, 1988; Marzluff &amp; Balda, 1988; Stotz &amp; Balda, 1995)</w:t>
      </w:r>
      <w:r>
        <w:fldChar w:fldCharType="end"/>
      </w:r>
      <w:r>
        <w:t>.</w:t>
      </w:r>
      <w:r w:rsidR="00207146">
        <w:t xml:space="preserve"> </w:t>
      </w:r>
      <w:r>
        <w:t xml:space="preserve">Pinyon jays have been declining over the last several decades, but the cause of their decline is a complex and unknown set of drivers, which could include climate, habitat change, and food resource availability </w:t>
      </w:r>
      <w:r>
        <w:fldChar w:fldCharType="begin"/>
      </w:r>
      <w:r>
        <w:instrText xml:space="preserve"> ADDIN ZOTERO_ITEM CSL_CITATION {"citationID":"ToUTIPTL","properties":{"formattedCitation":"(Boone et al., 2018; Van Lanen et al., 2023)","plainCitation":"(Boone et al., 2018; Van Lanen et al., 2023)","noteIndex":0},"citationItems":[{"id":2748,"uris":["http://zotero.org/groups/5634119/items/YTCPHGE5"],"itemData":{"id":2748,"type":"chapter","abstract":"The Pinyon Jay (Gymnorhinus cyanocephalus) is closely associated with piñon–juniper woodlands in the Intermountain West and Southwest regions of the United States. It is of conservation concern, given it is one of the landbirds declining the fastest and most persistently in these regions, at an average rate of –3.6% from 1968 to 2015, according to the Breeding Bird Survey. Despite the population’s falling by &gt;50% over this period, the Pinyon Jay has not been widely studied, and little is known about the factors responsible for its diminishing numbers. Although the Pinyon Jay’s rate of decline exceeds that of the Greater SageGrouse (Centrocercus urophasianus)—a species targeted for significant conservation efforts—no comprehensive effort designed to benefit this jay has been implemented. Current management in Great Basin piñon–juniper woodlands includes removal of trees to create or protect shrublands for the benefit of sage-grouse and other sagebrush-associated wildlife, and southwestern piñon–juniper woodlands are being thinned for fuels reduction or management of other wildlife. The effect of these treatments on the Pinyon Jay and other piñon–juniper birds, however, has been little studied. Thus further research is needed to clarify the causes of the jay’s decline, develop habitat models for this and other piñon–juniper species, and devise approaches for management of piñon–juniper woodland that balance the interests of the Pinyon Jay and other species of concern, including the Greater Sage-Grouse.","container-title":"Trends and Traditions: Avifaunal Change in Western North America","ISBN":"978-0-9790585-3-0","note":"DOI: 10.21199/SWB3.10","page":"190-197","publisher":"Western Field Ornithologists","source":"DOI.org (Crossref)","title":"Long-term declines in the Pinyon Jay and management implications for piñon–juniper woodlands","URL":"https://westernfieldornithologists.org/docs/2020/Avifaunal_Change/Boone/Boone-Avifaunal_Change.pdf","container-author":[{"family":"Shuford","given":"W. David"},{"family":"Gill","given":"Robert E."},{"family":"Handel","given":"Colleen M."}],"author":[{"family":"Boone","given":"John D."},{"family":"Ammon","given":"Elisabeth"},{"family":"Johnson","given":"Kristine"}],"accessed":{"date-parts":[["2024",10,10]]},"issued":{"date-parts":[["2018",9,1]]}}},{"id":2767,"uris":["http://zotero.org/groups/5634119/items/SFTJSXEN"],"itemData":{"id":2767,"type":"article-journal","container-title":"Biological Conservation","DOI":"10.1016/j.biocon.2023.109959","ISSN":"00063207","journalAbbreviation":"Biological Conservation","language":"en","page":"109959","source":"DOI.org (Crossref)","title":"A hidden cost of single species management: Habitat-relationships reveal potential negative effects of conifer removal on a non-target species","title-short":"A hidden cost of single species management","volume":"280","author":[{"family":"Van Lanen","given":"Nicholas J."},{"family":"Monroe","given":"Adrian P."},{"family":"Aldridge","given":"Cameron L."}],"issued":{"date-parts":[["2023",4]]}}}],"schema":"https://github.com/citation-style-language/schema/raw/master/csl-citation.json"} </w:instrText>
      </w:r>
      <w:r>
        <w:fldChar w:fldCharType="separate"/>
      </w:r>
      <w:r w:rsidRPr="10F02EB4">
        <w:rPr>
          <w:noProof/>
        </w:rPr>
        <w:t>(Boone et al., 2018; Van Lanen et al., 2023)</w:t>
      </w:r>
      <w:r>
        <w:fldChar w:fldCharType="end"/>
      </w:r>
      <w:r>
        <w:t>.</w:t>
      </w:r>
      <w:r w:rsidR="00D431E9">
        <w:t xml:space="preserve"> Concurrently,</w:t>
      </w:r>
      <w:r>
        <w:t xml:space="preserve"> </w:t>
      </w:r>
      <w:r w:rsidR="00D431E9">
        <w:t>l</w:t>
      </w:r>
      <w:r>
        <w:t>arge-scale mortality events of two-needle pinyon have occurred since the early 2000s, driven by extreme drought and insect outbreaks</w:t>
      </w:r>
      <w:r w:rsidR="00207146">
        <w:t xml:space="preserve"> </w:t>
      </w:r>
      <w:r w:rsidR="00207146">
        <w:fldChar w:fldCharType="begin"/>
      </w:r>
      <w:r w:rsidR="00207146">
        <w:instrText xml:space="preserve"> ADDIN ZOTERO_ITEM CSL_CITATION {"citationID":"M5bDktWj","properties":{"formattedCitation":"(Breshears et al., 2005; Meddens et al., 2015)","plainCitation":"(Breshears et al., 2005; Meddens et al., 2015)","noteIndex":0},"citationItems":[{"id":2967,"uris":["http://zotero.org/groups/5634119/items/XUACEC5I"],"itemData":{"id":2967,"type":"article-journal","abstract":"Future drought is projected to occur under warmer temperature conditions as climate change progresses, referred to here as global-change-type drought, yet quantitative assessments of the triggers and potential extent of drought-induced vegetation die-off remain pivotal uncertainties in assessing climate-change impacts. Of particular concern is regional-scale mortality of overstory trees, which rapidly alters ecosystem type, associated ecosystem properties, and land surface conditions for decades. Here, we quantify regional-scale vegetation die-off across southwestern North American woodlands in 2002-2003 in response to drought and associated bark beetle infestations. At an intensively studied site within the region, we quantified that after 15 months of depleted soil water content, &gt;90% of the dominant, overstory tree species (\n              Pinus edulis\n              , a piñon) died. The die-off was reflected in changes in a remotely sensed index of vegetation greenness (Normalized Difference Vegetation Index), not only at the intensively studied site but also across the region, extending over 12,000 km\n              2\n              or more; aerial and field surveys confirmed the general extent of the die-off. Notably, the recent drought was warmer than the previous subcontinental drought of the 1950s. The limited, available observations suggest that die-off from the recent drought was more extensive than that from the previous drought, extending into wetter sites within the tree species' distribution. Our results quantify a trigger leading to rapid, drought-induced die-off of overstory woody plants at subcontinental scale and highlight the potential for such die-off to be more severe and extensive for future global-change-type drought under warmer conditions.","container-title":"Proceedings of the National Academy of Sciences","DOI":"10.1073/pnas.0505734102","ISSN":"0027-8424, 1091-6490","issue":"42","journalAbbreviation":"Proc. Natl. Acad. Sci. U.S.A.","language":"en","page":"15144-15148","source":"DOI.org (Crossref)","title":"Regional vegetation die-off in response to global-change-type drought","volume":"102","author":[{"family":"Breshears","given":"David D."},{"family":"Cobb","given":"Neil S."},{"family":"Rich","given":"Paul M."},{"family":"Price","given":"Kevin P."},{"family":"Allen","given":"Craig D."},{"family":"Balice","given":"Randy G."},{"family":"Romme","given":"William H."},{"family":"Kastens","given":"Jude H."},{"family":"Floyd","given":"M. Lisa"},{"family":"Belnap","given":"Jayne"},{"family":"Anderson","given":"Jesse J."},{"family":"Myers","given":"Orrin B."},{"family":"Meyer","given":"Clifton W."}],"issued":{"date-parts":[["2005",10,18]]}}},{"id":2966,"uris":["http://zotero.org/groups/5634119/items/DJVJ9458"],"itemData":{"id":2966,"type":"article-journal","abstract":"Summary\n            Recently, widespread piñon pine die‐off occurred in the southwestern United States. Here we synthesize observational studies of this event and compare findings to expected relationships with biotic and abiotic factors. Agreement exists on the occurrence of drought, presence of bark beetles and increased mortality of larger trees. However, studies disagree about the influences of stem density, elevation and other factors, perhaps related to study design, location and impact of extreme drought. Detailed information about bark beetles is seldom reported and their role is poorly understood. Our analysis reveals substantial limits to our knowledge regarding the processes that produce mortality patterns across space and time, indicating a poor ability to forecast mortality in response to expected increases in future droughts.\n            \n              \n                \n                  \n                  \n                  \n                  \n                    \n                      \n                      Contents\n                      \n                    \n                  \n                  \n                    \n                      \n                      Summary\n                      91\n                    \n                    \n                      I.\n                      \n                        Introduction\n                      \n                      91\n                    \n                    \n                      II.\n                      \n                        Mortality mechanisms\n                      \n                      92\n                    \n                    \n                      III.\n                      \n                        Methods\n                      \n                      92\n                    \n                    \n                      IV.\n                      \n                        Results\n                      \n                      92\n                    \n                    \n                      V.\n                      \n                        Discussion\n                      \n                      94\n                    \n                    \n                      VI.\n                      \n                        Conclusions\n                      \n                      96\n                    \n                    \n                      \n                      \n                        Acknowledgements\n                      \n                      96\n                    \n                    \n                      \n                      \n                        References\n                      \n                      96","container-title":"New Phytologist","DOI":"10.1111/nph.13193","ISSN":"0028-646X, 1469-8137","issue":"1","journalAbbreviation":"New Phytologist","language":"en","license":"http://onlinelibrary.wiley.com/termsAndConditions#am","page":"91-97","source":"DOI.org (Crossref)","title":"Patterns and causes of observed piñon pine mortality in the southwestern United States","volume":"206","author":[{"family":"Meddens","given":"Arjan J. H."},{"family":"Hicke","given":"Jeffrey A."},{"family":"Macalady","given":"Alison K."},{"family":"Buotte","given":"Polly C."},{"family":"Cowles","given":"Travis R."},{"family":"Allen","given":"Craig D."}],"issued":{"date-parts":[["2015",4]]}}}],"schema":"https://github.com/citation-style-language/schema/raw/master/csl-citation.json"} </w:instrText>
      </w:r>
      <w:r w:rsidR="00207146">
        <w:fldChar w:fldCharType="separate"/>
      </w:r>
      <w:r w:rsidR="00207146">
        <w:rPr>
          <w:noProof/>
        </w:rPr>
        <w:t>(Breshears et al., 2005; Meddens et al., 2015)</w:t>
      </w:r>
      <w:r w:rsidR="00207146">
        <w:fldChar w:fldCharType="end"/>
      </w:r>
      <w:r>
        <w:t>, with only limited tree regeneration to support the next generation of forests</w:t>
      </w:r>
      <w:r w:rsidR="00207146">
        <w:t xml:space="preserve"> </w:t>
      </w:r>
      <w:r w:rsidR="00207146">
        <w:fldChar w:fldCharType="begin"/>
      </w:r>
      <w:r w:rsidR="00207146">
        <w:instrText xml:space="preserve"> ADDIN ZOTERO_ITEM CSL_CITATION {"citationID":"2t0aw07r","properties":{"formattedCitation":"(Redmond et al., 2018)","plainCitation":"(Redmond et al., 2018)","noteIndex":0},"citationItems":[{"id":2969,"uris":["http://zotero.org/groups/5634119/items/SB5NU96H"],"itemData":{"id":2969,"type":"article-journal","abstract":"Abstract\n            \n              \n                \n                  Drought events occurring under warmer temperatures (i.e. “hotter droughts”) have resulted in widespread tree mortality across the globe, and may result in biome‐level vegetation shifts to alternate vegetation types if there is a failure of trees to regenerate. We investigated how overstorey trees, understorey vegetation, and local climatic and edaphic conditions interact to influence tree regeneration, a key prerequisite for resilience, in a region that has experienced severe overstorey tree mortality due to hotter droughts and beetle infestations.\n                \n                \n                  \n                    We used detailed field observations from 142 sites that spanned a broad range of environmental conditions to evaluate the effects of climate and recent tree mortality on tree regeneration dynamics in the spatially extensive piñon (\n                    Pinus edulis\n                    )‐juniper (\n                    Juniperus osteosperma, Juniperus monosperma)\n                    woodland vegetation type of the southwestern\n                    USA\n                    . We used a structural equation modelling framework to identify how tree mortality and local climatic and edaphic conditions affect piñon and juniper regeneration and electivity analyses to quantify the species‐specific associations of tree juveniles with overstorey trees and understorey shrubs.\n                  \n                \n                \n                  Piñon regeneration appears to be strongly dependent upon advanced regeneration, (i.e. the survival of juvenile trees that established prior to the mortality event), the survival of adult seed‐bearing trees (inferred from basal area of surviving trees) and the facilitative effects of overstorey trees for providing favourable microsites for seedling establishment. Model results suggest that local edaphoclimatic conditions directly affected piñon and juniper regeneration, such that stands with hotter, drier local climatic conditions and lower soil available water capacity had limited tree regeneration following large‐scale dieback.\n                \n                \n                  \n                    Synthesis\n                    . We identify four indicators of resilience to hotter drought conditions: (1) abundant advance regeneration of tree seedlings; (2) sufficient canopy cover for survival of emergent seedlings and existing regeneration; (3) sufficient seed source from surviving trees with high reproductive output; (4) areas with cooler and wetter local climates and greater soil available water capacity. In the absence of these conditions, there is greater likelihood of woodlands transitioning to more xeric vegetation types following dieback.","container-title":"Journal of Ecology","DOI":"10.1111/1365-2745.12880","ISSN":"0022-0477, 1365-2745","issue":"2","journalAbbreviation":"Journal of Ecology","language":"en","license":"http://onlinelibrary.wiley.com/termsAndConditions#vor","page":"625-639","source":"DOI.org (Crossref)","title":"Woodland resilience to regional drought: Dominant controls on tree regeneration following overstorey mortality","title-short":"Woodland resilience to regional drought","volume":"106","author":[{"family":"Redmond","given":"Miranda D."},{"family":"Weisberg","given":"Peter J."},{"family":"Cobb","given":"Neil S."},{"family":"Clifford","given":"Michael J."}],"editor":[{"family":"Bellingham","given":"Peter"}],"issued":{"date-parts":[["2018",3]]}}}],"schema":"https://github.com/citation-style-language/schema/raw/master/csl-citation.json"} </w:instrText>
      </w:r>
      <w:r w:rsidR="00207146">
        <w:fldChar w:fldCharType="separate"/>
      </w:r>
      <w:r w:rsidR="00207146">
        <w:rPr>
          <w:noProof/>
        </w:rPr>
        <w:t>(Redmond et al., 2018)</w:t>
      </w:r>
      <w:r w:rsidR="00207146">
        <w:fldChar w:fldCharType="end"/>
      </w:r>
      <w:r w:rsidR="00207146">
        <w:t>.</w:t>
      </w:r>
      <w:r>
        <w:t xml:space="preserve"> Thus, the number of living pinyon pine on the landscape has declined</w:t>
      </w:r>
      <w:r w:rsidR="00207146">
        <w:t xml:space="preserve"> </w:t>
      </w:r>
      <w:r w:rsidR="00207146">
        <w:fldChar w:fldCharType="begin"/>
      </w:r>
      <w:r w:rsidR="00207146">
        <w:instrText xml:space="preserve"> ADDIN ZOTERO_ITEM CSL_CITATION {"citationID":"ScY2Xc1R","properties":{"formattedCitation":"(Shaw et al., 2005)","plainCitation":"(Shaw et al., 2005)","noteIndex":0},"citationItems":[{"id":2971,"uris":["http://zotero.org/groups/5634119/items/Y9DU2YX5"],"itemData":{"id":2971,"type":"article-journal","abstract":"Abstract\n            Widespread mortality in the pinyon-juniper forest type is associated with several years of drought in the southwestern United States. A complex of drought, insects, and disease is responsible for pinyon mortality rates approaching 100% in some areas, while other areas have experienced little or no mortality. Implementation of the Forest Inventory and Analysis (FIA) annual inventory in several states coincided with the onset of elevated mortality rates. Adjunct inventories provided supplemental data on damaging agents. Preliminary analysis reveals the status and trends of mortality in pinyon-juniper woodlands.","container-title":"Journal of Forestry","DOI":"10.1093/jof/103.6.280","ISSN":"0022-1201, 1938-3746","issue":"6","language":"en","page":"280-285","source":"DOI.org (Crossref)","title":"Forest Inventory and Analysis (FIA) Annual Inventory Answers the Question: What Is Happening to Pinyon-Juniper Woodlands?","title-short":"Forest Inventory and Analysis (FIA) Annual Inventory Answers the Question","volume":"103","author":[{"family":"Shaw","given":"John D."},{"family":"Steed","given":"Brytten E."},{"family":"DeBlander","given":"Larry T."}],"issued":{"date-parts":[["2005",9,1]]}}}],"schema":"https://github.com/citation-style-language/schema/raw/master/csl-citation.json"} </w:instrText>
      </w:r>
      <w:r w:rsidR="00207146">
        <w:fldChar w:fldCharType="separate"/>
      </w:r>
      <w:r w:rsidR="00207146">
        <w:rPr>
          <w:noProof/>
        </w:rPr>
        <w:t>(Shaw et al., 2005)</w:t>
      </w:r>
      <w:r w:rsidR="00207146">
        <w:fldChar w:fldCharType="end"/>
      </w:r>
      <w:r>
        <w:t xml:space="preserve">, coinciding with a decline in the seed production of the remaining live trees </w:t>
      </w:r>
      <w:r w:rsidR="00207146">
        <w:fldChar w:fldCharType="begin"/>
      </w:r>
      <w:r w:rsidR="00207146">
        <w:instrText xml:space="preserve"> ADDIN ZOTERO_ITEM CSL_CITATION {"citationID":"8JduHdmH","properties":{"formattedCitation":"(Redmond et al., 2012; Wion et al., 2025)","plainCitation":"(Redmond et al., 2012; Wion et al., 2025)","noteIndex":0},"citationItems":[{"id":2972,"uris":["http://zotero.org/groups/5634119/items/7M2FKU8S"],"itemData":{"id":2972,"type":"article-journal","abstract":"Global climate change is expected to produce large shifts in vegetation distribution and has already increased tree mortality, altering forest structure. However, long‐term shifts will be partly dependent on the ability of species to reproduce under a novel climate. Few studies have examined the impact of climate change on the reproductive output of long‐lived ‘masting' species, or species characterized by episodic reproductive events. Here, we show that seed cone production among pinyon pine (\n              Pinus edulis\n              ), a masting species, declined by 40% from the 1974 decade (1969–1978) to the 2008 decade (2003–2012) in revisited stands throughout New Mexico and northwestern Oklahoma. Seed cone production was highly correlated with late summer temperatures at the time of cone initiation. Further, declines in seed cone production were greatest among populations that experienced the greatest increases in growing season temperatures, which were the populations located at the cooler, upper elevations. As growing season temperatures are predicted to increase across this region over the next century, these findings suggest seed cone production may be an increasingly important bottleneck for future pinyon pine regeneration, especially in areas with greater increases in temperature. Declines in seed cone production may not only affect pinyon pine population dynamics but also the various wildlife species that rely on pinyon pine seeds. Because pinyon pine has similar reproductive strategies as other semi‐arid pine species, increasing temperature may negatively influence reproductive output of other conifers. Further investigation into the full geographic and taxonomic extent of these seed declines is warranted.","container-title":"Ecosphere","DOI":"10.1890/ES12-00306.1","ISSN":"2150-8925, 2150-8925","issue":"12","journalAbbreviation":"Ecosphere","language":"en","license":"http://creativecommons.org/licenses/by/3.0/","page":"1-14","source":"DOI.org (Crossref)","title":"Declines in pinyon pine cone production associated with regional warming","volume":"3","author":[{"family":"Redmond","given":"Miranda D."},{"family":"Forcella","given":"Frank"},{"family":"Barger","given":"Nichole N."}],"issued":{"date-parts":[["2012",12]]}}},{"id":2858,"uris":["http://zotero.org/groups/5634119/items/5C7JLPYL"],"itemData":{"id":2858,"type":"article-journal","abstract":"SummaryPredicting seed production is challenging because many plants produce highly variable crops among years (i.e. masting), but doing so can inform forest management, conservation, and our understanding of ecosystem trajectories in a changing climate. We evaluated the ability of an existing model to forecast masting in an ecologically and culturally important tree species in the southwestern United States, Pinus edulis.Annual seed cone production was predicted using cross‐validation techniques on two unique out‐of‐sample datasets, representing different collection methods and spatial scales (cone scars and cone counts). We then hindcasted this model into the historical past to evaluate whether seed production has declined with the onset of extreme drought conditions in western North America.The evaluated model had fair skill, with root‐mean‐squared error of 6%. The model had better skill predicting the interannual variability within a site than among sites (i.e. within years). Hindcast analyses indicated recent (2000–2024) mean annual cone production was 30.6% lower than in the past century (1900–1999).Mast forecasts are within reach, but much room remains for improvement. Forecasts may be a powerful tool to anticipate the effects of climate change on forests and woodlands.","container-title":"New Phytologist","DOI":"10.1111/nph.20321","ISSN":"0028-646X, 1469-8137","issue":"2","language":"en","license":"http://onlinelibrary.wiley.com/termsAndConditions#am","note":"publisher: Wiley","page":"450-460","source":"Crossref","title":"Mast hindcasts reveal pervasive effects of extreme drought on a foundational conifer species","volume":"246","author":[{"family":"Wion","given":"Andreas P."},{"family":"Pearse","given":"Ian S."},{"family":"Broxson","given":"Max"},{"family":"Redmond","given":"Miranda D."}],"issued":{"date-parts":[["2025",4]]}}}],"schema":"https://github.com/citation-style-language/schema/raw/master/csl-citation.json"} </w:instrText>
      </w:r>
      <w:r w:rsidR="00207146">
        <w:fldChar w:fldCharType="separate"/>
      </w:r>
      <w:r w:rsidR="00207146">
        <w:rPr>
          <w:noProof/>
        </w:rPr>
        <w:t>(Redmond et al., 2012; Wion et al., 2025)</w:t>
      </w:r>
      <w:r w:rsidR="00207146">
        <w:fldChar w:fldCharType="end"/>
      </w:r>
      <w:r>
        <w:t xml:space="preserve">. The close mutualism between pinyon jays and pinyon pine suggests that these tree mortality events and declines in seed production may be linked to declines in populations of </w:t>
      </w:r>
      <w:r w:rsidR="00D431E9">
        <w:t>pinyon jays.</w:t>
      </w:r>
    </w:p>
    <w:p w14:paraId="7F04625F" w14:textId="3D685407" w:rsidR="002D0660" w:rsidRDefault="002D0660" w:rsidP="00186ED6">
      <w:pPr>
        <w:pStyle w:val="BodyText"/>
        <w:ind w:firstLine="720"/>
      </w:pPr>
      <w:r>
        <w:t xml:space="preserve">In this study, we aimed to determine the temporal dynamics and context dependence of the relationship between piñon pine and </w:t>
      </w:r>
      <w:r w:rsidR="00D431E9">
        <w:t>its</w:t>
      </w:r>
      <w:r>
        <w:t xml:space="preserve"> key seed disperser, the pinyon jay, in the Southwest </w:t>
      </w:r>
      <w:r>
        <w:lastRenderedPageBreak/>
        <w:t xml:space="preserve">US. To leverage the broadest spatial and temporal availability of data on pinyon jay abundance, we used eBird </w:t>
      </w:r>
      <w:r>
        <w:fldChar w:fldCharType="begin"/>
      </w:r>
      <w:r>
        <w:instrText xml:space="preserve"> ADDIN ZOTERO_ITEM CSL_CITATION {"citationID":"8YgRajLP","properties":{"formattedCitation":"(Sullivan et al., 2009)","plainCitation":"(Sullivan et al., 2009)","noteIndex":0},"citationItems":[{"id":2330,"uris":["http://zotero.org/groups/4936574/items/WEAIMI7B"],"itemData":{"id":2330,"type":"article-journal","container-title":"Biological Conservation","DOI":"10.1016/j.biocon.2009.05.006","ISSN":"00063207","issue":"10","journalAbbreviation":"Biological Conservation","language":"en","license":"https://www.elsevier.com/tdm/userlicense/1.0/","page":"2282-2292","source":"DOI.org (Crossref)","title":"eBird: A citizen-based bird observation network in the biological sciences","title-short":"eBird","volume":"142","author":[{"family":"Sullivan","given":"Brian L."},{"family":"Wood","given":"Christopher L."},{"family":"Iliff","given":"Marshall J."},{"family":"Bonney","given":"Rick E."},{"family":"Fink","given":"Daniel"},{"family":"Kelling","given":"Steve"}],"issued":{"date-parts":[["2009",10]]}}}],"schema":"https://github.com/citation-style-language/schema/raw/master/csl-citation.json"} </w:instrText>
      </w:r>
      <w:r>
        <w:fldChar w:fldCharType="separate"/>
      </w:r>
      <w:r w:rsidRPr="10F02EB4">
        <w:rPr>
          <w:noProof/>
        </w:rPr>
        <w:t>(Sullivan et al., 2009)</w:t>
      </w:r>
      <w:r>
        <w:fldChar w:fldCharType="end"/>
      </w:r>
      <w:r>
        <w:t xml:space="preserve"> data (13 years; 2010 - 2022) to evaluate how pinyon jay abundance related to piñon pine seed availability </w:t>
      </w:r>
      <w:r>
        <w:fldChar w:fldCharType="begin"/>
      </w:r>
      <w:r>
        <w:instrText xml:space="preserve"> ADDIN ZOTERO_ITEM CSL_CITATION {"citationID":"rTN78rMt","properties":{"formattedCitation":"(Wion et al., 2025)","plainCitation":"(Wion et al., 2025)","dontUpdate":true,"noteIndex":0},"citationItems":[{"id":2858,"uris":["http://zotero.org/groups/5634119/items/5C7JLPYL"],"itemData":{"id":2858,"type":"article-journal","abstract":"SummaryPredicting seed production is challenging because many plants produce highly variable crops among years (i.e. masting), but doing so can inform forest management, conservation, and our understanding of ecosystem trajectories in a changing climate. We evaluated the ability of an existing model to forecast masting in an ecologically and culturally important tree species in the southwestern United States, Pinus edulis.Annual seed cone production was predicted using cross‐validation techniques on two unique out‐of‐sample datasets, representing different collection methods and spatial scales (cone scars and cone counts). We then hindcasted this model into the historical past to evaluate whether seed production has declined with the onset of extreme drought conditions in western North America.The evaluated model had fair skill, with root‐mean‐squared error of 6%. The model had better skill predicting the interannual variability within a site than among sites (i.e. within years). Hindcast analyses indicated recent (2000–2024) mean annual cone production was 30.6% lower than in the past century (1900–1999).Mast forecasts are within reach, but much room remains for improvement. Forecasts may be a powerful tool to anticipate the effects of climate change on forests and woodlands.","container-title":"New Phytologist","DOI":"10.1111/nph.20321","ISSN":"0028-646X, 1469-8137","issue":"2","language":"en","license":"http://onlinelibrary.wiley.com/termsAndConditions#am","note":"publisher: Wiley","page":"450-460","source":"Crossref","title":"Mast hindcasts reveal pervasive effects of extreme drought on a foundational conifer species","volume":"246","author":[{"family":"Wion","given":"Andreas P."},{"family":"Pearse","given":"Ian S."},{"family":"Broxson","given":"Max"},{"family":"Redmond","given":"Miranda D."}],"issued":{"date-parts":[["2025",4]]}}}],"schema":"https://github.com/citation-style-language/schema/raw/master/csl-citation.json"} </w:instrText>
      </w:r>
      <w:r>
        <w:fldChar w:fldCharType="separate"/>
      </w:r>
      <w:r w:rsidRPr="10F02EB4">
        <w:rPr>
          <w:noProof/>
        </w:rPr>
        <w:t>(e.g., Wion et al., 2025)</w:t>
      </w:r>
      <w:r>
        <w:fldChar w:fldCharType="end"/>
      </w:r>
      <w:r>
        <w:t xml:space="preserve"> and potential mediating factors such as climate and habitat structure. </w:t>
      </w:r>
      <w:r>
        <w:fldChar w:fldCharType="begin"/>
      </w:r>
      <w:r>
        <w:instrText xml:space="preserve"> ADDIN ZOTERO_ITEM CSL_CITATION {"citationID":"2IhNKIeH","properties":{"formattedCitation":"(Ogle et al., 2015)","plainCitation":"(Ogle et al., 2015)","dontUpdate":true,"noteIndex":0},"citationItems":[{"id":2355,"uris":["http://zotero.org/groups/5634119/items/DHLTFA4K"],"itemData":{"id":2355,"type":"article-journal","abstract":"The role of time in ecology has a long history of investigation, but ecologists have largely restricted their attention to the inﬂuence of concurrent abiotic conditions on rates and magnitudes of important ecological processes. Recently, however, ecologists have improved their understanding of ecological processes by explicitly considering the effects of antecedent conditions. To broadly help in studying the role of time, we evaluate the length, temporal pattern, and strength of memory with respect to the inﬂuence of antecedent conditions on current ecological dynamics. We developed the stochastic antecedent modelling (SAM) framework as a ﬂexible analytic approach for evaluating exogenous and endogenous process components of memory in a system of interest. We designed SAM to be useful in revealing novel insights promoting further study, illustrated in four examples with different degrees of complexity and varying time scales: stomatal conductance, soil respiration, ecosystem productivity, and tree growth. Models with antecedent effects explained an additional 18–28% of response variation compared to models without antecedent effects. Moreover, SAM also enabled identiﬁcation of potential mechanisms that underlie components of memory, thus revealing temporal properties that are not apparent from traditional treatments of ecological time-series data and facilitating new hypothesis generation and additional research.","container-title":"Ecology Letters","DOI":"10.1111/ele.12399","ISSN":"1461-023X, 1461-0248","issue":"3","journalAbbreviation":"Ecol Lett","language":"en","page":"221-235","source":"DOI.org (Crossref)","title":"Quantifying ecological memory in plant and ecosystem processes","volume":"18","author":[{"family":"Ogle","given":"Kiona"},{"family":"Barber","given":"Jarrett J."},{"family":"Barron‐Gafford","given":"Greg A."},{"family":"Bentley","given":"Lisa Patrick"},{"family":"Young","given":"Jessica M."},{"family":"Huxman","given":"Travis E."},{"family":"Loik","given":"Michael E."},{"family":"Tissue","given":"David T."}],"editor":[{"family":"Cleland","given":"Elsa"}],"issued":{"date-parts":[["2015",3]]}}}],"schema":"https://github.com/citation-style-language/schema/raw/master/csl-citation.json"} </w:instrText>
      </w:r>
      <w:r>
        <w:fldChar w:fldCharType="separate"/>
      </w:r>
      <w:r>
        <w:fldChar w:fldCharType="end"/>
      </w:r>
      <w:r>
        <w:t xml:space="preserve"> Specifically, in this study, we evaluate: 1) what is the magnitude and time scales of the relationship between birds and piñon pine seed availability? and 2) how is this relationship mediated by habitat and climate variables that vary by site and/or year? Understanding these patterns is not only crucial for the conservation of pinyon jays but also builds a general framework for evaluating the context dependence of seed dispersal interactions and how ongoing habitat and climate changes may shape these interactions in the future (e.g., temporal mismatches in birds and resources </w:t>
      </w:r>
      <w:r>
        <w:fldChar w:fldCharType="begin"/>
      </w:r>
      <w:r>
        <w:instrText xml:space="preserve"> ADDIN ZOTERO_ITEM CSL_CITATION {"citationID":"e2gir1Gg","properties":{"formattedCitation":"(Belitz et al., 2025)","plainCitation":"(Belitz et al., 2025)","noteIndex":0},"citationItems":[{"id":2877,"uris":["http://zotero.org/groups/5634119/items/ZR9AS8M4"],"itemData":{"id":2877,"type":"article-journal","abstract":"AbstractClimate change is altering the seasonal timing of biological events across the tree of life. Phenological asynchrony has the potential to hasten population declines and disrupt ecosystem function. However, we lack broad comparisons of the degree of sensitivity to common phenological cues across multiple trophic levels. Overcoming the complexity of integrating data across trophic levels is essential for identifying spatial locations and species for which mismatches are most likely to occur.Here, we synthesized over 15 years of data across three trophic levels to estimate the timing of four interacting phenological events in eastern North America: the green‐up of forest canopy trees, emergence of adult Lepidoptera and arrival and subsequent breeding of migratory birds.We next quantified the magnitude of phenological shift per one unit change of springtime temperature accumulation as measured by accumulated growing degree days (GDD). We expected trophic responses to spring temperature accumulation to be related to physiology, thus predicting a weaker response of birds to GDD than that of insects and plants.We found that insect and plant phenology indeed had similarly strong sensitivity to GDD, while bird phenology had lower sensitivity. We also found that vegetation green‐up and bird arrival were more sensitive to GDD in higher latitudes, but the timing of bird breeding was less sensitive to GDD in higher latitudes. Migratory bird species with slow migration pace, early arrivals and more northerly wintering grounds shifted their arrival the most.Across Eastern Temperate Forests, the similar responses of vegetation green‐up and Lepidoptera emergence to temperature shifts support the use of remotely sensed green‐up to track how the timing of bird food resources is shifting in response to climate change. Our results indicate that, across our plant–insect–bird system, the bird–insect phenological link has a greater potential for phenological mismatch than the insect–plant link, with a higher risk of decoupling at higher latitudes.","container-title":"Journal of Animal Ecology","DOI":"10.1111/1365-2656.70007","ISSN":"0021-8790, 1365-2656","issue":"4","language":"en","license":"http://creativecommons.org/licenses/by-nc/4.0/","note":"publisher: Wiley","page":"717-728","source":"Crossref","title":"Potential for bird–insect phenological mismatch in a tri‐trophic system","volume":"94","author":[{"family":"Belitz","given":"Michael W."},{"family":"Larsen","given":"Elise A."},{"family":"Hurlbert","given":"Allen H."},{"family":"Di Cecco","given":"Grace J."},{"family":"Neupane","given":"Naresh"},{"family":"Ries","given":"Leslie"},{"family":"Tingley","given":"Morgan W."},{"family":"Guralnick","given":"Robert P."},{"family":"Youngflesh","given":"Casey"}],"issued":{"date-parts":[["2025",4]]}}}],"schema":"https://github.com/citation-style-language/schema/raw/master/csl-citation.json"} </w:instrText>
      </w:r>
      <w:r>
        <w:fldChar w:fldCharType="separate"/>
      </w:r>
      <w:r w:rsidRPr="10F02EB4">
        <w:rPr>
          <w:noProof/>
        </w:rPr>
        <w:t>(Belitz et al., 2025)</w:t>
      </w:r>
      <w:r>
        <w:fldChar w:fldCharType="end"/>
      </w:r>
      <w:r>
        <w:t>.</w:t>
      </w:r>
    </w:p>
    <w:bookmarkEnd w:id="7"/>
    <w:p w14:paraId="0BF0F49B" w14:textId="77777777" w:rsidR="008F6A89" w:rsidRDefault="00000000">
      <w:pPr>
        <w:pStyle w:val="Heading1"/>
      </w:pPr>
      <w:r>
        <w:t>2 Materials and Methods</w:t>
      </w:r>
    </w:p>
    <w:p w14:paraId="35E48460" w14:textId="56585BE9" w:rsidR="008F6A89" w:rsidRDefault="49B9E889">
      <w:pPr>
        <w:pStyle w:val="Heading3"/>
      </w:pPr>
      <w:bookmarkStart w:id="9" w:name="pinyon-jay-biology-and-study-site"/>
      <w:r>
        <w:t xml:space="preserve">2.1 </w:t>
      </w:r>
      <w:r w:rsidR="00207146">
        <w:t>Study region</w:t>
      </w:r>
      <w:r w:rsidR="00186ED6">
        <w:t xml:space="preserve"> and pinyon jay and pine relationship</w:t>
      </w:r>
    </w:p>
    <w:p w14:paraId="0BC37BC1" w14:textId="080C1AE1" w:rsidR="00207146" w:rsidRPr="00207146" w:rsidRDefault="49B9E889" w:rsidP="00207146">
      <w:pPr>
        <w:pStyle w:val="BodyText"/>
        <w:ind w:firstLine="720"/>
      </w:pPr>
      <w:r>
        <w:t xml:space="preserve">Pinyon jays are a widespread species that occurs across the western US (California, Nevada, Utah, Arizona, Colorado, New Mexico). </w:t>
      </w:r>
      <w:r w:rsidR="00207146">
        <w:t>In this study, we focused on the intermountain and southwest regions of the US where broad-scale information on two-needle pin</w:t>
      </w:r>
      <w:r w:rsidR="00186ED6">
        <w:t>y</w:t>
      </w:r>
      <w:r w:rsidR="00207146">
        <w:t>on cone production (as a proxy for seed production)</w:t>
      </w:r>
      <w:r w:rsidR="00186ED6">
        <w:t xml:space="preserve"> </w:t>
      </w:r>
      <w:r w:rsidR="00207146">
        <w:t>was available (</w:t>
      </w:r>
      <w:r w:rsidR="00207146" w:rsidRPr="00186ED6">
        <w:t xml:space="preserve">Wion et al., 2025). It is likely that pinyon jays rely on other species of pinyon pine (e.g., </w:t>
      </w:r>
      <w:r w:rsidR="00207146" w:rsidRPr="00186ED6">
        <w:rPr>
          <w:i/>
          <w:iCs/>
        </w:rPr>
        <w:t>P. cembroides, P. monophyla</w:t>
      </w:r>
      <w:r w:rsidR="00207146" w:rsidRPr="00186ED6">
        <w:t>)</w:t>
      </w:r>
      <w:r w:rsidR="00186ED6" w:rsidRPr="00186ED6">
        <w:t xml:space="preserve"> and other masting species (e.g., oaks) across their range, but these species lack wide-scale estimates of seed production. Previous studies have suggested that pinyon jays may “predict” cone availability with visual cues to cone maturation </w:t>
      </w:r>
      <w:r w:rsidR="00186ED6" w:rsidRPr="00186ED6">
        <w:fldChar w:fldCharType="begin"/>
      </w:r>
      <w:r w:rsidR="00186ED6" w:rsidRPr="00186ED6">
        <w:instrText xml:space="preserve"> ADDIN ZOTERO_ITEM CSL_CITATION {"citationID":"tFXXiTRH","properties":{"formattedCitation":"(Ligon, 1978)","plainCitation":"(Ligon, 1978)","noteIndex":0},"citationItems":[{"id":2753,"uris":["http://zotero.org/groups/5634119/items/4RGGXF3K"],"itemData":{"id":2753,"type":"article-journal","abstract":"Pinon Jays (Gymnorhinus cyanoephalus) and pinon pine trees (Pinus edulis) interact in a mutualistic fashion, in that the jays provide a primary means of seed dissemination for pinon trees in the Southwest, while at irregular intervals the trees provide the jays with an abundant and highly nutritious source of food. Availability of pinon seeds permits both late winter (February) and late summer (August) breeding by the jays. Seeds and photoperiod interact synergistically to accelerate gonadal development in late winter. When seeds are abundant, considerable testis growth takes place in some Pinon Jay ♂ ♂ even before the winter solstice. This relationship was investigated experimentally. Use of a specific food (pinon seeds) as a proximate timer for breeding, the ability of individual jays to breed in spring, molt, and breed again in August without an intervening period of gonadal refractoriness, and testicular development in early December, when day length approaches its minimum, are extraordinary characteristics among north—temperate—zone passerine birds. The synchrony of seed production by pinon pines over large geographic areas is interpreted as an evolved mechanism that (1) overwhelms invertebrate seed and cone predators, and (2) increases the numbers of seeds per tree that will be cached by Pinon Jays and other vertebrates. Caching sites of Pinon Jays are often at locations especially conducive to germination and growth of pinon pine seedlings.","container-title":"Ecological Monographs","DOI":"10.2307/2937295","ISSN":"0012-9615, 1557-7015","issue":"2","journalAbbreviation":"Ecological Monographs","language":"en","license":"http://onlinelibrary.wiley.com/termsAndConditions#vor","page":"111-126","source":"DOI.org (Crossref)","title":"Reproductive Interdependence of Pinon Jays and Pinon Pines","volume":"48","author":[{"family":"Ligon","given":"J. David"}],"issued":{"date-parts":[["1978",3]]}}}],"schema":"https://github.com/citation-style-language/schema/raw/master/csl-citation.json"} </w:instrText>
      </w:r>
      <w:r w:rsidR="00186ED6" w:rsidRPr="00186ED6">
        <w:fldChar w:fldCharType="separate"/>
      </w:r>
      <w:r w:rsidR="00186ED6" w:rsidRPr="00186ED6">
        <w:rPr>
          <w:noProof/>
        </w:rPr>
        <w:t>(Ligon, 1978)</w:t>
      </w:r>
      <w:r w:rsidR="00186ED6" w:rsidRPr="00186ED6">
        <w:fldChar w:fldCharType="end"/>
      </w:r>
      <w:r w:rsidR="00186ED6" w:rsidRPr="00186ED6">
        <w:t xml:space="preserve">; while other work has documented nesting birds near cache sites from the previous year </w:t>
      </w:r>
      <w:r w:rsidR="00186ED6" w:rsidRPr="00186ED6">
        <w:fldChar w:fldCharType="begin"/>
      </w:r>
      <w:r w:rsidR="00186ED6" w:rsidRPr="00186ED6">
        <w:instrText xml:space="preserve"> ADDIN ZOTERO_ITEM CSL_CITATION {"citationID":"3ILg4EqR","properties":{"formattedCitation":"(Stotz &amp; Balda, 1995)","plainCitation":"(Stotz &amp; Balda, 1995)","noteIndex":0},"citationItems":[{"id":2860,"uris":["http://zotero.org/groups/5634119/items/MRSH59Y5"],"itemData":{"id":2860,"type":"article-journal","container-title":"The Southwestern Naturalist","issue":"2","page":"180-184","title":"Cache and recovery behavior of wild pinyon jays in northern Arizona","volume":"40","author":[{"family":"Stotz","given":"Nancy G."},{"family":"Balda","given":"Russell P."}],"issued":{"date-parts":[["1995"]]}}}],"schema":"https://github.com/citation-style-language/schema/raw/master/csl-citation.json"} </w:instrText>
      </w:r>
      <w:r w:rsidR="00186ED6" w:rsidRPr="00186ED6">
        <w:fldChar w:fldCharType="separate"/>
      </w:r>
      <w:r w:rsidR="00186ED6" w:rsidRPr="00186ED6">
        <w:rPr>
          <w:noProof/>
        </w:rPr>
        <w:t>(Stotz &amp; Balda, 1995)</w:t>
      </w:r>
      <w:r w:rsidR="00186ED6" w:rsidRPr="00186ED6">
        <w:fldChar w:fldCharType="end"/>
      </w:r>
      <w:r w:rsidR="00186ED6" w:rsidRPr="00186ED6">
        <w:t>. Thus,</w:t>
      </w:r>
      <w:r w:rsidR="00186ED6">
        <w:t xml:space="preserve"> we developed our model with a temporal component that incorporated both potential “predictive” effects of </w:t>
      </w:r>
      <w:r w:rsidR="00186ED6">
        <w:lastRenderedPageBreak/>
        <w:t xml:space="preserve">cones and “response” effects (e.g., spending time near cache sites, delayed population responses). These predicted temporal relationships between pinyon jays and two-needle pine cone production can be found in Figure 1. </w:t>
      </w:r>
    </w:p>
    <w:p w14:paraId="3BD8083B" w14:textId="77777777" w:rsidR="008F6A89" w:rsidRDefault="00000000">
      <w:pPr>
        <w:pStyle w:val="Heading3"/>
      </w:pPr>
      <w:bookmarkStart w:id="10" w:name="covariate-data"/>
      <w:bookmarkEnd w:id="9"/>
      <w:r>
        <w:t>2.2 Covariate data</w:t>
      </w:r>
    </w:p>
    <w:p w14:paraId="634163A9" w14:textId="025B3D57" w:rsidR="008F6A89" w:rsidRDefault="6C10DEED">
      <w:pPr>
        <w:pStyle w:val="FirstParagraph"/>
      </w:pPr>
      <w:r>
        <w:t>To investigate</w:t>
      </w:r>
      <w:r w:rsidR="49B9E889">
        <w:t xml:space="preserve"> relationships between pinyon jays and piñon pine seed production, we </w:t>
      </w:r>
      <w:r w:rsidR="1728EFB5">
        <w:t>developed a statistical</w:t>
      </w:r>
      <w:r w:rsidR="49B9E889">
        <w:t xml:space="preserve"> model that included cone production</w:t>
      </w:r>
      <w:r w:rsidR="59BBE99D">
        <w:t xml:space="preserve"> </w:t>
      </w:r>
      <w:r w:rsidR="49B9E889">
        <w:t>and other mediating factors</w:t>
      </w:r>
      <w:r w:rsidR="5261738A">
        <w:t xml:space="preserve"> related to habitat structure and interannual climate</w:t>
      </w:r>
      <w:r w:rsidR="49B9E889">
        <w:t xml:space="preserve">. </w:t>
      </w:r>
    </w:p>
    <w:p w14:paraId="330F7CCF" w14:textId="624F1319" w:rsidR="008F6A89" w:rsidRDefault="55FF0A2E" w:rsidP="5A83A434">
      <w:pPr>
        <w:pStyle w:val="FirstParagraph"/>
      </w:pPr>
      <w:r>
        <w:t>Annual c</w:t>
      </w:r>
      <w:r w:rsidR="5ED0CAA8">
        <w:t>one production data</w:t>
      </w:r>
      <w:r w:rsidR="31072A96">
        <w:t xml:space="preserve"> for two-needle pinyon</w:t>
      </w:r>
      <w:r w:rsidR="5ED0CAA8">
        <w:t xml:space="preserve"> were </w:t>
      </w:r>
      <w:r w:rsidR="3F014CB4">
        <w:t>developed at a 4-km resolution</w:t>
      </w:r>
      <w:r w:rsidR="5ED0CAA8">
        <w:t xml:space="preserve"> </w:t>
      </w:r>
      <w:r w:rsidR="38FBB8AA">
        <w:t xml:space="preserve">by </w:t>
      </w:r>
      <w:r w:rsidR="5ED0CAA8">
        <w:t>Wion et al</w:t>
      </w:r>
      <w:r w:rsidR="7C0F6815">
        <w:t xml:space="preserve"> (</w:t>
      </w:r>
      <w:r w:rsidR="5ED0CAA8">
        <w:t>202</w:t>
      </w:r>
      <w:r w:rsidR="3AFD18C3">
        <w:t>5)</w:t>
      </w:r>
      <w:r w:rsidR="52BD2B80">
        <w:t xml:space="preserve"> as follows</w:t>
      </w:r>
      <w:r w:rsidR="5ED0CAA8">
        <w:t xml:space="preserve">. </w:t>
      </w:r>
      <w:r w:rsidR="44C800CB">
        <w:t>Because c</w:t>
      </w:r>
      <w:r w:rsidR="5ED0CAA8">
        <w:t>one production</w:t>
      </w:r>
      <w:r w:rsidR="0CEF9BBD">
        <w:t xml:space="preserve"> for this species</w:t>
      </w:r>
      <w:r w:rsidR="5ED0CAA8">
        <w:t xml:space="preserve"> is highly sensitive to climate during two discrete periods of phenological development</w:t>
      </w:r>
      <w:r w:rsidR="00186ED6">
        <w:t xml:space="preserve"> </w:t>
      </w:r>
      <w:r w:rsidR="00186ED6">
        <w:fldChar w:fldCharType="begin"/>
      </w:r>
      <w:r w:rsidR="00186ED6">
        <w:instrText xml:space="preserve"> ADDIN ZOTERO_ITEM CSL_CITATION {"citationID":"86Km70pg","properties":{"formattedCitation":"(Forcella, 1981)","plainCitation":"(Forcella, 1981)","noteIndex":0},"citationItems":[{"id":2973,"uris":["http://zotero.org/groups/5634119/items/WKJEB5TV"],"itemData":{"id":2973,"type":"article-journal","container-title":"Ecology","DOI":"10.2307/1936722","ISSN":"0012-9658, 1939-9170","issue":"2","journalAbbreviation":"Ecology","language":"en","license":"http://onlinelibrary.wiley.com/termsAndConditions#vor","page":"488-491","source":"DOI.org (Crossref)","title":"Ovulate Cone Production in Pinyon: Negative Exponential Relationship with Late Summer Temperature","title-short":"Ovulate Cone Production in Pinyon","volume":"62","author":[{"family":"Forcella","given":"Frank"}],"issued":{"date-parts":[["1981",4]]}}}],"schema":"https://github.com/citation-style-language/schema/raw/master/csl-citation.json"} </w:instrText>
      </w:r>
      <w:r w:rsidR="00186ED6">
        <w:fldChar w:fldCharType="separate"/>
      </w:r>
      <w:r w:rsidR="00186ED6">
        <w:rPr>
          <w:noProof/>
        </w:rPr>
        <w:t>(Forcella, 1981)</w:t>
      </w:r>
      <w:r w:rsidR="00186ED6">
        <w:fldChar w:fldCharType="end"/>
      </w:r>
      <w:r w:rsidR="5AB90AA4">
        <w:t>,</w:t>
      </w:r>
      <w:r w:rsidR="5ED0CAA8">
        <w:t xml:space="preserve"> </w:t>
      </w:r>
      <w:r w:rsidR="389C9FE3">
        <w:t>c</w:t>
      </w:r>
      <w:r w:rsidR="5ED0CAA8">
        <w:t xml:space="preserve">ounts of cone production were regressed against these weather conditions, and the resulting slope coefficients were used to extrapolate across the study area. Cone production was </w:t>
      </w:r>
      <w:r w:rsidR="68C25214">
        <w:t xml:space="preserve">then </w:t>
      </w:r>
      <w:r w:rsidR="5ED0CAA8">
        <w:t>modeled using 4</w:t>
      </w:r>
      <w:r w:rsidR="22AFF10A">
        <w:t>-</w:t>
      </w:r>
      <w:r w:rsidR="5ED0CAA8">
        <w:t xml:space="preserve">km monthly PRISM </w:t>
      </w:r>
      <w:r w:rsidR="2B8656C0">
        <w:t>(Parameter-elevation Regressions on Independent Slopes Model</w:t>
      </w:r>
      <w:r w:rsidR="0A30C1E0">
        <w:t xml:space="preserve">; </w:t>
      </w:r>
      <w:r w:rsidR="00347BE8">
        <w:fldChar w:fldCharType="begin"/>
      </w:r>
      <w:r w:rsidR="00347BE8">
        <w:instrText xml:space="preserve"> ADDIN ZOTERO_ITEM CSL_CITATION {"citationID":"l2BhAX9v","properties":{"formattedCitation":"(PRISM Climate Group, 2025)","plainCitation":"(PRISM Climate Group, 2025)","noteIndex":0},"citationItems":[{"id":2673,"uris":["http://zotero.org/users/6391447/items/F8ZSUK7Q"],"itemData":{"id":2673,"type":"software","event-place":"Oregon State University","publisher-place":"Oregon State University","title":"PRISM","URL":"https://prism.oregonstate.edu","author":[{"literal":"PRISM Climate Group"}],"accessed":{"date-parts":[["2023",1,1]]},"issued":{"date-parts":[["2025"]]}}}],"schema":"https://github.com/citation-style-language/schema/raw/master/csl-citation.json"} </w:instrText>
      </w:r>
      <w:r w:rsidR="00347BE8">
        <w:fldChar w:fldCharType="separate"/>
      </w:r>
      <w:r w:rsidR="00347BE8">
        <w:rPr>
          <w:noProof/>
        </w:rPr>
        <w:t>(PRISM Climate Group, 2025)</w:t>
      </w:r>
      <w:r w:rsidR="00347BE8">
        <w:fldChar w:fldCharType="end"/>
      </w:r>
      <w:r w:rsidR="2B8656C0">
        <w:t xml:space="preserve"> climate </w:t>
      </w:r>
      <w:r w:rsidR="5ED0CAA8">
        <w:t>data from 1900-2024, masked to the distribution of this species</w:t>
      </w:r>
      <w:r w:rsidR="00347BE8">
        <w:t xml:space="preserve"> </w:t>
      </w:r>
      <w:r w:rsidR="00347BE8">
        <w:fldChar w:fldCharType="begin"/>
      </w:r>
      <w:r w:rsidR="00347BE8">
        <w:instrText xml:space="preserve"> ADDIN ZOTERO_ITEM CSL_CITATION {"citationID":"Her2Um94","properties":{"formattedCitation":"(Wilson et al., 2013)","plainCitation":"(Wilson et al., 2013)","noteIndex":0},"citationItems":[{"id":2974,"uris":["http://zotero.org/groups/5634119/items/C475LZBY"],"itemData":{"id":2974,"type":"dataset","DOI":"10.2737/RDS-2013-0013","language":"en","publisher":"Forest Service Research Data Archive","source":"DOI.org (Crossref)","title":"Live tree species basal area of the contiguous United States (2000-2009)","URL":"https://www.fs.usda.gov/rds/archive/Catalog/RDS-2013-0013","author":[{"family":"Wilson","given":"Barry T."},{"family":"Lister","given":"Andrew J."},{"family":"Riemann","given":"Rachel I."},{"family":"Griffith","given":"Douglas M."}],"accessed":{"date-parts":[["2025",8,18]]},"issued":{"date-parts":[["2013"]]}}}],"schema":"https://github.com/citation-style-language/schema/raw/master/csl-citation.json"} </w:instrText>
      </w:r>
      <w:r w:rsidR="00347BE8">
        <w:fldChar w:fldCharType="separate"/>
      </w:r>
      <w:r w:rsidR="00347BE8">
        <w:rPr>
          <w:noProof/>
        </w:rPr>
        <w:t>(Wilson et al., 2013)</w:t>
      </w:r>
      <w:r w:rsidR="00347BE8">
        <w:fldChar w:fldCharType="end"/>
      </w:r>
      <w:r w:rsidR="5ED0CAA8">
        <w:t>. While this model predicts cone availability, not seeds, the two are highly correlated</w:t>
      </w:r>
      <w:r w:rsidR="00347BE8">
        <w:t xml:space="preserve"> in co-occurring pine species (e.g., </w:t>
      </w:r>
      <w:r w:rsidR="00347BE8">
        <w:rPr>
          <w:i/>
          <w:iCs/>
        </w:rPr>
        <w:t>P. ponderosa</w:t>
      </w:r>
      <w:r w:rsidR="00347BE8">
        <w:t xml:space="preserve"> </w:t>
      </w:r>
      <w:r w:rsidR="00347BE8">
        <w:fldChar w:fldCharType="begin"/>
      </w:r>
      <w:r w:rsidR="00347BE8">
        <w:instrText xml:space="preserve"> ADDIN ZOTERO_ITEM CSL_CITATION {"citationID":"KrAxn3l5","properties":{"formattedCitation":"(Shepperd et al., 2006)","plainCitation":"(Shepperd et al., 2006)","noteIndex":0},"citationItems":[{"id":2975,"uris":["http://zotero.org/groups/5634119/items/GSQBHDW9"],"itemData":{"id":2975,"type":"article-journal","abstract":"Abstract\n            Seedfall, natural regeneration establishment, and growth of planted seedlings was observed from 1981 to 2001 under shelterwood and seedtree overstories in a replicated study in ponderosa pine in the Manitou Experimental Forest in the Colorado Front Range. Good seed crops were produced only every 4 to 6 years, with almost no viable seed produced in intervening years. With seed predation, only 14% of total seedfall was available for germination. Shelterwood overstories containing between 6 and 14 m2 ha−1 stem basal area over scarified seedbeds provided optimal conditions for natural seedling establishment. Survival and growth of planted seedlings was much better than that of natural seedlings. However, poor survival and slow initial growth may require many years to establish a fully stocked forest of natural seedlings.","container-title":"Western Journal of Applied Forestry","DOI":"10.1093/wjaf/21.1.19","ISSN":"0885-6095, 1938-3770","issue":"1","language":"en","page":"19-26","source":"DOI.org (Crossref)","title":"Long-Term Seedfall, Establishment, Survival, and Growth of Natural and Planted Ponderosa Pine in the Colorado Front Range","volume":"21","author":[{"family":"Shepperd","given":"Wayne D."},{"family":"Edminster","given":"Carleton B."},{"family":"Mata","given":"Stephen A."}],"issued":{"date-parts":[["2006",1,1]]}}}],"schema":"https://github.com/citation-style-language/schema/raw/master/csl-citation.json"} </w:instrText>
      </w:r>
      <w:r w:rsidR="00347BE8">
        <w:fldChar w:fldCharType="separate"/>
      </w:r>
      <w:r w:rsidR="00347BE8">
        <w:rPr>
          <w:noProof/>
        </w:rPr>
        <w:t>(Shepperd et al., 2006)</w:t>
      </w:r>
      <w:r w:rsidR="00347BE8">
        <w:fldChar w:fldCharType="end"/>
      </w:r>
      <w:r w:rsidR="00347BE8">
        <w:t xml:space="preserve">. </w:t>
      </w:r>
      <w:r w:rsidR="49B9E889">
        <w:t>We used the cone production dataset both as a direct measure of p</w:t>
      </w:r>
      <w:r w:rsidR="00347BE8">
        <w:t>iny</w:t>
      </w:r>
      <w:r w:rsidR="49B9E889">
        <w:t>on seed availability and a proxy for the availability of other seeds eaten by pinyon jay (e.g., acorns, juniper berries) that respond to the same climate signals as pi</w:t>
      </w:r>
      <w:r w:rsidR="00347BE8">
        <w:t>ny</w:t>
      </w:r>
      <w:r w:rsidR="49B9E889">
        <w:t>on pine, but with different temporal lags (1-year lag for acorns and juniper berries, 2-year lag for pi</w:t>
      </w:r>
      <w:r w:rsidR="00347BE8">
        <w:t>ny</w:t>
      </w:r>
      <w:r w:rsidR="49B9E889">
        <w:t>on pine;</w:t>
      </w:r>
      <w:r w:rsidR="661D6A8B">
        <w:t xml:space="preserve"> </w:t>
      </w:r>
      <w:r>
        <w:fldChar w:fldCharType="begin"/>
      </w:r>
      <w:r>
        <w:instrText xml:space="preserve"> ADDIN ZOTERO_ITEM CSL_CITATION {"citationID":"1Dj7dile","properties":{"formattedCitation":"(Parmenter et al., 2018)","plainCitation":"(Parmenter et al., 2018)","noteIndex":0},"citationItems":[{"id":2755,"uris":["http://zotero.org/groups/5634119/items/IJSSXJYX"],"itemData":{"id":2755,"type":"article-journal","abstract":"Abstract\n            \n              Tree masting (synchronous, episodic reproduction) is common worldwide and is hypothesized to be especially important in ecosystems with low species diversity and productivity as in semi‐arid woodlands of the American Southwest. We analyzed mast dynamics of three dominant tree species, one‐seed juniper (Cupressaceae:\n              Juniperus monosperma\n              ), two‐needle piñon pine (Pinaceae:\n              Pinus edulis\n              ), and Sonoran scrub oak (Fagaceae:\n              Quercus turbinella\n              ), on six sites during 1997–2016 within the Sevilleta National Wildlife Refuge, New Mexico. We tested multiple hypotheses regarding environmental and endogenous variables as controlling mechanisms, analyzing time‐series mast production data in relation to weather variables (precipitation, temperature, relative humidity, vapor pressure deficit, wind) over different time frames, and assessed evidence for weather tracking, resource switching, resource depletion, resource cycling, and pollen limitation. We found that (1) in univariate regression analyses, mast production in all three species was inversely related to lagged late‐summer/autumn temperatures during fruit primordia formation (1‐yr lag for juniper and oak, 2‐yr lag for piñon pine). Juniper mast production (\n              n\n               = 412 trees) was positively related to current‐year late‐winter (February–April) precipitation, combined with a negative relationship with current‐year summer temperatures. Piñon pine mast production (\n              n\n               = 210 trees) was positively related to 1‐yr lagged total annual precipitation and negatively associated with current‐year spring and summer temperatures. Oak mast production (\n              n\n               = 194 trees) also was positively related to current‐year late‐winter precipitation but was not affected by subsequent summer temperatures. (2) Multivariate environmental logistic regression models produced reasonable fits to observed field mast values. (3) High‐mast years in juniper and oak were characterized by greater proportions of trees producing mast and increased mast production per tree. (4) Juniper, oak, and piñon pine mast years were highly synchronized. (5) We found indirect support for resource depletion in all three species at some sites and indirect support for resource cycling in oak populations. (6) We observed only marginal indirect evidence for resource switching in piñon pine and oak. (7) Analyses of atmospheric pollen abundance relative to mast production produced no significant relationships. Predictive models of mast production have direct applications to regional silviculture, wildlife management, and ecosystem services in Southwestern woodlands.","container-title":"Ecosphere","DOI":"10.1002/ecs2.2360","ISSN":"2150-8925, 2150-8925","issue":"8","journalAbbreviation":"Ecosphere","language":"en","page":"e02360","source":"DOI.org (Crossref)","title":"Environmental and endogenous drivers of tree mast production and synchrony in piñon–juniper–oak woodlands of New Mexico","volume":"9","author":[{"family":"Parmenter","given":"Robert R."},{"family":"Zlotin","given":"Roman I."},{"family":"Moore","given":"Douglas I."},{"family":"Myers","given":"Orrin B."}],"issued":{"date-parts":[["2018",8]]}}}],"schema":"https://github.com/citation-style-language/schema/raw/master/csl-citation.json"} </w:instrText>
      </w:r>
      <w:r>
        <w:fldChar w:fldCharType="separate"/>
      </w:r>
      <w:r w:rsidR="661D6A8B" w:rsidRPr="5A83A434">
        <w:rPr>
          <w:noProof/>
        </w:rPr>
        <w:t>(Parmenter et al., 2018)</w:t>
      </w:r>
      <w:r>
        <w:fldChar w:fldCharType="end"/>
      </w:r>
      <w:r w:rsidR="49B9E889">
        <w:t>.</w:t>
      </w:r>
    </w:p>
    <w:p w14:paraId="54EF9D9A" w14:textId="5FECEBCF" w:rsidR="008F6A89" w:rsidRDefault="38317865">
      <w:pPr>
        <w:pStyle w:val="FirstParagraph"/>
        <w:ind w:firstLine="720"/>
      </w:pPr>
      <w:commentRangeStart w:id="11"/>
      <w:r>
        <w:t>As an indicator of habitat structure, w</w:t>
      </w:r>
      <w:r w:rsidR="49B9E889">
        <w:t>e derived yearly basal area</w:t>
      </w:r>
      <w:commentRangeEnd w:id="11"/>
      <w:r>
        <w:rPr>
          <w:rStyle w:val="CommentReference"/>
        </w:rPr>
        <w:commentReference w:id="11"/>
      </w:r>
      <w:r w:rsidR="49B9E889">
        <w:t xml:space="preserve"> </w:t>
      </w:r>
      <w:r w:rsidR="6A24BE3F">
        <w:t>of two-needle pinyon</w:t>
      </w:r>
      <w:r w:rsidR="2999678E">
        <w:t xml:space="preserve"> from 2010 to </w:t>
      </w:r>
      <w:r w:rsidR="6E925A42">
        <w:t>2022</w:t>
      </w:r>
      <w:r w:rsidR="6A24BE3F">
        <w:t xml:space="preserve"> </w:t>
      </w:r>
      <w:r w:rsidR="49B9E889">
        <w:t xml:space="preserve">by </w:t>
      </w:r>
      <w:r w:rsidR="0EE6C68C">
        <w:t xml:space="preserve">combining basal </w:t>
      </w:r>
      <w:r w:rsidR="0651C8FD">
        <w:t>area</w:t>
      </w:r>
      <w:r w:rsidR="65E139C4">
        <w:t xml:space="preserve"> (BA)</w:t>
      </w:r>
      <w:r w:rsidR="0651C8FD">
        <w:t xml:space="preserve"> maps for this species </w:t>
      </w:r>
      <w:r w:rsidR="2C368314">
        <w:t>from the</w:t>
      </w:r>
      <w:r w:rsidR="0651C8FD">
        <w:t xml:space="preserve"> 2000s</w:t>
      </w:r>
      <w:r w:rsidR="1EE8BE88">
        <w:t xml:space="preserve"> decade</w:t>
      </w:r>
      <w:r w:rsidR="0651C8FD">
        <w:t xml:space="preserve"> </w:t>
      </w:r>
      <w:r w:rsidR="7553A4FB">
        <w:t xml:space="preserve">(Wilson et al. 2013) and </w:t>
      </w:r>
      <w:r w:rsidR="41701838">
        <w:t>annual maps of tree cover from</w:t>
      </w:r>
      <w:r w:rsidR="24C191E6">
        <w:t xml:space="preserve"> v.3.0 of</w:t>
      </w:r>
      <w:r w:rsidR="41701838">
        <w:t xml:space="preserve"> the Rangelands Analysis </w:t>
      </w:r>
      <w:r w:rsidR="41701838">
        <w:lastRenderedPageBreak/>
        <w:t>Platform</w:t>
      </w:r>
      <w:r w:rsidR="69426112">
        <w:t xml:space="preserve"> (RAP)</w:t>
      </w:r>
      <w:r w:rsidR="00DF2B03">
        <w:t xml:space="preserve"> </w:t>
      </w:r>
      <w:r w:rsidR="00DF2B03">
        <w:fldChar w:fldCharType="begin"/>
      </w:r>
      <w:r w:rsidR="00DF2B03">
        <w:instrText xml:space="preserve"> ADDIN ZOTERO_ITEM CSL_CITATION {"citationID":"jfneReVW","properties":{"formattedCitation":"(Allred et al., 2021)","plainCitation":"(Allred et al., 2021)","noteIndex":0},"citationItems":[{"id":2977,"uris":["http://zotero.org/users/6391447/items/48C8US5Q"],"itemData":{"id":2977,"type":"article-journal","abstract":"Abstract\n            \n              \n                \n                  Operational satellite remote sensing products are transforming rangeland management and science. Advancements in computation, data storage and processing have removed barriers that previously blocked or hindered the development and use of remote sensing products. When combined with local data and knowledge, remote sensing products can inform decision‐making at multiple scales.\n                \n                \n                  We used temporal convolutional networks to produce a fractional cover product that spans western United States rangelands. We trained the model with 52,012 on‐the‐ground vegetation plots to simultaneously predict fractional cover for annual forbs and grasses, perennial forbs and grasses, shrubs, trees, litter and bare ground. To assist interpretation and to provide a measure of prediction confidence, we also produced spatiotemporal‐explicit, pixel‐level estimates of uncertainty. We evaluated the model with 5,780 on‐the‐ground vegetation plots removed from the training data.\n                \n                \n                  Model evaluation averaged 6.3% mean absolute error and 9.6% root mean squared error. Evaluation with additional datasets that were not part of the training dataset, and that varied in geographic range, method of collection, scope and size, revealed similar metrics. Model performance increased across all functional groups compared to the previously produced fractional product.\n                \n                \n                  \n                    The advancements achieved with the new rangeland fractional cover product expand the management toolbox with improved predictions of fractional cover and pixel‐level uncertainty. The new product is available on the Rangeland Analysis Platform (\n                    https://rangelands.app/\n                    ), an interactive web application that tracks rangeland vegetation through time. This product is intended to be used alongside local on‐the‐ground data, expert knowledge, land use history, scientific literature and other sources of information when making interpretations. When being used to inform decision‐making, remotely sensed products should be evaluated and utilized according to the context of the decision and not be used in isolation.","container-title":"Methods in Ecology and Evolution","DOI":"10.1111/2041-210X.13564","ISSN":"2041-210X, 2041-210X","issue":"5","journalAbbreviation":"Methods Ecol Evol","language":"en","page":"841-849","source":"DOI.org (Crossref)","title":"Improving Landsat predictions of rangeland fractional cover with multitask learning and uncertainty","volume":"12","author":[{"family":"Allred","given":"Brady W."},{"family":"Bestelmeyer","given":"Brandon T."},{"family":"Boyd","given":"Chad S."},{"family":"Brown","given":"Christopher"},{"family":"Davies","given":"Kirk W."},{"family":"Duniway","given":"Michael C."},{"family":"Ellsworth","given":"Lisa M."},{"family":"Erickson","given":"Tyler A."},{"family":"Fuhlendorf","given":"Samuel D."},{"family":"Griffiths","given":"Timothy V."},{"family":"Jansen","given":"Vincent"},{"family":"Jones","given":"Matthew O."},{"family":"Karl","given":"Jason"},{"family":"Knight","given":"Anna"},{"family":"Maestas","given":"Jeremy D."},{"family":"Maynard","given":"Jonathan J."},{"family":"McCord","given":"Sarah E."},{"family":"Naugle","given":"David E."},{"family":"Starns","given":"Heath D."},{"family":"Twidwell","given":"Dirac"},{"family":"Uden","given":"Daniel R."}],"editor":[{"family":"Freckleton","given":"Robert"}],"issued":{"date-parts":[["2021",5]]}}}],"schema":"https://github.com/citation-style-language/schema/raw/master/csl-citation.json"} </w:instrText>
      </w:r>
      <w:r w:rsidR="00DF2B03">
        <w:fldChar w:fldCharType="separate"/>
      </w:r>
      <w:r w:rsidR="00DF2B03">
        <w:rPr>
          <w:noProof/>
        </w:rPr>
        <w:t>(Allred et al., 2021)</w:t>
      </w:r>
      <w:r w:rsidR="00DF2B03">
        <w:fldChar w:fldCharType="end"/>
      </w:r>
      <w:r w:rsidR="00DF2B03">
        <w:t>.</w:t>
      </w:r>
      <w:r w:rsidR="49B9E889">
        <w:t xml:space="preserve"> </w:t>
      </w:r>
      <w:r w:rsidR="33376391">
        <w:t xml:space="preserve">We </w:t>
      </w:r>
      <w:r w:rsidR="220BA848">
        <w:t xml:space="preserve">used </w:t>
      </w:r>
      <w:r w:rsidR="263ED7DA">
        <w:t xml:space="preserve">these </w:t>
      </w:r>
      <w:r w:rsidR="220BA848">
        <w:t>canopy cover maps to annualize the species BA maps, and to project them forward in time using</w:t>
      </w:r>
      <w:r w:rsidR="3A882BF3">
        <w:t xml:space="preserve"> several</w:t>
      </w:r>
      <w:r w:rsidR="220BA848">
        <w:t xml:space="preserve"> steps. First, we </w:t>
      </w:r>
      <w:r w:rsidR="0FABB77E">
        <w:t>aggregated RAP canopy cover in each year from a 30-m to a 250-m resolution</w:t>
      </w:r>
      <w:r w:rsidR="2066B97E">
        <w:t xml:space="preserve"> (using the mean value)</w:t>
      </w:r>
      <w:r w:rsidR="0FABB77E">
        <w:t xml:space="preserve"> to align with</w:t>
      </w:r>
      <w:r w:rsidR="6451A163">
        <w:t xml:space="preserve"> BA maps.</w:t>
      </w:r>
      <w:r w:rsidR="0FABB77E">
        <w:t xml:space="preserve"> </w:t>
      </w:r>
      <w:r w:rsidR="74D65892">
        <w:t>Next, for each 250-m</w:t>
      </w:r>
      <w:r w:rsidR="0FABB77E">
        <w:t xml:space="preserve"> </w:t>
      </w:r>
      <w:r w:rsidR="055E953A">
        <w:t>pixel, we divided</w:t>
      </w:r>
      <w:r w:rsidR="7FF6F3CE">
        <w:t xml:space="preserve"> pinyon</w:t>
      </w:r>
      <w:r w:rsidR="055E953A">
        <w:t xml:space="preserve"> basal area by </w:t>
      </w:r>
      <w:r w:rsidR="78FF64AF">
        <w:t>per</w:t>
      </w:r>
      <w:r w:rsidR="033B1713">
        <w:t>cent</w:t>
      </w:r>
      <w:r w:rsidR="055E953A">
        <w:t xml:space="preserve"> canopy cover </w:t>
      </w:r>
      <w:r w:rsidR="72908C70">
        <w:t xml:space="preserve">in that </w:t>
      </w:r>
      <w:r w:rsidR="28394B37">
        <w:t>same location</w:t>
      </w:r>
      <w:r w:rsidR="72908C70">
        <w:t xml:space="preserve"> </w:t>
      </w:r>
      <w:r w:rsidR="414CD4EC">
        <w:t xml:space="preserve">(i.e., the mean canopy cover from </w:t>
      </w:r>
      <w:r w:rsidR="72908C70">
        <w:t>2000</w:t>
      </w:r>
      <w:r w:rsidR="659EA5E7">
        <w:t xml:space="preserve"> to </w:t>
      </w:r>
      <w:r w:rsidR="72908C70">
        <w:t>2009</w:t>
      </w:r>
      <w:r w:rsidR="31AD4171">
        <w:t>)</w:t>
      </w:r>
      <w:r w:rsidR="72908C70">
        <w:t xml:space="preserve"> to calculate the amount</w:t>
      </w:r>
      <w:r w:rsidR="5E85B51C">
        <w:t xml:space="preserve"> of pinyon</w:t>
      </w:r>
      <w:r w:rsidR="72908C70">
        <w:t xml:space="preserve"> BA represented by each unit of canopy cover</w:t>
      </w:r>
      <w:r w:rsidR="1A08E77C">
        <w:t xml:space="preserve"> (i.e., an expansion fac</w:t>
      </w:r>
      <w:r w:rsidR="1615C51E">
        <w:t>tor)</w:t>
      </w:r>
      <w:r w:rsidR="688A4D6A">
        <w:t xml:space="preserve">. </w:t>
      </w:r>
      <w:r w:rsidR="7B9DC150">
        <w:t>Finally, we used th</w:t>
      </w:r>
      <w:r w:rsidR="0E3F13CD">
        <w:t>e</w:t>
      </w:r>
      <w:r w:rsidR="7B9DC150">
        <w:t>s</w:t>
      </w:r>
      <w:r w:rsidR="0E3F13CD">
        <w:t>e</w:t>
      </w:r>
      <w:r w:rsidR="7B9DC150">
        <w:t xml:space="preserve"> pixel-specific expansion factor</w:t>
      </w:r>
      <w:r w:rsidR="3614FFDB">
        <w:t>s</w:t>
      </w:r>
      <w:r w:rsidR="58024BE2">
        <w:t xml:space="preserve"> and differences between 2000-2009 cover and the cover of a focal year (e.g., 2010)</w:t>
      </w:r>
      <w:r w:rsidR="7B9DC150">
        <w:t xml:space="preserve"> to adjust pinyon BA up or down in each </w:t>
      </w:r>
      <w:r w:rsidR="14DAF68D">
        <w:t xml:space="preserve">pixel and </w:t>
      </w:r>
      <w:r w:rsidR="7B9DC150">
        <w:t>year from 2010 to 2022 based on remotely sensed estimates of canopy cover.</w:t>
      </w:r>
      <w:r w:rsidR="736080A4">
        <w:t xml:space="preserve"> </w:t>
      </w:r>
      <w:commentRangeStart w:id="12"/>
      <w:r w:rsidR="7B9DC150">
        <w:t xml:space="preserve">This </w:t>
      </w:r>
      <w:r w:rsidR="3589F104">
        <w:t xml:space="preserve">approach </w:t>
      </w:r>
      <w:r w:rsidR="7B9DC150">
        <w:t>allow</w:t>
      </w:r>
      <w:r w:rsidR="6954B276">
        <w:t>ed</w:t>
      </w:r>
      <w:r w:rsidR="7B9DC150">
        <w:t xml:space="preserve"> for both </w:t>
      </w:r>
      <w:r w:rsidR="35B4A7BA">
        <w:t>increases or decreases in pinyon BA</w:t>
      </w:r>
      <w:r w:rsidR="139E9E81">
        <w:t xml:space="preserve"> throughout our study period</w:t>
      </w:r>
      <w:r w:rsidR="35B4A7BA">
        <w:t xml:space="preserve"> based on patterns of ingrowth or mortality, respectively</w:t>
      </w:r>
      <w:r w:rsidR="0BA742EC">
        <w:t>, and qualitatively align</w:t>
      </w:r>
      <w:r w:rsidR="7AB497B3">
        <w:t>ed</w:t>
      </w:r>
      <w:r w:rsidR="0BA742EC">
        <w:t xml:space="preserve"> with patterns of forest change in different locations throughout the US Southwest</w:t>
      </w:r>
      <w:r w:rsidR="35B4A7BA">
        <w:t>.</w:t>
      </w:r>
      <w:r w:rsidR="256174FF">
        <w:t xml:space="preserve"> For this study, we</w:t>
      </w:r>
      <w:commentRangeEnd w:id="12"/>
      <w:r>
        <w:rPr>
          <w:rStyle w:val="CommentReference"/>
        </w:rPr>
        <w:commentReference w:id="12"/>
      </w:r>
      <w:r w:rsidR="256174FF">
        <w:t xml:space="preserve"> aggregated these 250-m grids to a 4-km resolution to align with other covariates.</w:t>
      </w:r>
    </w:p>
    <w:p w14:paraId="69C09BD1" w14:textId="41E9A753" w:rsidR="008F6A89" w:rsidRDefault="49B9E889" w:rsidP="5A83A434">
      <w:pPr>
        <w:pStyle w:val="FirstParagraph"/>
        <w:ind w:firstLine="720"/>
      </w:pPr>
      <w:r>
        <w:t>In addition to these covariates, we also gathered gridded climate data relevant to bird biology (physiology and relative food availability</w:t>
      </w:r>
      <w:r w:rsidR="79FC9A16">
        <w:t>)</w:t>
      </w:r>
      <w:r>
        <w:t xml:space="preserve"> </w:t>
      </w:r>
      <w:r>
        <w:fldChar w:fldCharType="begin"/>
      </w:r>
      <w:r>
        <w:instrText xml:space="preserve"> ADDIN ZOTERO_ITEM CSL_CITATION {"citationID":"hq0WvKdr","properties":{"formattedCitation":"(Ligon, 1978; McDermott &amp; DeGroote, 2016; Skagen &amp; Adams, 2012; Stotz &amp; Balda, 1995)","plainCitation":"(Ligon, 1978; McDermott &amp; DeGroote, 2016; Skagen &amp; Adams, 2012; Stotz &amp; Balda, 1995)","noteIndex":0},"citationItems":[{"id":2753,"uris":["http://zotero.org/groups/5634119/items/4RGGXF3K"],"itemData":{"id":2753,"type":"article-journal","abstract":"Pinon Jays (Gymnorhinus cyanoephalus) and pinon pine trees (Pinus edulis) interact in a mutualistic fashion, in that the jays provide a primary means of seed dissemination for pinon trees in the Southwest, while at irregular intervals the trees provide the jays with an abundant and highly nutritious source of food. Availability of pinon seeds permits both late winter (February) and late summer (August) breeding by the jays. Seeds and photoperiod interact synergistically to accelerate gonadal development in late winter. When seeds are abundant, considerable testis growth takes place in some Pinon Jay ♂ ♂ even before the winter solstice. This relationship was investigated experimentally. Use of a specific food (pinon seeds) as a proximate timer for breeding, the ability of individual jays to breed in spring, molt, and breed again in August without an intervening period of gonadal refractoriness, and testicular development in early December, when day length approaches its minimum, are extraordinary characteristics among north—temperate—zone passerine birds. The synchrony of seed production by pinon pines over large geographic areas is interpreted as an evolved mechanism that (1) overwhelms invertebrate seed and cone predators, and (2) increases the numbers of seeds per tree that will be cached by Pinon Jays and other vertebrates. Caching sites of Pinon Jays are often at locations especially conducive to germination and growth of pinon pine seedlings.","container-title":"Ecological Monographs","DOI":"10.2307/2937295","ISSN":"0012-9615, 1557-7015","issue":"2","journalAbbreviation":"Ecological Monographs","language":"en","license":"http://onlinelibrary.wiley.com/termsAndConditions#vor","page":"111-126","source":"DOI.org (Crossref)","title":"Reproductive Interdependence of Pinon Jays and Pinon Pines","volume":"48","author":[{"family":"Ligon","given":"J. David"}],"issued":{"date-parts":[["1978",3]]}}},{"id":2790,"uris":["http://zotero.org/groups/5634119/items/WUFX4TPL"],"itemData":{"id":2790,"type":"article-journal","abstract":"Abstract\n            Climate change is influencing bird phenology worldwide, but we still lack information on how many species are responding over long temporal periods. We assessed how climate affected passerine reproductive timing and productivity at a constant effort mist‐netting station in western Pennsylvania using a model comparison approach. Several lines of evidence point to the sensitivity of 21 breeding passerines to climate change over five decades. The trends for temperature and precipitation over 53 years were slightly positive due to intraseasonal variation, with the greatest temperature increases and precipitation declines in early spring. Regardless of broodedness, migration distance, or breeding season, 13 species hatched young earlier over time with most advancing &gt;3 days per decade. Warm springs were associated with earlier captures of juveniles for 14 species, ranging from 1‐ to 3‐day advancement for every 1 °C increase. This timing was less likely to be influenced by spring precipitation; nevertheless, higher rainfall was usually associated with later appearance of juveniles and breeding condition in females. Temperature and precipitation were positively related to productivity for seven and eleven species, respectively, with negative relations evident for six and eight species. We found that birds fledged young earlier with increasing spring temperatures, potentially benefiting some multibrooded species. Indeed, some extended the duration of breeding in these warm years. Yet, a few species fledged fewer juveniles in warmer and wetter seasons, indicating that expected future increases could be detrimental to locally breeding populations. Although there were no clear relationships between life history traits and breeding phenology, species‐specific responses to climate found in our study provide novel insights into phenological flexibility in songbirds. Our research underscores the value of long‐term monitoring studies and the importance of continuing constant effort sampling in the face of climate change.","container-title":"Global Change Biology","DOI":"10.1111/gcb.13363","ISSN":"1354-1013, 1365-2486","issue":"10","journalAbbreviation":"Global Change Biology","language":"en","license":"http://onlinelibrary.wiley.com/termsAndConditions#vor","page":"3304-3319","source":"DOI.org (Crossref)","title":"Long‐term climate impacts on breeding bird phenology in Pennsylvania, &lt;span style=\"font-variant:small-caps;\"&gt;USA&lt;/span&gt;","title-short":"Long‐term climate impacts on breeding bird phenology in Pennsylvania, &lt;span style=\"font-variant","volume":"22","author":[{"family":"McDermott","given":"Molly E."},{"family":"DeGroote","given":"Lucas W."}],"issued":{"date-parts":[["2016",10]]}}},{"id":2878,"uris":["http://zotero.org/groups/5634119/items/RZAB57RM"],"itemData":{"id":2878,"type":"article-journal","abstract":"The influence of recent climate change on the world's biota has manifested broadly, resulting in latitudinal range shifts, advancing dates of arrival of migrants and onset of breeding, and altered community relationships. Climate change elevates conservation concerns worldwide because it will likely exacerbate a broad range of identified threats to animal populations. In the past few decades, grassland birds have declined faster than other North American avifauna, largely due to habitat threats such as the intensification of agriculture. We examine the effects of local climatic variations on the breeding performance of a bird endemic to the shortgrass prairie, the Lark Bunting (Calamospiza melanocorys) and discuss the implications of our findings relative to future climate predictions. Clutch size, nest survival, and productivity all positively covaried with seasonal precipitation, yet relatively intense daily precipitation events temporarily depressed daily survival of nests. Nest survival was positively related to average temperatures during the breeding season. Declining summer precipitation may reduce the likelihood that Lark Buntings can maintain stable breeding populations in eastern Colorado although average temperature increases of up to 3°C (within the range of this study) may ameliorate declines in survival expected with drier conditions. Historic climate variability in the Great Plains selects for a degree of vagility and opportunism rather than strong site fidelity and specific adaptation to local environments. These traits may lead to northerly shifts in distribution if climatic and habitat conditions become less favorable in the drying southern regions of the Great Plains. Distributional shifts in Lark Buntings could be constrained by future changes in land use, agricultural practices, or vegetative communities that result in further loss of shortgrass prairie habitats.","container-title":"Ecological Applications","DOI":"10.1890/11-0291.1","ISSN":"1051-0761, 1939-5582","issue":"4","language":"en","license":"http://onlinelibrary.wiley.com/termsAndConditions#vor","note":"publisher: Wiley","page":"1131-1145","source":"Crossref","title":"Weather effects on avian breeding performance and implications of climate change","volume":"22","author":[{"family":"Skagen","given":"Susan K."},{"family":"Adams","given":"Amy A. Yackel"}],"issued":{"date-parts":[["2012",6]]}}},{"id":2860,"uris":["http://zotero.org/groups/5634119/items/MRSH59Y5"],"itemData":{"id":2860,"type":"article-journal","container-title":"The Southwestern Naturalist","issue":"2","page":"180-184","title":"Cache and recovery behavior of wild pinyon jays in northern Arizona","volume":"40","author":[{"family":"Stotz","given":"Nancy G."},{"family":"Balda","given":"Russell P."}],"issued":{"date-parts":[["1995"]]}}}],"schema":"https://github.com/citation-style-language/schema/raw/master/csl-citation.json"} </w:instrText>
      </w:r>
      <w:r>
        <w:fldChar w:fldCharType="separate"/>
      </w:r>
      <w:r w:rsidR="410FCE3C" w:rsidRPr="10F02EB4">
        <w:rPr>
          <w:noProof/>
        </w:rPr>
        <w:t>(Ligon, 1978; McDermott &amp; DeGroote, 2016; Skagen &amp; Adams, 2012; Stotz &amp; Balda, 1995)</w:t>
      </w:r>
      <w:r>
        <w:fldChar w:fldCharType="end"/>
      </w:r>
      <w:r>
        <w:t xml:space="preserve"> from PRISM</w:t>
      </w:r>
      <w:r w:rsidR="00DF2B03">
        <w:t xml:space="preserve"> </w:t>
      </w:r>
      <w:r w:rsidR="00DF2B03">
        <w:fldChar w:fldCharType="begin"/>
      </w:r>
      <w:r w:rsidR="00DF2B03">
        <w:instrText xml:space="preserve"> ADDIN ZOTERO_ITEM CSL_CITATION {"citationID":"1YaO9iYR","properties":{"formattedCitation":"(PRISM Climate Group, 2024)","plainCitation":"(PRISM Climate Group, 2024)","noteIndex":0},"citationItems":[{"id":2976,"uris":["http://zotero.org/users/6391447/items/ZQXAQBNC"],"itemData":{"id":2976,"type":"software","event-place":"Oregon State University","publisher-place":"Oregon State University","title":"PRISM","URL":"https://prism.oregonstate.edu","author":[{"literal":"PRISM Climate Group"}],"accessed":{"date-parts":[["2024",8,1]]},"issued":{"date-parts":[["2024"]]}}}],"schema":"https://github.com/citation-style-language/schema/raw/master/csl-citation.json"} </w:instrText>
      </w:r>
      <w:r w:rsidR="00DF2B03">
        <w:fldChar w:fldCharType="separate"/>
      </w:r>
      <w:r w:rsidR="00DF2B03">
        <w:rPr>
          <w:noProof/>
        </w:rPr>
        <w:t>(PRISM Climate Group, 2024)</w:t>
      </w:r>
      <w:r w:rsidR="00DF2B03">
        <w:fldChar w:fldCharType="end"/>
      </w:r>
      <w:r w:rsidR="35CBAC4D">
        <w:t>. As time-varying covariates, we</w:t>
      </w:r>
      <w:r>
        <w:t xml:space="preserve"> </w:t>
      </w:r>
      <w:r w:rsidR="52C5BE30">
        <w:t>obtained</w:t>
      </w:r>
      <w:r>
        <w:t xml:space="preserve"> monthly maximum temperature</w:t>
      </w:r>
      <w:r w:rsidR="28A051BE">
        <w:t xml:space="preserve"> and</w:t>
      </w:r>
      <w:r>
        <w:t xml:space="preserve"> monthly </w:t>
      </w:r>
      <w:r w:rsidR="07C0FDA9">
        <w:t>total</w:t>
      </w:r>
      <w:r>
        <w:t xml:space="preserve"> precipitation</w:t>
      </w:r>
      <w:r w:rsidR="00DF2B03">
        <w:t xml:space="preserve">, which we then compiled into seasonal variables based on important periods in the jay life cycle </w:t>
      </w:r>
      <w:r w:rsidR="00DF2B03">
        <w:fldChar w:fldCharType="begin"/>
      </w:r>
      <w:r w:rsidR="00DF2B03">
        <w:instrText xml:space="preserve"> ADDIN ZOTERO_ITEM CSL_CITATION {"citationID":"1cMIJv9N","properties":{"formattedCitation":"(Wiggins, 2005)","plainCitation":"(Wiggins, 2005)","noteIndex":0},"citationItems":[{"id":2357,"uris":["http://zotero.org/groups/5634119/items/HNHDJ28B"],"itemData":{"id":2357,"type":"report","publisher":"USDA Forest Service, Rocky Mountain Region","title":"Pinyon Jay (Gymnorhinus cyanocephalus): a technical conservation assessment.","URL":"http://www.fs.fed.us/r2/projects/scp/assessments/pinyonjay.pdf","author":[{"family":"Wiggins","given":"D. A."}],"issued":{"date-parts":[["2005"]]}}}],"schema":"https://github.com/citation-style-language/schema/raw/master/csl-citation.json"} </w:instrText>
      </w:r>
      <w:r w:rsidR="00DF2B03">
        <w:fldChar w:fldCharType="separate"/>
      </w:r>
      <w:r w:rsidR="00DF2B03">
        <w:rPr>
          <w:noProof/>
        </w:rPr>
        <w:t>(Wiggins, 2005)</w:t>
      </w:r>
      <w:r w:rsidR="00DF2B03">
        <w:fldChar w:fldCharType="end"/>
      </w:r>
      <w:r w:rsidR="30F0D39A">
        <w:t xml:space="preserve">. To represent spatial gradients in </w:t>
      </w:r>
      <w:r w:rsidR="0CC2A338">
        <w:t>precipitation seasonality, which affects plant communities and resource availability</w:t>
      </w:r>
      <w:r w:rsidR="30F0D39A">
        <w:t xml:space="preserve">, we also calculated </w:t>
      </w:r>
      <w:r>
        <w:t>the percent</w:t>
      </w:r>
      <w:r w:rsidR="2B0F5BA8">
        <w:t>age</w:t>
      </w:r>
      <w:r>
        <w:t xml:space="preserve"> of the 30-year monthly normal precipitation falling in the months of July-September </w:t>
      </w:r>
      <w:r w:rsidR="57624310">
        <w:t xml:space="preserve">(i.e., the </w:t>
      </w:r>
      <w:r w:rsidR="66362F58">
        <w:t>North American</w:t>
      </w:r>
      <w:r>
        <w:t xml:space="preserve"> monsoon</w:t>
      </w:r>
      <w:r w:rsidR="009F4C17">
        <w:t>, referred to as “monsoonality”</w:t>
      </w:r>
      <w:r w:rsidR="00DF2B03">
        <w:t xml:space="preserve"> </w:t>
      </w:r>
      <w:r w:rsidR="00DF2B03">
        <w:fldChar w:fldCharType="begin"/>
      </w:r>
      <w:r w:rsidR="00DF2B03">
        <w:instrText xml:space="preserve"> ADDIN ZOTERO_ITEM CSL_CITATION {"citationID":"JmzjqNzJ","properties":{"formattedCitation":"(Adams &amp; Comrie, 1997)","plainCitation":"(Adams &amp; Comrie, 1997)","noteIndex":0},"citationItems":[{"id":2979,"uris":["http://zotero.org/users/6391447/items/MHR2P47Z"],"itemData":{"id":2979,"type":"article-journal","container-title":"Bulletin of the American Meteorological Society","DOI":"10.1175/1520-0477(1997)078&lt;2197:TNAM&gt;2.0.CO;2","ISSN":"0003-0007, 1520-0477","issue":"10","journalAbbreviation":"Bull. Amer. Meteor. Soc.","language":"en","page":"2197-2213","source":"DOI.org (Crossref)","title":"The North American Monsoon","volume":"78","author":[{"family":"Adams","given":"David K."},{"family":"Comrie","given":"Andrew C."}],"issued":{"date-parts":[["1997",10]]}}}],"schema":"https://github.com/citation-style-language/schema/raw/master/csl-citation.json"} </w:instrText>
      </w:r>
      <w:r w:rsidR="00DF2B03">
        <w:fldChar w:fldCharType="separate"/>
      </w:r>
      <w:r w:rsidR="00DF2B03">
        <w:rPr>
          <w:noProof/>
        </w:rPr>
        <w:t>(Adams &amp; Comrie, 1997)</w:t>
      </w:r>
      <w:r w:rsidR="00DF2B03">
        <w:fldChar w:fldCharType="end"/>
      </w:r>
      <w:r w:rsidR="00DF2B03">
        <w:t xml:space="preserve">. </w:t>
      </w:r>
    </w:p>
    <w:p w14:paraId="1D269FB5" w14:textId="77777777" w:rsidR="008F6A89" w:rsidRDefault="00000000">
      <w:pPr>
        <w:pStyle w:val="Heading3"/>
      </w:pPr>
      <w:bookmarkStart w:id="13" w:name="ebird-filtering-and-subsampling"/>
      <w:bookmarkEnd w:id="10"/>
      <w:r>
        <w:lastRenderedPageBreak/>
        <w:t>2.3 eBird filtering and subsampling</w:t>
      </w:r>
    </w:p>
    <w:p w14:paraId="6DC9A31D" w14:textId="0678FBC2" w:rsidR="008F6A89" w:rsidRDefault="49B9E889">
      <w:pPr>
        <w:pStyle w:val="FirstParagraph"/>
      </w:pPr>
      <w:r>
        <w:t>To estimate pinyon jay abundance in relation to recent (2010-2022) seed abundance, we used data from eBird</w:t>
      </w:r>
      <w:r w:rsidR="35AE7912">
        <w:t xml:space="preserve"> </w:t>
      </w:r>
      <w:r>
        <w:fldChar w:fldCharType="begin"/>
      </w:r>
      <w:r>
        <w:instrText xml:space="preserve"> ADDIN ZOTERO_ITEM CSL_CITATION {"citationID":"IgecEyH7","properties":{"formattedCitation":"(Sullivan et al., 2009)","plainCitation":"(Sullivan et al., 2009)","noteIndex":0},"citationItems":[{"id":2330,"uris":["http://zotero.org/groups/4936574/items/WEAIMI7B"],"itemData":{"id":2330,"type":"article-journal","container-title":"Biological Conservation","DOI":"10.1016/j.biocon.2009.05.006","ISSN":"00063207","issue":"10","journalAbbreviation":"Biological Conservation","language":"en","license":"https://www.elsevier.com/tdm/userlicense/1.0/","page":"2282-2292","source":"DOI.org (Crossref)","title":"eBird: A citizen-based bird observation network in the biological sciences","title-short":"eBird","volume":"142","author":[{"family":"Sullivan","given":"Brian L."},{"family":"Wood","given":"Christopher L."},{"family":"Iliff","given":"Marshall J."},{"family":"Bonney","given":"Rick E."},{"family":"Fink","given":"Daniel"},{"family":"Kelling","given":"Steve"}],"issued":{"date-parts":[["2009",10]]}}}],"schema":"https://github.com/citation-style-language/schema/raw/master/csl-citation.json"} </w:instrText>
      </w:r>
      <w:r>
        <w:fldChar w:fldCharType="separate"/>
      </w:r>
      <w:r w:rsidR="35AE7912" w:rsidRPr="5A83A434">
        <w:rPr>
          <w:noProof/>
        </w:rPr>
        <w:t>(Sullivan et al., 2009)</w:t>
      </w:r>
      <w:r>
        <w:fldChar w:fldCharType="end"/>
      </w:r>
      <w:r>
        <w:t xml:space="preserve"> from the four states of interest (Arizona, Colorado, New Mexico, and Utah) and further filtered pinyon jay observations to areas with pinyon pine vegetation cover </w:t>
      </w:r>
      <w:r w:rsidR="587C263A">
        <w:t>in the 2000s</w:t>
      </w:r>
      <w:r w:rsidR="00052BC7">
        <w:t xml:space="preserve"> </w:t>
      </w:r>
      <w:r w:rsidR="00052BC7">
        <w:fldChar w:fldCharType="begin"/>
      </w:r>
      <w:r w:rsidR="00052BC7">
        <w:instrText xml:space="preserve"> ADDIN ZOTERO_ITEM CSL_CITATION {"citationID":"SfHl3NX0","properties":{"formattedCitation":"(Wilson et al., 2013)","plainCitation":"(Wilson et al., 2013)","noteIndex":0},"citationItems":[{"id":2974,"uris":["http://zotero.org/groups/5634119/items/C475LZBY"],"itemData":{"id":2974,"type":"dataset","DOI":"10.2737/RDS-2013-0013","language":"en","publisher":"Forest Service Research Data Archive","source":"DOI.org (Crossref)","title":"Live tree species basal area of the contiguous United States (2000-2009)","URL":"https://www.fs.usda.gov/rds/archive/Catalog/RDS-2013-0013","author":[{"family":"Wilson","given":"Barry T."},{"family":"Lister","given":"Andrew J."},{"family":"Riemann","given":"Rachel I."},{"family":"Griffith","given":"Douglas M."}],"accessed":{"date-parts":[["2025",8,18]]},"issued":{"date-parts":[["2013"]]}}}],"schema":"https://github.com/citation-style-language/schema/raw/master/csl-citation.json"} </w:instrText>
      </w:r>
      <w:r w:rsidR="00052BC7">
        <w:fldChar w:fldCharType="separate"/>
      </w:r>
      <w:r w:rsidR="00052BC7">
        <w:rPr>
          <w:noProof/>
        </w:rPr>
        <w:t>(Wilson et al., 2013)</w:t>
      </w:r>
      <w:r w:rsidR="00052BC7">
        <w:fldChar w:fldCharType="end"/>
      </w:r>
      <w:r>
        <w:t xml:space="preserve">. We chose to use eBird data because it has broad spatial and temporal coverage within the region of interest and equivalent spatial scale to compare bird abundance and our covariates (4x4 km grid cells). This covariate </w:t>
      </w:r>
      <w:r w:rsidR="1616AD3D">
        <w:t>resolution</w:t>
      </w:r>
      <w:r>
        <w:t xml:space="preserve"> is too fine for many long-term, broad-scale standardized monitoring protocols, such as Breeding Bird Survey (</w:t>
      </w:r>
      <w:r w:rsidR="57425503">
        <w:t xml:space="preserve">ca. </w:t>
      </w:r>
      <w:r w:rsidR="64804D53">
        <w:t>40-km</w:t>
      </w:r>
      <w:r>
        <w:t xml:space="preserve"> transects;</w:t>
      </w:r>
      <w:r w:rsidR="419DCCCC">
        <w:t xml:space="preserve"> </w:t>
      </w:r>
      <w:r>
        <w:fldChar w:fldCharType="begin"/>
      </w:r>
      <w:r>
        <w:instrText xml:space="preserve"> ADDIN ZOTERO_ITEM CSL_CITATION {"citationID":"OYvN6XkU","properties":{"formattedCitation":"(Sauer et al., 2020)","plainCitation":"(Sauer et al., 2020)","noteIndex":0},"citationItems":[{"id":2879,"uris":["http://zotero.org/groups/5634119/items/GAE59PKD"],"itemData":{"id":2879,"type":"dataset","publisher":"US Geological Survey: Patuxent, MD, USA","title":"The North American breeding bird survey, analysis results 1966-2019: US Geological Survey data release","author":[{"family":"Sauer","given":"JR"},{"family":"Link","given":"WA"},{"family":"Hines","given":"JE"}],"issued":{"date-parts":[["2020"]]}}}],"schema":"https://github.com/citation-style-language/schema/raw/master/csl-citation.json"} </w:instrText>
      </w:r>
      <w:r>
        <w:fldChar w:fldCharType="separate"/>
      </w:r>
      <w:r w:rsidR="419DCCCC" w:rsidRPr="5A83A434">
        <w:rPr>
          <w:noProof/>
        </w:rPr>
        <w:t>(Sauer et al., 2020)</w:t>
      </w:r>
      <w:r>
        <w:fldChar w:fldCharType="end"/>
      </w:r>
      <w:r>
        <w:t>.</w:t>
      </w:r>
    </w:p>
    <w:p w14:paraId="6B8390DC" w14:textId="33D49624" w:rsidR="008F6A89" w:rsidRDefault="49B9E889" w:rsidP="00052BC7">
      <w:pPr>
        <w:pStyle w:val="BodyText"/>
        <w:ind w:firstLine="720"/>
      </w:pPr>
      <w:r>
        <w:t xml:space="preserve">eBird is participatory science data, meaning that members from the public collect bird observation data and contribute to the eBird database. Thus, these data often require subsetting </w:t>
      </w:r>
      <w:r w:rsidR="4E634468">
        <w:t>to ensure spatial and temporal consistency</w:t>
      </w:r>
      <w:r>
        <w:t>. We followed filtering methods from the eBird database curators and similar studies</w:t>
      </w:r>
      <w:r w:rsidR="419DCCCC">
        <w:t xml:space="preserve"> </w:t>
      </w:r>
      <w:r>
        <w:fldChar w:fldCharType="begin"/>
      </w:r>
      <w:r>
        <w:instrText xml:space="preserve"> ADDIN ZOTERO_ITEM CSL_CITATION {"citationID":"H6WJr4kD","properties":{"formattedCitation":"(Robinson et al., 2018; Strimas-Mackey et al., 2023)","plainCitation":"(Robinson et al., 2018; Strimas-Mackey et al., 2023)","noteIndex":0},"citationItems":[{"id":2758,"uris":["http://zotero.org/groups/5634119/items/FSB6BQ9W"],"itemData":{"id":2758,"type":"article-journal","container-title":"Biological Conservation","DOI":"10.1016/j.biocon.2018.10.002","ISSN":"00063207","journalAbbreviation":"Biological Conservation","language":"en","page":"361-368","source":"DOI.org (Crossref)","title":"Using citizen science data in integrated population models to inform conservation","volume":"227","author":[{"family":"Robinson","given":"Orin J."},{"family":"Ruiz-Gutierrez","given":"Viviana"},{"family":"Fink","given":"Daniel"},{"family":"Meese","given":"Robert J."},{"family":"Holyoak","given":"Marcel"},{"family":"Cooch","given":"Evan G."}],"issued":{"date-parts":[["2018",11]]}}},{"id":2880,"uris":["http://zotero.org/groups/5634119/items/CGBBLBHT"],"itemData":{"id":2880,"type":"book","event-place":"Ithaca, New York","publisher":"Cornell Lab of Ornithology","publisher-place":"Ithaca, New York","title":"Best Practices for Using eBird Data","URL":"https://doi.org/10.5281/zenodo.3620739","volume":"Version 2.0","author":[{"family":"Strimas-Mackey","given":"M"},{"family":"Hochachka","given":"W.M."},{"family":"Ruiz-Gutierrez","given":"V"},{"family":"Robinson","given":"O.J."},{"family":"Miller","given":"E.T."},{"family":"Auer","given":"T"},{"family":"Kelling","given":"S"},{"family":"Fink","given":"D"},{"family":"Johnston","given":"A"}],"issued":{"date-parts":[["2023"]]}}}],"schema":"https://github.com/citation-style-language/schema/raw/master/csl-citation.json"} </w:instrText>
      </w:r>
      <w:r>
        <w:fldChar w:fldCharType="separate"/>
      </w:r>
      <w:r w:rsidR="419DCCCC" w:rsidRPr="10F02EB4">
        <w:rPr>
          <w:noProof/>
        </w:rPr>
        <w:t>(Robinson et al., 2018; Strimas-Mackey et al., 2023)</w:t>
      </w:r>
      <w:r>
        <w:fldChar w:fldCharType="end"/>
      </w:r>
      <w:r>
        <w:t>. Specifically, we selected data that represented only complete checklists (e.g., observers recorded all birds of all species observed, not just individuals of species of interest). We selected checklists from the nesting season (late February to early May;</w:t>
      </w:r>
      <w:r w:rsidR="419DCCCC">
        <w:t xml:space="preserve"> </w:t>
      </w:r>
      <w:r>
        <w:fldChar w:fldCharType="begin"/>
      </w:r>
      <w:r>
        <w:instrText xml:space="preserve"> ADDIN ZOTERO_ITEM CSL_CITATION {"citationID":"6uWkVYgU","properties":{"formattedCitation":"(Wiggins, 2005)","plainCitation":"(Wiggins, 2005)","noteIndex":0},"citationItems":[{"id":2357,"uris":["http://zotero.org/groups/5634119/items/HNHDJ28B"],"itemData":{"id":2357,"type":"report","publisher":"USDA Forest Service, Rocky Mountain Region","title":"Pinyon Jay (Gymnorhinus cyanocephalus): a technical conservation assessment.","URL":"http://www.fs.fed.us/r2/projects/scp/assessments/pinyonjay.pdf","author":[{"family":"Wiggins","given":"D. A."}],"issued":{"date-parts":[["2005"]]}}}],"schema":"https://github.com/citation-style-language/schema/raw/master/csl-citation.json"} </w:instrText>
      </w:r>
      <w:r>
        <w:fldChar w:fldCharType="separate"/>
      </w:r>
      <w:r w:rsidR="419DCCCC" w:rsidRPr="10F02EB4">
        <w:rPr>
          <w:noProof/>
        </w:rPr>
        <w:t>(Wiggins, 2005)</w:t>
      </w:r>
      <w:r>
        <w:fldChar w:fldCharType="end"/>
      </w:r>
      <w:r>
        <w:t xml:space="preserve"> and included only observations of “stationary” and “traveling” protocols. We considered only the nesting season because this is a time of year in </w:t>
      </w:r>
      <w:r w:rsidR="00052BC7">
        <w:t xml:space="preserve">which birds are more stationary, so drivers of local bird abundance are easier to evaluate </w:t>
      </w:r>
      <w:r>
        <w:fldChar w:fldCharType="begin"/>
      </w:r>
      <w:r>
        <w:instrText xml:space="preserve"> ADDIN ZOTERO_ITEM CSL_CITATION {"citationID":"xcN4DEcr","properties":{"formattedCitation":"(Ligon, 1978; Wiggins, 2005)","plainCitation":"(Ligon, 1978; Wiggins, 2005)","noteIndex":0},"citationItems":[{"id":2753,"uris":["http://zotero.org/groups/5634119/items/4RGGXF3K"],"itemData":{"id":2753,"type":"article-journal","abstract":"Pinon Jays (Gymnorhinus cyanoephalus) and pinon pine trees (Pinus edulis) interact in a mutualistic fashion, in that the jays provide a primary means of seed dissemination for pinon trees in the Southwest, while at irregular intervals the trees provide the jays with an abundant and highly nutritious source of food. Availability of pinon seeds permits both late winter (February) and late summer (August) breeding by the jays. Seeds and photoperiod interact synergistically to accelerate gonadal development in late winter. When seeds are abundant, considerable testis growth takes place in some Pinon Jay ♂ ♂ even before the winter solstice. This relationship was investigated experimentally. Use of a specific food (pinon seeds) as a proximate timer for breeding, the ability of individual jays to breed in spring, molt, and breed again in August without an intervening period of gonadal refractoriness, and testicular development in early December, when day length approaches its minimum, are extraordinary characteristics among north—temperate—zone passerine birds. The synchrony of seed production by pinon pines over large geographic areas is interpreted as an evolved mechanism that (1) overwhelms invertebrate seed and cone predators, and (2) increases the numbers of seeds per tree that will be cached by Pinon Jays and other vertebrates. Caching sites of Pinon Jays are often at locations especially conducive to germination and growth of pinon pine seedlings.","container-title":"Ecological Monographs","DOI":"10.2307/2937295","ISSN":"0012-9615, 1557-7015","issue":"2","journalAbbreviation":"Ecological Monographs","language":"en","license":"http://onlinelibrary.wiley.com/termsAndConditions#vor","page":"111-126","source":"DOI.org (Crossref)","title":"Reproductive Interdependence of Pinon Jays and Pinon Pines","volume":"48","author":[{"family":"Ligon","given":"J. David"}],"issued":{"date-parts":[["1978",3]]}}},{"id":2357,"uris":["http://zotero.org/groups/5634119/items/HNHDJ28B"],"itemData":{"id":2357,"type":"report","publisher":"USDA Forest Service, Rocky Mountain Region","title":"Pinyon Jay (Gymnorhinus cyanocephalus): a technical conservation assessment.","URL":"http://www.fs.fed.us/r2/projects/scp/assessments/pinyonjay.pdf","author":[{"family":"Wiggins","given":"D. A."}],"issued":{"date-parts":[["2005"]]}}}],"schema":"https://github.com/citation-style-language/schema/raw/master/csl-citation.json"} </w:instrText>
      </w:r>
      <w:r>
        <w:fldChar w:fldCharType="separate"/>
      </w:r>
      <w:r w:rsidR="419DCCCC" w:rsidRPr="10F02EB4">
        <w:rPr>
          <w:noProof/>
        </w:rPr>
        <w:t>(Ligon, 1978; Wiggins, 2005)</w:t>
      </w:r>
      <w:r>
        <w:fldChar w:fldCharType="end"/>
      </w:r>
      <w:r>
        <w:t>. We only included checklists that were collected in under five hours, 0-5 km in distance, and with ten or fewer observers.</w:t>
      </w:r>
    </w:p>
    <w:p w14:paraId="31593565" w14:textId="6E5CFD4F" w:rsidR="008F6A89" w:rsidRDefault="49B9E889" w:rsidP="005D7B77">
      <w:pPr>
        <w:pStyle w:val="BodyText"/>
        <w:ind w:firstLine="720"/>
      </w:pPr>
      <w:r>
        <w:t xml:space="preserve">eBird </w:t>
      </w:r>
      <w:r w:rsidR="2C53BDED">
        <w:t xml:space="preserve">collates </w:t>
      </w:r>
      <w:r w:rsidR="00052BC7">
        <w:t>participatory</w:t>
      </w:r>
      <w:r w:rsidR="2C53BDED">
        <w:t xml:space="preserve"> science data which are </w:t>
      </w:r>
      <w:r>
        <w:t>not collected under standardized protocols with systematic sampling designs</w:t>
      </w:r>
      <w:r w:rsidR="13B92F72">
        <w:t>. As such, they do not explicitly control</w:t>
      </w:r>
      <w:r>
        <w:t xml:space="preserve"> for sampling location, effort,</w:t>
      </w:r>
      <w:r w:rsidR="2299E4CD">
        <w:t xml:space="preserve"> or survey </w:t>
      </w:r>
      <w:r>
        <w:t xml:space="preserve">methods, so we also performed </w:t>
      </w:r>
      <w:r w:rsidR="6197D69E">
        <w:t>data</w:t>
      </w:r>
      <w:r w:rsidR="419DCCCC">
        <w:t xml:space="preserve"> </w:t>
      </w:r>
      <w:r w:rsidR="6197D69E">
        <w:t xml:space="preserve">cleaning and subsampling steps </w:t>
      </w:r>
      <w:r w:rsidR="6197D69E">
        <w:lastRenderedPageBreak/>
        <w:t xml:space="preserve">following standard practices </w:t>
      </w:r>
      <w:r w:rsidR="009C1F31">
        <w:fldChar w:fldCharType="begin"/>
      </w:r>
      <w:r w:rsidR="009C1F31">
        <w:instrText xml:space="preserve"> ADDIN ZOTERO_ITEM CSL_CITATION {"citationID":"QiVrPmaA","properties":{"formattedCitation":"(Robinson et al., 2018)","plainCitation":"(Robinson et al., 2018)","noteIndex":0},"citationItems":[{"id":2758,"uris":["http://zotero.org/groups/5634119/items/FSB6BQ9W"],"itemData":{"id":2758,"type":"article-journal","container-title":"Biological Conservation","DOI":"10.1016/j.biocon.2018.10.002","ISSN":"00063207","journalAbbreviation":"Biological Conservation","language":"en","page":"361-368","source":"DOI.org (Crossref)","title":"Using citizen science data in integrated population models to inform conservation","volume":"227","author":[{"family":"Robinson","given":"Orin J."},{"family":"Ruiz-Gutierrez","given":"Viviana"},{"family":"Fink","given":"Daniel"},{"family":"Meese","given":"Robert J."},{"family":"Holyoak","given":"Marcel"},{"family":"Cooch","given":"Evan G."}],"issued":{"date-parts":[["2018",11]]}}}],"schema":"https://github.com/citation-style-language/schema/raw/master/csl-citation.json"} </w:instrText>
      </w:r>
      <w:r w:rsidR="009C1F31">
        <w:fldChar w:fldCharType="separate"/>
      </w:r>
      <w:r w:rsidR="419DCCCC">
        <w:rPr>
          <w:noProof/>
        </w:rPr>
        <w:t>(Robinson et al., 2018)</w:t>
      </w:r>
      <w:r w:rsidR="009C1F31">
        <w:fldChar w:fldCharType="end"/>
      </w:r>
      <w:r>
        <w:t xml:space="preserve">. To do this, we divided the landscape into 4x4 km grid cells to match the spatial scale of the covariates. We spatially sub-sampled eBird observations to include a set of checklists in each grid cell that represented relatively equal sampling effort across time and space. </w:t>
      </w:r>
      <w:r w:rsidR="005D7B77">
        <w:t xml:space="preserve">First, to remove spatial bias, </w:t>
      </w:r>
      <w:r>
        <w:t>we subsampled</w:t>
      </w:r>
      <w:r w:rsidR="005D7B77">
        <w:t xml:space="preserve"> the number of checklists per 4x4 km grid cell based on the year with the fewest checklists per grid cell </w:t>
      </w:r>
      <w:r>
        <w:t>(</w:t>
      </w:r>
      <w:r w:rsidR="005D7B77">
        <w:t xml:space="preserve">2010; </w:t>
      </w:r>
      <m:oMath>
        <m:r>
          <m:rPr>
            <m:sty m:val="p"/>
          </m:rPr>
          <w:rPr>
            <w:rFonts w:ascii="Cambria Math" w:hAnsi="Cambria Math"/>
          </w:rPr>
          <m:t>≤</m:t>
        </m:r>
      </m:oMath>
      <w:r>
        <w:t>4 checklists per cell). After filtering to this level, we still had fewer checklists</w:t>
      </w:r>
      <w:r w:rsidR="005D7B77">
        <w:t xml:space="preserve"> overall</w:t>
      </w:r>
      <w:r>
        <w:t xml:space="preserve"> in early years. Thus, we further reduced temporal bias by subsampling checklists again so that we had equal sample sizes across years based on the year with the fewest checklists (</w:t>
      </w:r>
      <w:r w:rsidRPr="10F02EB4">
        <w:rPr>
          <w:i/>
          <w:iCs/>
        </w:rPr>
        <w:t>n</w:t>
      </w:r>
      <w:r>
        <w:t xml:space="preserve"> = 1715 checklists in 2010). We performed this temporal sampling randomly (e.g., not by 4x4 km grid cell). We also removed all checklists within 10 km of the exterior edges of the four states for which we had data (Arizona, Colorado, New Mexico, and Utah) since we had masked some other covariate layers to these states and observations near edges may have misrepresented values for pinyon basal area and cone production. Of 833,834 checklists for the region in the nesting seasons between 2010-2022, we ran our model on 22,295 checklists (average: 1.4 (SE: 0.01) checklists per grid cell in a specific year). We downloaded eBird data in May (Colorado and New Mexico) and June (Arizona and Utah) 2024</w:t>
      </w:r>
      <w:r w:rsidR="419DCCCC">
        <w:t xml:space="preserve"> </w:t>
      </w:r>
      <w:r w:rsidR="009C1F31">
        <w:fldChar w:fldCharType="begin"/>
      </w:r>
      <w:r w:rsidR="009C1F31">
        <w:instrText xml:space="preserve"> ADDIN ZOTERO_ITEM CSL_CITATION {"citationID":"ELLIoTcz","properties":{"formattedCitation":"(Cornell Lab of Ornithology, 2024a, 2024b)","plainCitation":"(Cornell Lab of Ornithology, 2024a, 2024b)","noteIndex":0},"citationItems":[{"id":2836,"uris":["http://zotero.org/groups/5634119/items/UZJFU6TD"],"itemData":{"id":2836,"type":"dataset","event-place":"Ithaca, New York","publisher-place":"Ithaca, New York","title":"eBird Basic Dataset","version":"EBD_relJun-2024","author":[{"family":"Cornell Lab of Ornithology","given":""}],"issued":{"date-parts":[["2024",6]]}}},{"id":2835,"uris":["http://zotero.org/groups/5634119/items/HBL24FAA"],"itemData":{"id":2835,"type":"dataset","event-place":"Ithaca, New York","publisher-place":"Ithaca, New York","title":"eBird Basic Dataset","version":"EBD_relMay-2024","author":[{"family":"Cornell Lab of Ornithology","given":""}],"issued":{"date-parts":[["2024",5]]}}}],"schema":"https://github.com/citation-style-language/schema/raw/master/csl-citation.json"} </w:instrText>
      </w:r>
      <w:r w:rsidR="009C1F31">
        <w:fldChar w:fldCharType="separate"/>
      </w:r>
      <w:r w:rsidR="419DCCCC">
        <w:rPr>
          <w:noProof/>
        </w:rPr>
        <w:t>(Cornell Lab of Ornithology, 2024a, 2024b)</w:t>
      </w:r>
      <w:r w:rsidR="009C1F31">
        <w:fldChar w:fldCharType="end"/>
      </w:r>
      <w:r>
        <w:t>.</w:t>
      </w:r>
      <w:r w:rsidR="00AD2B50">
        <w:t xml:space="preserve"> In our final dataset, pinyon jays were observed in 600 (2.7%). The maximum number of birds observed in one survey in this dataset was 350 (mean: 0.42; SE: 0.04).</w:t>
      </w:r>
    </w:p>
    <w:p w14:paraId="466225B4" w14:textId="77777777" w:rsidR="008F6A89" w:rsidRDefault="49B9E889">
      <w:pPr>
        <w:pStyle w:val="Heading3"/>
      </w:pPr>
      <w:bookmarkStart w:id="14" w:name="X9f51ec2d939dc3732bbaff33291cd7faf9c78c2"/>
      <w:bookmarkEnd w:id="13"/>
      <w:commentRangeStart w:id="15"/>
      <w:commentRangeStart w:id="16"/>
      <w:r>
        <w:t>2.4 Modeling relationships between cones and birds with eBird</w:t>
      </w:r>
      <w:commentRangeEnd w:id="15"/>
      <w:r>
        <w:rPr>
          <w:rStyle w:val="CommentReference"/>
        </w:rPr>
        <w:commentReference w:id="15"/>
      </w:r>
      <w:commentRangeEnd w:id="16"/>
      <w:r>
        <w:rPr>
          <w:rStyle w:val="CommentReference"/>
        </w:rPr>
        <w:commentReference w:id="16"/>
      </w:r>
    </w:p>
    <w:p w14:paraId="3E4D4534" w14:textId="6D6AB5E4" w:rsidR="008F6A89" w:rsidRDefault="49B9E889">
      <w:pPr>
        <w:pStyle w:val="FirstParagraph"/>
      </w:pPr>
      <w:r>
        <w:t>To explore relationships between pinyon jay abundance and covariates</w:t>
      </w:r>
      <w:r w:rsidR="0F5C0030">
        <w:t xml:space="preserve"> related to seed availability, habitat, and climate</w:t>
      </w:r>
      <w:r>
        <w:t>, we used a</w:t>
      </w:r>
      <w:r w:rsidR="005D7B77">
        <w:t xml:space="preserve">n N-mixture </w:t>
      </w:r>
      <w:r>
        <w:t>model w</w:t>
      </w:r>
      <w:r w:rsidR="61B58936">
        <w:t>hich included</w:t>
      </w:r>
      <w:r>
        <w:t xml:space="preserve"> an observation process for eBird </w:t>
      </w:r>
      <w:r w:rsidR="7F4F7747">
        <w:t xml:space="preserve">data </w:t>
      </w:r>
      <w:r>
        <w:t>and a biological process model that estimates latent “abundance” values</w:t>
      </w:r>
      <w:r w:rsidR="419DCCCC">
        <w:t xml:space="preserve"> </w:t>
      </w:r>
      <w:r>
        <w:fldChar w:fldCharType="begin"/>
      </w:r>
      <w:r>
        <w:instrText xml:space="preserve"> ADDIN ZOTERO_ITEM CSL_CITATION {"citationID":"McOMtfiC","properties":{"formattedCitation":"(Royle, 2004)","plainCitation":"(Royle, 2004)","noteIndex":0},"citationItems":[{"id":2881,"uris":["http://zotero.org/groups/5634119/items/ESXTL444"],"itemData":{"id":2881,"type":"article-journal","abstract":"Summary.  Spatial replication is a common theme in count surveys of animals. Such surveys often generate sparse count data from which it is difficult to estimate population size while formally accounting for detection probability. In this article, I describe a class of models (N‐mixture models) which allow for estimation of population size from such data. The key idea is to view site‐specific population sizes, N, as independent random variables distributed according to some mixing distribution (e.g., Poisson). Prior parameters are estimated from the marginal likelihood of the data, having integrated over the prior distribution for N. Carroll and Lombard (1985, Journal of American Statistical Association80, 423–426) proposed a class of estimators based on mixing over a prior distribution for detection probability. Their estimator can be applied in limited settings, but is sensitive to prior parameter values that are fixed a priori. Spatial replication provides additional information regarding the parameters of the prior distribution on N that is exploited by the N‐mixture models and which leads to reasonable estimates of abundance from sparse data. A simulation study demonstrates superior operating characteristics (bias, confidence interval coverage) of the N‐mixture estimator compared to the Caroll and Lombard estimator. Both estimators are applied to point count data on six species of birds illustrating the sensitivity to choice of prior on p and substantially different estimates of abundance as a consequence.","container-title":"Biometrics","DOI":"10.1111/j.0006-341x.2004.00142.x","ISSN":"0006-341X, 1541-0420","issue":"1","language":"en","license":"http://onlinelibrary.wiley.com/termsAndConditions#vor","note":"publisher: Oxford University Press (OUP)","page":"108-115","source":"Crossref","title":"&lt;i&gt;N&lt;/i&gt;‐Mixture Models for Estimating Population Size from Spatially Replicated Counts","volume":"60","author":[{"family":"Royle","given":"J. Andrew"}],"issued":{"date-parts":[["2004",3]]}}}],"schema":"https://github.com/citation-style-language/schema/raw/master/csl-citation.json"} </w:instrText>
      </w:r>
      <w:r>
        <w:fldChar w:fldCharType="separate"/>
      </w:r>
      <w:r w:rsidR="419DCCCC" w:rsidRPr="5A83A434">
        <w:rPr>
          <w:noProof/>
        </w:rPr>
        <w:t>(Royle, 2004)</w:t>
      </w:r>
      <w:r>
        <w:fldChar w:fldCharType="end"/>
      </w:r>
      <w:r>
        <w:t xml:space="preserve">. The observation process models include covariates that describe variation in </w:t>
      </w:r>
      <w:r>
        <w:lastRenderedPageBreak/>
        <w:t>detection probabilities (e.g., survey conditions). The biological process includes a likelihood that describes the biological drivers of latent abundance</w:t>
      </w:r>
      <w:r w:rsidR="65423D22">
        <w:t xml:space="preserve"> and included the primary variables of interest</w:t>
      </w:r>
      <w:r>
        <w:t xml:space="preserve">. </w:t>
      </w:r>
      <w:r w:rsidR="005D7B77">
        <w:t>Because we were interested in both the effects of current covariate values and past values (e.g., seed availability and climate conditions in previous years and seasons), t</w:t>
      </w:r>
      <w:r>
        <w:t>hese biological covariates include a stochastic antecedent modeling structure that allows seed abundance to have both lead and lagged effects (e.g., bird abundance can respond before or after cone and seed maturation) and other yearly climate variables to have lagged effects (Ogle et al.</w:t>
      </w:r>
      <w:r w:rsidR="419DCCCC">
        <w:t>,</w:t>
      </w:r>
      <w:r>
        <w:t> 2015).</w:t>
      </w:r>
    </w:p>
    <w:p w14:paraId="3564BB6D" w14:textId="330C7D99" w:rsidR="008F6A89" w:rsidRDefault="49B9E889" w:rsidP="00F928DF">
      <w:pPr>
        <w:pStyle w:val="BodyText"/>
        <w:ind w:firstLine="720"/>
      </w:pPr>
      <w:r>
        <w:t>Replicate surveys within a closed time and location are a requirement of these types of models that incorporate an observation process (e.g., occupancy and N-mixture models</w:t>
      </w:r>
      <w:r w:rsidR="257881E1">
        <w:t xml:space="preserve">; </w:t>
      </w:r>
      <w:r>
        <w:fldChar w:fldCharType="begin"/>
      </w:r>
      <w:r>
        <w:instrText xml:space="preserve"> ADDIN ZOTERO_ITEM CSL_CITATION {"citationID":"BfqVeCcz","properties":{"formattedCitation":"(Royle et al., 2005)","plainCitation":"(Royle et al., 2005)","noteIndex":0},"citationItems":[{"id":2688,"uris":["http://zotero.org/users/6391447/items/V68MKT34"],"itemData":{"id":2688,"type":"article-journal","abstract":"Relationships between species abundance and occupancy are of considerable interest in metapopulation biology and in macroecology. Such relationships may be described concisely using probability models that characterize variation in abundance of a species. However, estimation of the parameters of these models in most ecological problems is impaired by imperfect detection. When organisms are detected imperfectly, observed counts are biased estimates of true abundance, and this induces bias in stated occupancy or occurrence probability. In this paper we consider a class of models that enable estimation of abundance/occupancy relationships from counts of organisms that result from surveys in which detection is imperfect. Under such models, parameter estimation and inference are based on conventional likelihood methods. We provide an application of these models to geographically extensive breeding bird survey data in which alternative models of abundance are considered that include factors that influence variation in abundance and detectability. Using these models, we produce estimates of abundance and occupancy maps that honor important sources of spatial variation in avian abundance and provide clearly interpretable characterizations of abundance and occupancy adjusted for imperfect detection.","container-title":"Oikos","DOI":"10.1111/j.0030-1299.2005.13534.x","ISSN":"0030-1299, 1600-0706","issue":"2","journalAbbreviation":"Oikos","language":"en","page":"353-359","source":"DOI.org (Crossref)","title":"Modelling occurrence and abundance of species when detection is imperfect","volume":"110","author":[{"family":"Royle","given":"J. Andrew"},{"family":"Nichols","given":"James D."},{"family":"Kéry","given":"Marc"}],"issued":{"date-parts":[["2005",8]]}}}],"schema":"https://github.com/citation-style-language/schema/raw/master/csl-citation.json"} </w:instrText>
      </w:r>
      <w:r>
        <w:fldChar w:fldCharType="separate"/>
      </w:r>
      <w:r w:rsidR="257881E1" w:rsidRPr="10F02EB4">
        <w:rPr>
          <w:noProof/>
        </w:rPr>
        <w:t>(Royle et al., 2005)</w:t>
      </w:r>
      <w:r>
        <w:fldChar w:fldCharType="end"/>
      </w:r>
      <w:r>
        <w:t>. To use unstructured or semi-structured eBird data in this way (e.g., as a space-for-time substitution), checklists must be collected at locations that describe the range of potential covariate values (e.g., are not biased toward certain values of covariates of interest,</w:t>
      </w:r>
      <w:r w:rsidR="257881E1">
        <w:t xml:space="preserve"> </w:t>
      </w:r>
      <w:r>
        <w:fldChar w:fldCharType="begin"/>
      </w:r>
      <w:r>
        <w:instrText xml:space="preserve"> ADDIN ZOTERO_ITEM CSL_CITATION {"citationID":"WtuBG0QJ","properties":{"formattedCitation":"(Hochachka et al., 2023)","plainCitation":"(Hochachka et al., 2023)","noteIndex":0},"citationItems":[{"id":2833,"uris":["http://zotero.org/groups/5634119/items/RHRHETY4"],"itemData":{"id":2833,"type":"article-journal","abstract":"Abstract               An occupancy model makes use of data that are structured as sets of repeated visits to each of many sites, in order to estimate the actual probability of occupancy (i.e. proportion of occupied sites) after correcting for imperfect detection using the information contained in the sets of repeated observations. We explore the conditions under which preexisting, volunteer-collected data from the citizen science project eBird can be used for fitting occupancy models. Because the majority of eBird’s data are not collected in the form of repeated observations at individual locations, we explore 2 ways in which the single-visit records could be used in occupancy models. First, we assess the potential for space-for-time substitution: aggregating single-visit records from different locations within a region into pseudo-repeat visits. On average, eBird’s observers did not make their observations at locations that were representative of the habitat in the surrounding area, which would lead to biased estimates of occupancy probabilities when using space-for-time substitution. Thus, the use of space-for-time substitution is not always appropriate. Second, we explored the utility of including data from single-visit records to supplement sets of repeated-visit data. In a simulation study we found that inclusion of single-visit records increased the precision of occupancy estimates, but only when detection probabilities are high. When detection probability was low, the addition of single-visit records exacerbated biases in estimates of occupancy probability. We conclude that subsets of data from eBird, and likely from similar projects, can be used for occupancy modeling either using space-for-time substitution or supplementing repeated-visit data with data from single-visit records. The appropriateness of either alternative will depend on the goals of a study and on the probabilities of detection and occupancy of the species of interest.","container-title":"Ornithology","DOI":"10.1093/ornithology/ukad035","ISSN":"0004-8038, 2732-4613","issue":"4","language":"en","license":"https://academic.oup.com/pages/standard-publication-reuse-rights","note":"publisher: Oxford University Press (OUP)","source":"Crossref","title":"Considerations for fitting occupancy models to data from eBird and similar volunteer-collected data","URL":"https://academic.oup.com/auk/article/doi/10.1093/ornithology/ukad035/7229681","volume":"140","author":[{"family":"Hochachka","given":"Wesley M"},{"family":"Ruiz-Gutierrez","given":"Viviana"},{"family":"Johnston","given":"Alison"}],"accessed":{"date-parts":[["2025",7,14]]},"issued":{"date-parts":[["2023",9,27]]}}}],"schema":"https://github.com/citation-style-language/schema/raw/master/csl-citation.json"} </w:instrText>
      </w:r>
      <w:r>
        <w:fldChar w:fldCharType="separate"/>
      </w:r>
      <w:r w:rsidR="257881E1" w:rsidRPr="10F02EB4">
        <w:rPr>
          <w:noProof/>
        </w:rPr>
        <w:t>(Hochachka et al., 2023)</w:t>
      </w:r>
      <w:r>
        <w:fldChar w:fldCharType="end"/>
      </w:r>
      <w:r>
        <w:t xml:space="preserve">. </w:t>
      </w:r>
      <w:commentRangeStart w:id="17"/>
      <w:r>
        <w:t xml:space="preserve">We verified that checklists within our filtered dataset (Section 2.3) met this assumption by comparing values for all covariates at locations with checklists to all gridded data available for those covariates (described more in Section 2.2). </w:t>
      </w:r>
      <w:commentRangeEnd w:id="17"/>
      <w:r>
        <w:rPr>
          <w:rStyle w:val="CommentReference"/>
        </w:rPr>
        <w:commentReference w:id="17"/>
      </w:r>
      <w:r>
        <w:t>Thus, we verified that we could use multiple checklists within a location and year as replicate “surveys” with which to estimate detection probability.</w:t>
      </w:r>
    </w:p>
    <w:p w14:paraId="74770EC6" w14:textId="77777777" w:rsidR="008F6A89" w:rsidRDefault="00000000">
      <w:pPr>
        <w:pStyle w:val="Heading3"/>
      </w:pPr>
      <w:bookmarkStart w:id="18" w:name="observation-process-for-ebird"/>
      <w:bookmarkEnd w:id="14"/>
      <w:r>
        <w:t>2.4.1 Observation process for eBird</w:t>
      </w:r>
    </w:p>
    <w:p w14:paraId="167EBB64" w14:textId="4D79F20C" w:rsidR="008F6A89" w:rsidRDefault="49B9E889">
      <w:pPr>
        <w:pStyle w:val="FirstParagraph"/>
      </w:pPr>
      <w:r>
        <w:t xml:space="preserve">In our model, observed count data from eBird checklists were used to estimate a “true” latent abundance, </w:t>
      </w:r>
      <m:oMath>
        <m:r>
          <w:rPr>
            <w:rFonts w:ascii="Cambria Math" w:hAnsi="Cambria Math"/>
          </w:rPr>
          <m:t>N</m:t>
        </m:r>
      </m:oMath>
      <w:r>
        <w:t>,</w:t>
      </w:r>
      <w:r w:rsidR="00CE2CA1">
        <w:t xml:space="preserve"> </w:t>
      </w:r>
      <w:r>
        <w:t xml:space="preserve">which is dependent on space and time. eBird data were provided in an observation process model that incorporates covariates that impact bird detection. Observed count data were binomially distributed based on a detection probability for birds in a year and the “true” latent </w:t>
      </w:r>
      <w:r>
        <w:lastRenderedPageBreak/>
        <w:t xml:space="preserve">abundance for the space and time in which those checklists </w:t>
      </w:r>
      <w:r w:rsidR="00CE2CA1">
        <w:t>occurred</w:t>
      </w:r>
      <w:r>
        <w:t xml:space="preserve">, </w:t>
      </w:r>
      <m:oMath>
        <m:r>
          <w:rPr>
            <w:rFonts w:ascii="Cambria Math" w:hAnsi="Cambria Math"/>
          </w:rPr>
          <m:t>N</m:t>
        </m:r>
      </m:oMath>
      <w:r>
        <w:t>, being the total possible “trials”.</w:t>
      </w:r>
    </w:p>
    <w:p w14:paraId="16E7AFBE" w14:textId="7D2E2948" w:rsidR="008F6A89" w:rsidRDefault="49B9E889">
      <w:pPr>
        <w:pStyle w:val="BodyText"/>
        <w:ind w:firstLine="720"/>
      </w:pPr>
      <w:r>
        <w:t xml:space="preserve">eBird checklists are recorded with a geographical point location and also often include </w:t>
      </w:r>
      <w:r w:rsidR="15E295D7">
        <w:t>information about travel</w:t>
      </w:r>
      <w:r>
        <w:t xml:space="preserve"> distance</w:t>
      </w:r>
      <w:r w:rsidR="5BDB13BA">
        <w:t xml:space="preserve"> of the observer</w:t>
      </w:r>
      <w:r>
        <w:t xml:space="preserve"> (&lt; 5km in our dataset after filtering). Thus, there is spatial uncertainty arising from two sources: 1) uncertainty in the location in which the survey was conducted (e.g., was the location recorded at the beginning, middle, or end of a survey and at what level of precision) and 2) uncertainty in the location along a survey at which pinyon jays were observed (e.g., were birds observed at the beginning, middle, or end of a walking survey). To account for this spatial uncertainty, we created buffers around each eBird checklist</w:t>
      </w:r>
      <w:r w:rsidR="4DB6BC9A">
        <w:t xml:space="preserve"> location</w:t>
      </w:r>
      <w:r>
        <w:t xml:space="preserve"> based on the sampling distance for that checklist (</w:t>
      </w:r>
      <w:r w:rsidR="56F257CF">
        <w:t xml:space="preserve">i.e., </w:t>
      </w:r>
      <w:r>
        <w:t xml:space="preserve">1/2 of distance traveled for “traveling” checklists; 0.5 km for “stationary” checklists). Then, we created a merged polygon (“blob”) of all the checklists within a 4x4 grid cell in a given year by merging the buffers of all checklists within a grid cell. Thus, the “blob” and not the underlying 4x4 km grid cell, is the spatial unit at which we estimated abundance, </w:t>
      </w:r>
      <w:r w:rsidRPr="10F02EB4">
        <w:rPr>
          <w:i/>
          <w:iCs/>
        </w:rPr>
        <w:t>N</w:t>
      </w:r>
      <w:r>
        <w:t>.</w:t>
      </w:r>
    </w:p>
    <w:p w14:paraId="514DB948" w14:textId="77777777" w:rsidR="008F6A89" w:rsidRDefault="00000000" w:rsidP="00F928DF">
      <w:pPr>
        <w:pStyle w:val="BodyText"/>
        <w:ind w:firstLine="720"/>
      </w:pPr>
      <w:r>
        <w:t xml:space="preserve">eBird observed count data for checklist, </w:t>
      </w:r>
      <m:oMath>
        <m:r>
          <w:rPr>
            <w:rFonts w:ascii="Cambria Math" w:hAnsi="Cambria Math"/>
          </w:rPr>
          <m:t>c</m:t>
        </m:r>
      </m:oMath>
      <w:r>
        <w:t xml:space="preserve">, in blob, </w:t>
      </w:r>
      <m:oMath>
        <m:r>
          <w:rPr>
            <w:rFonts w:ascii="Cambria Math" w:hAnsi="Cambria Math"/>
          </w:rPr>
          <m:t>i</m:t>
        </m:r>
      </m:oMath>
      <w:r>
        <w:t xml:space="preserve">, and year, </w:t>
      </w:r>
      <m:oMath>
        <m:r>
          <w:rPr>
            <w:rFonts w:ascii="Cambria Math" w:hAnsi="Cambria Math"/>
          </w:rPr>
          <m:t>t</m:t>
        </m:r>
      </m:oMath>
      <w:r>
        <w:t xml:space="preserve">, were binomially distributed based on a detection probability, </w:t>
      </w:r>
      <w:r>
        <w:rPr>
          <w:i/>
          <w:iCs/>
        </w:rPr>
        <w:t>p</w:t>
      </w:r>
      <w:r>
        <w:t>, and the latent true abundance of birds in the checklist:</w:t>
      </w:r>
    </w:p>
    <w:p w14:paraId="2DC9CDE8" w14:textId="77777777" w:rsidR="008F6A89" w:rsidRDefault="00000000">
      <w:pPr>
        <w:pStyle w:val="BodyText"/>
      </w:pPr>
      <m:oMathPara>
        <m:oMathParaPr>
          <m:jc m:val="center"/>
        </m:oMathParaPr>
        <m:oMath>
          <m:r>
            <w:rPr>
              <w:rFonts w:ascii="Cambria Math" w:hAnsi="Cambria Math"/>
            </w:rPr>
            <m:t>eBirdCoun</m:t>
          </m:r>
          <m:sSub>
            <m:sSubPr>
              <m:ctrlPr>
                <w:rPr>
                  <w:rFonts w:ascii="Cambria Math" w:hAnsi="Cambria Math"/>
                </w:rPr>
              </m:ctrlPr>
            </m:sSubPr>
            <m:e>
              <m:r>
                <w:rPr>
                  <w:rFonts w:ascii="Cambria Math" w:hAnsi="Cambria Math"/>
                </w:rPr>
                <m:t>t</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r>
            <w:rPr>
              <w:rFonts w:ascii="Cambria Math" w:hAnsi="Cambria Math"/>
            </w:rPr>
            <m:t>Binomial</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t</m:t>
                  </m:r>
                </m:sub>
              </m:sSub>
            </m:e>
          </m:d>
        </m:oMath>
      </m:oMathPara>
    </w:p>
    <w:p w14:paraId="31ED1373" w14:textId="5E1FA19B" w:rsidR="008F6A89" w:rsidRDefault="00000000">
      <w:pPr>
        <w:pStyle w:val="FirstParagraph"/>
      </w:pPr>
      <w:r>
        <w:t xml:space="preserve">The detection probability for eBird data included a regression with the detection covariates of start time, duration of survey, speed, and the number of observers for each checklist. </w:t>
      </w:r>
      <w:r w:rsidRPr="00DF16ED">
        <w:t>See above (</w:t>
      </w:r>
      <w:r w:rsidR="00DF16ED" w:rsidRPr="00DF16ED">
        <w:t>Section 2.3</w:t>
      </w:r>
      <w:r w:rsidRPr="00DF16ED">
        <w:t>)</w:t>
      </w:r>
      <w:r>
        <w:t xml:space="preserve"> for how we filtered these variables initially based on best practices so that </w:t>
      </w:r>
      <w:r>
        <w:lastRenderedPageBreak/>
        <w:t>checklists represented similar effort. These covariates all depended on checklist, blob, and year. Thus, the detection component of the model has a likelihood of the form:</w:t>
      </w:r>
    </w:p>
    <w:p w14:paraId="6F0FF845" w14:textId="77777777" w:rsidR="008F6A89" w:rsidRDefault="00000000">
      <w:pPr>
        <w:pStyle w:val="BodyText"/>
      </w:pPr>
      <m:oMathPara>
        <m:oMathParaPr>
          <m:jc m:val="center"/>
        </m:oMathParaPr>
        <m:oMath>
          <m:r>
            <w:rPr>
              <w:rFonts w:ascii="Cambria Math" w:hAnsi="Cambria Math"/>
            </w:rPr>
            <m:t>logit</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t</m:t>
                  </m:r>
                </m:sub>
              </m:sSub>
            </m:e>
          </m:d>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5</m:t>
              </m:r>
            </m:sup>
            <m:e>
              <m:sSub>
                <m:sSubPr>
                  <m:ctrlPr>
                    <w:rPr>
                      <w:rFonts w:ascii="Cambria Math" w:hAnsi="Cambria Math"/>
                    </w:rPr>
                  </m:ctrlPr>
                </m:sSubPr>
                <m:e>
                  <m:r>
                    <w:rPr>
                      <w:rFonts w:ascii="Cambria Math" w:hAnsi="Cambria Math"/>
                    </w:rPr>
                    <m:t>γ</m:t>
                  </m:r>
                </m:e>
                <m:sub>
                  <m:r>
                    <w:rPr>
                      <w:rFonts w:ascii="Cambria Math" w:hAnsi="Cambria Math"/>
                    </w:rPr>
                    <m:t>j</m:t>
                  </m:r>
                </m:sub>
              </m:sSub>
            </m:e>
          </m:nary>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j</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t</m:t>
                  </m:r>
                </m:sub>
              </m:sSub>
            </m:sub>
          </m:sSub>
        </m:oMath>
      </m:oMathPara>
    </w:p>
    <w:p w14:paraId="52B45292" w14:textId="77777777" w:rsidR="008F6A89" w:rsidRDefault="00000000">
      <w:pPr>
        <w:pStyle w:val="FirstParagraph"/>
      </w:pPr>
      <w:r>
        <w:t xml:space="preserve">where </w:t>
      </w:r>
      <m:oMath>
        <m:sSub>
          <m:sSubPr>
            <m:ctrlPr>
              <w:rPr>
                <w:rFonts w:ascii="Cambria Math" w:hAnsi="Cambria Math"/>
              </w:rPr>
            </m:ctrlPr>
          </m:sSubPr>
          <m:e>
            <m:r>
              <w:rPr>
                <w:rFonts w:ascii="Cambria Math" w:hAnsi="Cambria Math"/>
              </w:rPr>
              <m:t>γ</m:t>
            </m:r>
          </m:e>
          <m:sub>
            <m:r>
              <w:rPr>
                <w:rFonts w:ascii="Cambria Math" w:hAnsi="Cambria Math"/>
              </w:rPr>
              <m:t>0</m:t>
            </m:r>
          </m:sub>
        </m:sSub>
      </m:oMath>
      <w:r>
        <w:t xml:space="preserve"> is the underlying detection probability (intercept) and each </w:t>
      </w:r>
      <m:oMath>
        <m:sSub>
          <m:sSubPr>
            <m:ctrlPr>
              <w:rPr>
                <w:rFonts w:ascii="Cambria Math" w:hAnsi="Cambria Math"/>
              </w:rPr>
            </m:ctrlPr>
          </m:sSubPr>
          <m:e>
            <m:r>
              <w:rPr>
                <w:rFonts w:ascii="Cambria Math" w:hAnsi="Cambria Math"/>
              </w:rPr>
              <m:t>γ</m:t>
            </m:r>
          </m:e>
          <m:sub>
            <m:r>
              <w:rPr>
                <w:rFonts w:ascii="Cambria Math" w:hAnsi="Cambria Math"/>
              </w:rPr>
              <m:t>j</m:t>
            </m:r>
          </m:sub>
        </m:sSub>
      </m:oMath>
      <w:r>
        <w:t xml:space="preserve"> is the slope of the relationship between detection probability (on the logit scale) and a set of </w:t>
      </w:r>
      <w:r>
        <w:rPr>
          <w:i/>
          <w:iCs/>
        </w:rPr>
        <w:t>J</w:t>
      </w:r>
      <w:r>
        <w:t xml:space="preserve"> covariates (j = 1, 2, … 5).</w:t>
      </w:r>
    </w:p>
    <w:p w14:paraId="6AD08D45" w14:textId="77777777" w:rsidR="008F6A89" w:rsidRDefault="00000000">
      <w:pPr>
        <w:pStyle w:val="Heading3"/>
      </w:pPr>
      <w:bookmarkStart w:id="19" w:name="X9e09589101055a0b716ce1af6e945302d419ef3"/>
      <w:bookmarkEnd w:id="18"/>
      <w:r>
        <w:t>2.4.2 Biological process of latent pinyon jay abundance with covariates with lead and lagged effects</w:t>
      </w:r>
    </w:p>
    <w:p w14:paraId="5DC86EED" w14:textId="77777777" w:rsidR="008F6A89" w:rsidRDefault="00000000">
      <w:pPr>
        <w:pStyle w:val="FirstParagraph"/>
      </w:pPr>
      <w:r>
        <w:t xml:space="preserve">Latent true abundance of jays in a checklist in a year, </w:t>
      </w:r>
      <m:oMath>
        <m:sSub>
          <m:sSubPr>
            <m:ctrlPr>
              <w:rPr>
                <w:rFonts w:ascii="Cambria Math" w:hAnsi="Cambria Math"/>
              </w:rPr>
            </m:ctrlPr>
          </m:sSubPr>
          <m:e>
            <m:r>
              <w:rPr>
                <w:rFonts w:ascii="Cambria Math" w:hAnsi="Cambria Math"/>
              </w:rPr>
              <m:t>N</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t</m:t>
            </m:r>
          </m:sub>
        </m:sSub>
      </m:oMath>
      <w:r>
        <w:t xml:space="preserve"> was Poisson distributed around an expected rate parameter, </w:t>
      </w:r>
      <m:oMath>
        <m:sSub>
          <m:sSubPr>
            <m:ctrlPr>
              <w:rPr>
                <w:rFonts w:ascii="Cambria Math" w:hAnsi="Cambria Math"/>
              </w:rPr>
            </m:ctrlPr>
          </m:sSubPr>
          <m:e>
            <m:r>
              <w:rPr>
                <w:rFonts w:ascii="Cambria Math" w:hAnsi="Cambria Math"/>
              </w:rPr>
              <m:t>λ</m:t>
            </m:r>
          </m:e>
          <m:sub>
            <m:r>
              <w:rPr>
                <w:rFonts w:ascii="Cambria Math" w:hAnsi="Cambria Math"/>
              </w:rPr>
              <m:t>i</m:t>
            </m:r>
            <m:r>
              <m:rPr>
                <m:sty m:val="p"/>
              </m:rPr>
              <w:rPr>
                <w:rFonts w:ascii="Cambria Math" w:hAnsi="Cambria Math"/>
              </w:rPr>
              <m:t>,</m:t>
            </m:r>
            <m:r>
              <w:rPr>
                <w:rFonts w:ascii="Cambria Math" w:hAnsi="Cambria Math"/>
              </w:rPr>
              <m:t>t</m:t>
            </m:r>
          </m:sub>
        </m:sSub>
      </m:oMath>
      <w:r>
        <w:t xml:space="preserve">, for the blob in which the checklist was located multiplied by the area of the checklist, </w:t>
      </w:r>
      <m:oMath>
        <m:sSub>
          <m:sSubPr>
            <m:ctrlPr>
              <w:rPr>
                <w:rFonts w:ascii="Cambria Math" w:hAnsi="Cambria Math"/>
              </w:rPr>
            </m:ctrlPr>
          </m:sSubPr>
          <m:e>
            <m:r>
              <w:rPr>
                <w:rFonts w:ascii="Cambria Math" w:hAnsi="Cambria Math"/>
              </w:rPr>
              <m:t>A</m:t>
            </m:r>
          </m:e>
          <m:sub>
            <m:r>
              <w:rPr>
                <w:rFonts w:ascii="Cambria Math" w:hAnsi="Cambria Math"/>
              </w:rPr>
              <m:t>c</m:t>
            </m:r>
          </m:sub>
        </m:sSub>
      </m:oMath>
      <w:r>
        <w:t xml:space="preserve"> as follows:</w:t>
      </w:r>
    </w:p>
    <w:p w14:paraId="6D545249" w14:textId="77777777" w:rsidR="008F6A89" w:rsidRDefault="00000000">
      <w:pPr>
        <w:pStyle w:val="BodyText"/>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r>
            <w:rPr>
              <w:rFonts w:ascii="Cambria Math" w:hAnsi="Cambria Math"/>
            </w:rPr>
            <m:t>Poisson</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c</m:t>
                  </m:r>
                </m:sub>
              </m:sSub>
            </m:e>
          </m:d>
        </m:oMath>
      </m:oMathPara>
    </w:p>
    <w:p w14:paraId="56E5B2B4" w14:textId="77777777" w:rsidR="008F6A89" w:rsidRDefault="00000000">
      <w:pPr>
        <w:pStyle w:val="FirstParagraph"/>
      </w:pPr>
      <w:r>
        <w:t xml:space="preserve">Furthermore, </w:t>
      </w:r>
      <m:oMath>
        <m:sSub>
          <m:sSubPr>
            <m:ctrlPr>
              <w:rPr>
                <w:rFonts w:ascii="Cambria Math" w:hAnsi="Cambria Math"/>
              </w:rPr>
            </m:ctrlPr>
          </m:sSubPr>
          <m:e>
            <m:r>
              <w:rPr>
                <w:rFonts w:ascii="Cambria Math" w:hAnsi="Cambria Math"/>
              </w:rPr>
              <m:t>λ</m:t>
            </m:r>
          </m:e>
          <m:sub>
            <m:r>
              <w:rPr>
                <w:rFonts w:ascii="Cambria Math" w:hAnsi="Cambria Math"/>
              </w:rPr>
              <m:t>i</m:t>
            </m:r>
            <m:r>
              <m:rPr>
                <m:sty m:val="p"/>
              </m:rPr>
              <w:rPr>
                <w:rFonts w:ascii="Cambria Math" w:hAnsi="Cambria Math"/>
              </w:rPr>
              <m:t>,</m:t>
            </m:r>
            <m:r>
              <w:rPr>
                <w:rFonts w:ascii="Cambria Math" w:hAnsi="Cambria Math"/>
              </w:rPr>
              <m:t>t</m:t>
            </m:r>
          </m:sub>
        </m:sSub>
      </m:oMath>
      <w:r>
        <w:t xml:space="preserve"> was dependent on a regression of environmental covariates:</w:t>
      </w:r>
    </w:p>
    <w:p w14:paraId="45058AB7" w14:textId="77777777" w:rsidR="008F6A89" w:rsidRDefault="00000000">
      <w:pPr>
        <w:pStyle w:val="BodyText"/>
      </w:pPr>
      <m:oMathPara>
        <m:oMathParaPr>
          <m:jc m:val="center"/>
        </m:oMathParaPr>
        <m:oMath>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i</m:t>
                  </m:r>
                  <m:r>
                    <m:rPr>
                      <m:sty m:val="p"/>
                    </m:rPr>
                    <w:rPr>
                      <w:rFonts w:ascii="Cambria Math" w:hAnsi="Cambria Math"/>
                    </w:rPr>
                    <m:t>,</m:t>
                  </m:r>
                  <m:r>
                    <w:rPr>
                      <w:rFonts w:ascii="Cambria Math" w:hAnsi="Cambria Math"/>
                    </w:rPr>
                    <m:t>t</m:t>
                  </m:r>
                </m:sub>
              </m:sSub>
            </m:e>
          </m:d>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J</m:t>
              </m:r>
            </m:sup>
            <m:e>
              <m:sSub>
                <m:sSubPr>
                  <m:ctrlPr>
                    <w:rPr>
                      <w:rFonts w:ascii="Cambria Math" w:hAnsi="Cambria Math"/>
                    </w:rPr>
                  </m:ctrlPr>
                </m:sSubPr>
                <m:e>
                  <m:r>
                    <w:rPr>
                      <w:rFonts w:ascii="Cambria Math" w:hAnsi="Cambria Math"/>
                    </w:rPr>
                    <m:t>α</m:t>
                  </m:r>
                </m:e>
                <m:sub>
                  <m:r>
                    <w:rPr>
                      <w:rFonts w:ascii="Cambria Math" w:hAnsi="Cambria Math"/>
                    </w:rPr>
                    <m:t>j</m:t>
                  </m:r>
                </m:sub>
              </m:sSub>
            </m:e>
          </m:nary>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j</m:t>
                  </m:r>
                </m:e>
                <m:sub>
                  <m:r>
                    <w:rPr>
                      <w:rFonts w:ascii="Cambria Math" w:hAnsi="Cambria Math"/>
                    </w:rPr>
                    <m:t>i</m:t>
                  </m:r>
                  <m:r>
                    <m:rPr>
                      <m:sty m:val="p"/>
                    </m:rPr>
                    <w:rPr>
                      <w:rFonts w:ascii="Cambria Math" w:hAnsi="Cambria Math"/>
                    </w:rPr>
                    <m:t>,</m:t>
                  </m:r>
                  <m:r>
                    <w:rPr>
                      <w:rFonts w:ascii="Cambria Math" w:hAnsi="Cambria Math"/>
                    </w:rPr>
                    <m:t>t</m:t>
                  </m:r>
                </m:sub>
              </m:sSub>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α</m:t>
                  </m:r>
                </m:e>
                <m:sub>
                  <m:r>
                    <w:rPr>
                      <w:rFonts w:ascii="Cambria Math" w:hAnsi="Cambria Math"/>
                    </w:rPr>
                    <m:t>k</m:t>
                  </m:r>
                </m:sub>
              </m:sSub>
            </m:e>
          </m:nary>
          <m:r>
            <m:rPr>
              <m:sty m:val="p"/>
            </m:rPr>
            <w:rPr>
              <w:rFonts w:ascii="Cambria Math" w:hAnsi="Cambria Math"/>
            </w:rPr>
            <m:t>⋅</m:t>
          </m:r>
          <m:sSub>
            <m:sSubPr>
              <m:ctrlPr>
                <w:rPr>
                  <w:rFonts w:ascii="Cambria Math" w:hAnsi="Cambria Math"/>
                </w:rPr>
              </m:ctrlPr>
            </m:sSubPr>
            <m:e>
              <m:r>
                <w:rPr>
                  <w:rFonts w:ascii="Cambria Math" w:hAnsi="Cambria Math"/>
                </w:rPr>
                <m:t>Z</m:t>
              </m:r>
            </m:e>
            <m:sub>
              <m:sSub>
                <m:sSubPr>
                  <m:ctrlPr>
                    <w:rPr>
                      <w:rFonts w:ascii="Cambria Math" w:hAnsi="Cambria Math"/>
                    </w:rPr>
                  </m:ctrlPr>
                </m:sSubPr>
                <m:e>
                  <m:r>
                    <w:rPr>
                      <w:rFonts w:ascii="Cambria Math" w:hAnsi="Cambria Math"/>
                    </w:rPr>
                    <m:t>k</m:t>
                  </m:r>
                </m:e>
                <m:sub>
                  <m:r>
                    <w:rPr>
                      <w:rFonts w:ascii="Cambria Math" w:hAnsi="Cambria Math"/>
                    </w:rPr>
                    <m:t>i</m:t>
                  </m:r>
                  <m:r>
                    <m:rPr>
                      <m:sty m:val="p"/>
                    </m:rPr>
                    <w:rPr>
                      <w:rFonts w:ascii="Cambria Math" w:hAnsi="Cambria Math"/>
                    </w:rPr>
                    <m:t>,</m:t>
                  </m:r>
                  <m:r>
                    <w:rPr>
                      <w:rFonts w:ascii="Cambria Math" w:hAnsi="Cambria Math"/>
                    </w:rPr>
                    <m:t>t</m:t>
                  </m:r>
                </m:sub>
              </m:sSub>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m:t>
              </m:r>
              <m:r>
                <w:rPr>
                  <w:rFonts w:ascii="Cambria Math" w:hAnsi="Cambria Math"/>
                </w:rPr>
                <m:t>1</m:t>
              </m:r>
            </m:sub>
            <m:sup>
              <m:r>
                <w:rPr>
                  <w:rFonts w:ascii="Cambria Math" w:hAnsi="Cambria Math"/>
                </w:rPr>
                <m:t>4</m:t>
              </m:r>
            </m:sup>
            <m:e>
              <m:nary>
                <m:naryPr>
                  <m:chr m:val="∑"/>
                  <m:limLoc m:val="undOvr"/>
                  <m:ctrlPr>
                    <w:rPr>
                      <w:rFonts w:ascii="Cambria Math" w:hAnsi="Cambria Math"/>
                    </w:rPr>
                  </m:ctrlPr>
                </m:naryPr>
                <m:sub>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sub>
                <m:sup>
                  <m:r>
                    <w:rPr>
                      <w:rFonts w:ascii="Cambria Math" w:hAnsi="Cambria Math"/>
                    </w:rPr>
                    <m:t>4</m:t>
                  </m:r>
                </m:sup>
                <m:e>
                  <m:sSub>
                    <m:sSubPr>
                      <m:ctrlPr>
                        <w:rPr>
                          <w:rFonts w:ascii="Cambria Math" w:hAnsi="Cambria Math"/>
                        </w:rPr>
                      </m:ctrlPr>
                    </m:sSubPr>
                    <m:e>
                      <m:r>
                        <w:rPr>
                          <w:rFonts w:ascii="Cambria Math" w:hAnsi="Cambria Math"/>
                        </w:rPr>
                        <m:t>α</m:t>
                      </m:r>
                    </m:e>
                    <m:sub>
                      <m:r>
                        <w:rPr>
                          <w:rFonts w:ascii="Cambria Math" w:hAnsi="Cambria Math"/>
                        </w:rPr>
                        <m:t>mn</m:t>
                      </m:r>
                    </m:sub>
                  </m:sSub>
                </m:e>
              </m:nary>
            </m:e>
          </m:nary>
          <m:r>
            <m:rPr>
              <m:sty m:val="p"/>
            </m:rPr>
            <w:rPr>
              <w:rFonts w:ascii="Cambria Math" w:hAnsi="Cambria Math"/>
            </w:rPr>
            <m:t>⋅</m:t>
          </m:r>
          <m:sSub>
            <m:sSubPr>
              <m:ctrlPr>
                <w:rPr>
                  <w:rFonts w:ascii="Cambria Math" w:hAnsi="Cambria Math"/>
                </w:rPr>
              </m:ctrlPr>
            </m:sSubPr>
            <m:e>
              <m:r>
                <w:rPr>
                  <w:rFonts w:ascii="Cambria Math" w:hAnsi="Cambria Math"/>
                </w:rPr>
                <m:t>Z</m:t>
              </m:r>
            </m:e>
            <m:sub>
              <m:sSub>
                <m:sSubPr>
                  <m:ctrlPr>
                    <w:rPr>
                      <w:rFonts w:ascii="Cambria Math" w:hAnsi="Cambria Math"/>
                    </w:rPr>
                  </m:ctrlPr>
                </m:sSubPr>
                <m:e>
                  <m: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t</m:t>
                  </m:r>
                </m:sub>
              </m:sSub>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Z</m:t>
              </m:r>
            </m:e>
            <m:sub>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t</m:t>
                  </m:r>
                </m:sub>
              </m:sSub>
            </m:sub>
          </m:sSub>
        </m:oMath>
      </m:oMathPara>
    </w:p>
    <w:p w14:paraId="00A77AD5" w14:textId="3924B162" w:rsidR="008F6A89" w:rsidRDefault="00000000">
      <w:pPr>
        <w:pStyle w:val="FirstParagraph"/>
      </w:pPr>
      <w:r>
        <w:t xml:space="preserve">In this formulation, covariates </w:t>
      </w:r>
      <m:oMath>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j</m:t>
                </m:r>
              </m:e>
              <m:sub>
                <m:r>
                  <w:rPr>
                    <w:rFonts w:ascii="Cambria Math" w:hAnsi="Cambria Math"/>
                  </w:rPr>
                  <m:t>i</m:t>
                </m:r>
                <m:r>
                  <m:rPr>
                    <m:sty m:val="p"/>
                  </m:rPr>
                  <w:rPr>
                    <w:rFonts w:ascii="Cambria Math" w:hAnsi="Cambria Math"/>
                  </w:rPr>
                  <m:t>,</m:t>
                </m:r>
                <m:r>
                  <w:rPr>
                    <w:rFonts w:ascii="Cambria Math" w:hAnsi="Cambria Math"/>
                  </w:rPr>
                  <m:t>t</m:t>
                </m:r>
              </m:sub>
            </m:sSub>
          </m:sub>
        </m:sSub>
      </m:oMath>
      <w:r>
        <w:t xml:space="preserve"> include only concurrent effects. These variables in the model included monsoonality and pinyon pine basal area (yearly). Conversely, values for each </w:t>
      </w:r>
      <m:oMath>
        <m:sSub>
          <m:sSubPr>
            <m:ctrlPr>
              <w:rPr>
                <w:rFonts w:ascii="Cambria Math" w:hAnsi="Cambria Math"/>
              </w:rPr>
            </m:ctrlPr>
          </m:sSubPr>
          <m:e>
            <m:r>
              <w:rPr>
                <w:rFonts w:ascii="Cambria Math" w:hAnsi="Cambria Math"/>
              </w:rPr>
              <m:t>Z</m:t>
            </m:r>
          </m:e>
          <m:sub>
            <m:sSub>
              <m:sSubPr>
                <m:ctrlPr>
                  <w:rPr>
                    <w:rFonts w:ascii="Cambria Math" w:hAnsi="Cambria Math"/>
                  </w:rPr>
                </m:ctrlPr>
              </m:sSubPr>
              <m:e>
                <m:r>
                  <w:rPr>
                    <w:rFonts w:ascii="Cambria Math" w:hAnsi="Cambria Math"/>
                  </w:rPr>
                  <m:t>k</m:t>
                </m:r>
              </m:e>
              <m:sub>
                <m:r>
                  <w:rPr>
                    <w:rFonts w:ascii="Cambria Math" w:hAnsi="Cambria Math"/>
                  </w:rPr>
                  <m:t>i</m:t>
                </m:r>
                <m:r>
                  <m:rPr>
                    <m:sty m:val="p"/>
                  </m:rPr>
                  <w:rPr>
                    <w:rFonts w:ascii="Cambria Math" w:hAnsi="Cambria Math"/>
                  </w:rPr>
                  <m:t>,</m:t>
                </m:r>
                <m:r>
                  <w:rPr>
                    <w:rFonts w:ascii="Cambria Math" w:hAnsi="Cambria Math"/>
                  </w:rPr>
                  <m:t>t</m:t>
                </m:r>
              </m:sub>
            </m:sSub>
          </m:sub>
        </m:sSub>
      </m:oMath>
      <w:r>
        <w:t xml:space="preserve"> comprised a stochastic antecedent structure (Ogle et al.</w:t>
      </w:r>
      <w:r w:rsidR="00CE5DE4">
        <w:t>,</w:t>
      </w:r>
      <w:r>
        <w:t xml:space="preserve"> 2015) dependent on the covariate, where each </w:t>
      </w:r>
      <m:oMath>
        <m:sSub>
          <m:sSubPr>
            <m:ctrlPr>
              <w:rPr>
                <w:rFonts w:ascii="Cambria Math" w:hAnsi="Cambria Math"/>
              </w:rPr>
            </m:ctrlPr>
          </m:sSubPr>
          <m:e>
            <m:r>
              <w:rPr>
                <w:rFonts w:ascii="Cambria Math" w:hAnsi="Cambria Math"/>
              </w:rPr>
              <m:t>Z</m:t>
            </m:r>
          </m:e>
          <m:sub>
            <m:sSub>
              <m:sSubPr>
                <m:ctrlPr>
                  <w:rPr>
                    <w:rFonts w:ascii="Cambria Math" w:hAnsi="Cambria Math"/>
                  </w:rPr>
                </m:ctrlPr>
              </m:sSubPr>
              <m:e>
                <m:r>
                  <w:rPr>
                    <w:rFonts w:ascii="Cambria Math" w:hAnsi="Cambria Math"/>
                  </w:rPr>
                  <m:t>k</m:t>
                </m:r>
              </m:e>
              <m:sub>
                <m:r>
                  <w:rPr>
                    <w:rFonts w:ascii="Cambria Math" w:hAnsi="Cambria Math"/>
                  </w:rPr>
                  <m:t>i</m:t>
                </m:r>
                <m:r>
                  <m:rPr>
                    <m:sty m:val="p"/>
                  </m:rPr>
                  <w:rPr>
                    <w:rFonts w:ascii="Cambria Math" w:hAnsi="Cambria Math"/>
                  </w:rPr>
                  <m:t>,</m:t>
                </m:r>
                <m:r>
                  <w:rPr>
                    <w:rFonts w:ascii="Cambria Math" w:hAnsi="Cambria Math"/>
                  </w:rPr>
                  <m:t>t</m:t>
                </m:r>
              </m:sub>
            </m:sSub>
          </m:sub>
        </m:sSub>
      </m:oMath>
      <w:r>
        <w:t xml:space="preserve"> was the weighted average value of a set of seasonal or yearly values for that covariate across a defined set of seasons or years. The weights for each covariate across all seasons or </w:t>
      </w:r>
      <w:r>
        <w:lastRenderedPageBreak/>
        <w:t xml:space="preserve">years, </w:t>
      </w:r>
      <w:r>
        <w:rPr>
          <w:i/>
          <w:iCs/>
        </w:rPr>
        <w:t>l</w:t>
      </w:r>
      <w:r>
        <w:t xml:space="preserve">, </w:t>
      </w:r>
      <m:oMath>
        <m:sSub>
          <m:sSubPr>
            <m:ctrlPr>
              <w:rPr>
                <w:rFonts w:ascii="Cambria Math" w:hAnsi="Cambria Math"/>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l</m:t>
            </m:r>
          </m:sub>
        </m:sSub>
      </m:oMath>
      <w:r>
        <w:t>, had a Dirichlet prior and sum to 1. The weight, or importance weight, for each season or year indicated how important that value was to the overall effect (larger values of the weight mean more importance of that season or year to that covariate effect). The covariates for which we calculated antecedent weights were seed (cone) production, maximum temperature, and precipitation. Seed (cone) production was considered on a yearly scale (cones are only produced up to one time in a year) and included both lead and lagged effects (e.g., jays “predict” seed years or “respond” to good seed years), and included one prior year and the current year (both “predictive” time periods), and three years after the current year (“lagged” time periods). Lead (“predictive”) years represented years in which “quicker” resources are available (e.g., acorns, juniper berries) and/or birds observe cones developing on trees (Parmenter, “Predict” paper for jays). Lag years represented both the year in which birds cached seeds and years following in which individuals that hatched during the caching year nesting season enter the breeding population (~1.5-2 years</w:t>
      </w:r>
      <w:r w:rsidR="00CE5DE4">
        <w:t xml:space="preserve">; </w:t>
      </w:r>
      <w:r w:rsidR="00CE5DE4">
        <w:fldChar w:fldCharType="begin"/>
      </w:r>
      <w:r w:rsidR="00CE5DE4">
        <w:instrText xml:space="preserve"> ADDIN ZOTERO_ITEM CSL_CITATION {"citationID":"yuZbnUMe","properties":{"formattedCitation":"(Marzluff &amp; Balda, 1988)","plainCitation":"(Marzluff &amp; Balda, 1988)","noteIndex":0},"citationItems":[{"id":2861,"uris":["http://zotero.org/groups/5634119/items/CQUD9PTD"],"itemData":{"id":2861,"type":"article-journal","container-title":"The Auk","DOI":"10.2307/4087492","ISSN":"0004-8038, 1938-4254","issue":"2","note":"publisher: Oxford University Press (OUP)","page":"286-295","source":"Crossref","title":"The Advantages of, and Constraints Forcing, Mate Fidelity in Pinyon Jays","volume":"105","author":[{"family":"Marzluff","given":"John M."},{"family":"Balda","given":"Russell P."}],"issued":{"date-parts":[["1988",4]]}}}],"schema":"https://github.com/citation-style-language/schema/raw/master/csl-citation.json"} </w:instrText>
      </w:r>
      <w:r w:rsidR="00CE5DE4">
        <w:fldChar w:fldCharType="separate"/>
      </w:r>
      <w:r w:rsidR="00CE5DE4">
        <w:rPr>
          <w:noProof/>
        </w:rPr>
        <w:t>(Marzluff &amp; Balda, 1988)</w:t>
      </w:r>
      <w:r w:rsidR="00CE5DE4">
        <w:fldChar w:fldCharType="end"/>
      </w:r>
      <w:r>
        <w:t>; Figure 1). Both temperature and precipitation were at a seasonal scale and only consider lagged effects. The seasons were based on important seasonal biology for pinyon jays, including: breeding (February-April), feeding dependent young (May-June), summer (July), fall and winter foraging, potentially with irruption (August - January) (Wiggins 2005). For seasonal covariates, we considered 12 seasons into the past. We also considered interactions between seed (cone) abundance and all other covariates (pinyon basal area, monsoonality, maximum temperature, and precipitation) to determine how the relationship between cones and birds is mediated by other covariates related to piñon seed reliability and alternative food resources (e.g., juniper berries, acorns, insects).</w:t>
      </w:r>
    </w:p>
    <w:p w14:paraId="341FE385" w14:textId="77777777" w:rsidR="008F6A89" w:rsidRDefault="00000000">
      <w:pPr>
        <w:pStyle w:val="CaptionedFigure"/>
      </w:pPr>
      <w:r>
        <w:rPr>
          <w:noProof/>
        </w:rPr>
        <w:lastRenderedPageBreak/>
        <w:drawing>
          <wp:inline distT="0" distB="0" distL="0" distR="0" wp14:anchorId="478C0195" wp14:editId="61258FFD">
            <wp:extent cx="5943600" cy="2215486"/>
            <wp:effectExtent l="0" t="0" r="0" b="0"/>
            <wp:docPr id="26" name="Picture" descr="Figure 1: A timeline of hypothesized pinyon jay responses (top) and the progression of seed and cone development (bottom) following a favorable climate year for cone development. We outline three hypotheses driving the temporal relationships between pinyon jay and seed availability, including H1: jays ‘predict’ seed availability through utilization of other foods (e.g., acorns, juniper berries) or because they see cones developing in an area; H2: jays ‘respond’ to seed availability in the nesting season after they cache seeds and H3: jays ‘respond’ to seed availability with a delay as the young from the caching year enter the breeding population 1.5-2 years later."/>
            <wp:cNvGraphicFramePr/>
            <a:graphic xmlns:a="http://schemas.openxmlformats.org/drawingml/2006/main">
              <a:graphicData uri="http://schemas.openxmlformats.org/drawingml/2006/picture">
                <pic:pic xmlns:pic="http://schemas.openxmlformats.org/drawingml/2006/picture">
                  <pic:nvPicPr>
                    <pic:cNvPr id="27" name="Picture" descr="../pictures/final/time_conceptual.jpg"/>
                    <pic:cNvPicPr>
                      <a:picLocks noChangeAspect="1" noChangeArrowheads="1"/>
                    </pic:cNvPicPr>
                  </pic:nvPicPr>
                  <pic:blipFill>
                    <a:blip r:embed="rId11"/>
                    <a:stretch>
                      <a:fillRect/>
                    </a:stretch>
                  </pic:blipFill>
                  <pic:spPr bwMode="auto">
                    <a:xfrm>
                      <a:off x="0" y="0"/>
                      <a:ext cx="5943600" cy="2215486"/>
                    </a:xfrm>
                    <a:prstGeom prst="rect">
                      <a:avLst/>
                    </a:prstGeom>
                    <a:noFill/>
                    <a:ln w="9525">
                      <a:noFill/>
                      <a:headEnd/>
                      <a:tailEnd/>
                    </a:ln>
                  </pic:spPr>
                </pic:pic>
              </a:graphicData>
            </a:graphic>
          </wp:inline>
        </w:drawing>
      </w:r>
    </w:p>
    <w:p w14:paraId="46682A40" w14:textId="77777777" w:rsidR="008F6A89" w:rsidRDefault="49B9E889">
      <w:pPr>
        <w:pStyle w:val="ImageCaption"/>
      </w:pPr>
      <w:r>
        <w:t>Figure 1: A timeline of hypothesized pinyon jay responses (top) and the progression of seed and cone development (bottom) following a favorable climate year for cone development. We outline three hypotheses driving the temporal relationships between pinyon jay and seed availability, including H1: jays ‘predict’ seed availability through utilization of other foods (e.g., acorns, juniper berries) or because they see cones developing in an area; H2: jays ‘respond’ to seed availability in the nesting season after they cache seeds and H3: jays ‘respond’ to seed availability with a delay as the young from the caching year enter the breeding population 1.5-2 years later.</w:t>
      </w:r>
    </w:p>
    <w:p w14:paraId="2529C2CA" w14:textId="77777777" w:rsidR="008F6A89" w:rsidRDefault="00000000" w:rsidP="00F928DF">
      <w:pPr>
        <w:pStyle w:val="BodyText"/>
        <w:ind w:firstLine="720"/>
      </w:pPr>
      <w:r>
        <w:t>Because blobs sometimes covered more than one 4x4 km grid cell, we determined the percent of a blob covering each grid cell and then calculated weighted average covariate values based on the covariate values of all overlapped cells times the percent of the blob overlapping that cell. On average, blobs covered 2.13 [SE = 0.01] 4x 4 km grid cells, with a minimum of one grid and a maximum of nine for a single blob.</w:t>
      </w:r>
    </w:p>
    <w:p w14:paraId="4E227FF8" w14:textId="77777777" w:rsidR="008F6A89" w:rsidRDefault="00000000">
      <w:pPr>
        <w:pStyle w:val="Heading3"/>
      </w:pPr>
      <w:bookmarkStart w:id="20" w:name="Xbdd7eae3a7324731b0bcf4a544447a868577823"/>
      <w:bookmarkEnd w:id="19"/>
      <w:r>
        <w:t>2.5 Model implementation, convergence, and diagnostics</w:t>
      </w:r>
    </w:p>
    <w:p w14:paraId="1C943CF7" w14:textId="4C3FF6DF" w:rsidR="008F6A89" w:rsidRDefault="00000000">
      <w:pPr>
        <w:pStyle w:val="FirstParagraph"/>
      </w:pPr>
      <w:r>
        <w:t>We implemented models in the Bayesian software JAGS</w:t>
      </w:r>
      <w:r w:rsidR="00D52D77">
        <w:t xml:space="preserve"> </w:t>
      </w:r>
      <w:r w:rsidR="00D52D77">
        <w:fldChar w:fldCharType="begin"/>
      </w:r>
      <w:r w:rsidR="00925D18">
        <w:instrText xml:space="preserve"> ADDIN ZOTERO_ITEM CSL_CITATION {"citationID":"TZ9juuFg","properties":{"formattedCitation":"(Plummer, 2003)","plainCitation":"(Plummer, 2003)","dontUpdate":true,"noteIndex":0},"citationItems":[{"id":2379,"uris":["http://zotero.org/users/6391447/items/9RSFP5EG"],"itemData":{"id":2379,"type":"article-journal","container-title":"Proceedings of the 3rd international workshop on distributed statistical computing","issue":"125.10","title":"JAGS: A program for analysis of Bayesian graphical models using Gibbs sampling","volume":"124","author":[{"family":"Plummer","given":"Martyn"}],"issued":{"date-parts":[["2003"]]}}}],"schema":"https://github.com/citation-style-language/schema/raw/master/csl-citation.json"} </w:instrText>
      </w:r>
      <w:r w:rsidR="00D52D77">
        <w:fldChar w:fldCharType="separate"/>
      </w:r>
      <w:r w:rsidR="00D52D77">
        <w:rPr>
          <w:noProof/>
        </w:rPr>
        <w:t>(Plummer, 2003, version 4.3.0)</w:t>
      </w:r>
      <w:r w:rsidR="00D52D77">
        <w:fldChar w:fldCharType="end"/>
      </w:r>
      <w:r>
        <w:t xml:space="preserve"> using R</w:t>
      </w:r>
      <w:r w:rsidR="00D52D77">
        <w:t xml:space="preserve"> </w:t>
      </w:r>
      <w:r w:rsidR="00D52D77">
        <w:fldChar w:fldCharType="begin"/>
      </w:r>
      <w:r w:rsidR="00925D18">
        <w:instrText xml:space="preserve"> ADDIN ZOTERO_ITEM CSL_CITATION {"citationID":"U3P1MDVz","properties":{"formattedCitation":"(R Core Team, 2020)","plainCitation":"(R Core Team, 2020)","dontUpdate":true,"noteIndex":0},"citationItems":[{"id":104,"uris":["http://zotero.org/users/6391447/items/V7TK7J44"],"itemData":{"id":104,"type":"software","event-place":"Vienna, Austria","publisher":"R Foundation for Statistical Computing","publisher-place":"Vienna, Austria","title":"R: A language and environment for statistical computing","URL":"https://www.R-project.org/","author":[{"family":"R Core Team","given":""}],"issued":{"date-parts":[["2020"]]}}}],"schema":"https://github.com/citation-style-language/schema/raw/master/csl-citation.json"} </w:instrText>
      </w:r>
      <w:r w:rsidR="00D52D77">
        <w:fldChar w:fldCharType="separate"/>
      </w:r>
      <w:r w:rsidR="00D52D77">
        <w:rPr>
          <w:noProof/>
        </w:rPr>
        <w:t>(R Core Team, 2020, version 4.5.1)</w:t>
      </w:r>
      <w:r w:rsidR="00D52D77">
        <w:fldChar w:fldCharType="end"/>
      </w:r>
      <w:r>
        <w:t xml:space="preserve"> and the jagsUI wrapper package</w:t>
      </w:r>
      <w:r w:rsidR="00D52D77">
        <w:t xml:space="preserve"> </w:t>
      </w:r>
      <w:r w:rsidR="00D52D77">
        <w:fldChar w:fldCharType="begin"/>
      </w:r>
      <w:r w:rsidR="00925D18">
        <w:instrText xml:space="preserve"> ADDIN ZOTERO_ITEM CSL_CITATION {"citationID":"J4TKAO6M","properties":{"formattedCitation":"(Kellner, 2021)","plainCitation":"(Kellner, 2021)","dontUpdate":true,"noteIndex":0},"citationItems":[{"id":2380,"uris":["http://zotero.org/users/6391447/items/3FKABM4L"],"itemData":{"id":2380,"type":"software","genre":"R","title":"jagsUI: a wrapper around 'rjags' to streamline JAGS analyses","URL":"https://CRAN.R-project.org/package=jagsUI","version":"1.5.2","author":[{"family":"Kellner","given":"K"}],"issued":{"date-parts":[["2021"]]}}}],"schema":"https://github.com/citation-style-language/schema/raw/master/csl-citation.json"} </w:instrText>
      </w:r>
      <w:r w:rsidR="00D52D77">
        <w:fldChar w:fldCharType="separate"/>
      </w:r>
      <w:r w:rsidR="00D52D77">
        <w:rPr>
          <w:noProof/>
        </w:rPr>
        <w:t>(Kellner, 2021, version 1.6.2)</w:t>
      </w:r>
      <w:r w:rsidR="00D52D77">
        <w:fldChar w:fldCharType="end"/>
      </w:r>
      <w:r>
        <w:t>. We prepared data using the here</w:t>
      </w:r>
      <w:r w:rsidR="00D52D77">
        <w:t xml:space="preserve"> </w:t>
      </w:r>
      <w:r w:rsidR="00D52D77">
        <w:fldChar w:fldCharType="begin"/>
      </w:r>
      <w:r w:rsidR="00925D18">
        <w:instrText xml:space="preserve"> ADDIN ZOTERO_ITEM CSL_CITATION {"citationID":"Va8Ahm78","properties":{"formattedCitation":"(Muller, 2020)","plainCitation":"(Muller, 2020)","dontUpdate":true,"noteIndex":0},"citationItems":[{"id":101,"uris":["http://zotero.org/users/6391447/items/QLQDJ9T4"],"itemData":{"id":101,"type":"software","genre":"R","title":"here: A simpler way to find your files","URL":"https://CRAN.R-project.org/package=here","version":"1.0.1","author":[{"family":"Muller","given":"Kirill"}],"issued":{"date-parts":[["2020"]]}}}],"schema":"https://github.com/citation-style-language/schema/raw/master/csl-citation.json"} </w:instrText>
      </w:r>
      <w:r w:rsidR="00D52D77">
        <w:fldChar w:fldCharType="separate"/>
      </w:r>
      <w:r w:rsidR="00D52D77">
        <w:rPr>
          <w:noProof/>
        </w:rPr>
        <w:t>(Muller, 2020, version 1.0.1)</w:t>
      </w:r>
      <w:r w:rsidR="00D52D77">
        <w:fldChar w:fldCharType="end"/>
      </w:r>
      <w:r>
        <w:t xml:space="preserve">, tidyverse </w:t>
      </w:r>
      <w:r w:rsidR="00D52D77">
        <w:fldChar w:fldCharType="begin"/>
      </w:r>
      <w:r w:rsidR="00925D18">
        <w:instrText xml:space="preserve"> ADDIN ZOTERO_ITEM CSL_CITATION {"citationID":"jDQX3ElH","properties":{"formattedCitation":"(Wickham et al., 2019)","plainCitation":"(Wickham et al., 2019)","dontUpdate":true,"noteIndex":0},"citationItems":[{"id":103,"uris":["http://zotero.org/users/6391447/items/Z5MZP2MP"],"itemData":{"id":103,"type":"article-journal","abstract":"At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next.","container-title":"Journal of Open Source Software","DOI":"10.21105/joss.01686","ISSN":"2475-9066","issue":"43","journalAbbreviation":"JOSS","language":"en","page":"1686","source":"DOI.org (Crossref)","title":"Welcome to the Tidyverse","volume":"4","author":[{"family":"Wickham","given":"Hadley"},{"family":"Averick","given":"Mara"},{"family":"Bryan","given":"Jennifer"},{"family":"Chang","given":"Winston"},{"family":"McGowan","given":"Lucy"},{"family":"François","given":"Romain"},{"family":"Grolemund","given":"Garrett"},{"family":"Hayes","given":"Alex"},{"family":"Henry","given":"Lionel"},{"family":"Hester","given":"Jim"},{"family":"Kuhn","given":"Max"},{"family":"Pedersen","given":"Thomas"},{"family":"Miller","given":"Evan"},{"family":"Bache","given":"Stephan"},{"family":"Müller","given":"Kirill"},{"family":"Ooms","given":"Jeroen"},{"family":"Robinson","given":"David"},{"family":"Seidel","given":"Dana"},{"family":"Spinu","given":"Vitalie"},{"family":"Takahashi","given":"Kohske"},{"family":"Vaughan","given":"Davis"},{"family":"Wilke","given":"Claus"},{"family":"Woo","given":"Kara"},{"family":"Yutani","given":"Hiroaki"}],"issued":{"date-parts":[["2019",11,21]]}}}],"schema":"https://github.com/citation-style-language/schema/raw/master/csl-citation.json"} </w:instrText>
      </w:r>
      <w:r w:rsidR="00D52D77">
        <w:fldChar w:fldCharType="separate"/>
      </w:r>
      <w:r w:rsidR="00D52D77">
        <w:rPr>
          <w:noProof/>
        </w:rPr>
        <w:t>(Wickham et al., 2019, version 2.0.0)</w:t>
      </w:r>
      <w:r w:rsidR="00D52D77">
        <w:fldChar w:fldCharType="end"/>
      </w:r>
      <w:r>
        <w:t>, sf</w:t>
      </w:r>
      <w:r w:rsidR="00D52D77">
        <w:t xml:space="preserve"> </w:t>
      </w:r>
      <w:r w:rsidR="00D52D77">
        <w:fldChar w:fldCharType="begin"/>
      </w:r>
      <w:r w:rsidR="00925D18">
        <w:instrText xml:space="preserve"> ADDIN ZOTERO_ITEM CSL_CITATION {"citationID":"NjWnVWRa","properties":{"formattedCitation":"(Pebesma &amp; Bivand, 2023)","plainCitation":"(Pebesma &amp; Bivand, 2023)","dontUpdate":true,"noteIndex":0},"citationItems":[{"id":2884,"uris":["http://zotero.org/groups/5634119/items/R9PIG4SB"],"itemData":{"id":2884,"type":"book","edition":"1","event-place":"New York","ISBN":"978-0-429-45901-6","language":"en","note":"DOI: 10.1201/9780429459016","publisher":"Chapman and Hall/CRC","publisher-place":"New York","source":"Crossref","title":"Spatial Data Science: With Applications in R","title-short":"Spatial Data Science","URL":"https://www.taylorfrancis.com/books/9780429459016","author":[{"family":"Pebesma","given":"Edzer"},{"family":"Bivand","given":"Roger"}],"accessed":{"date-parts":[["2025",7,16]]},"issued":{"date-parts":[["2023",5,10]]}}}],"schema":"https://github.com/citation-style-language/schema/raw/master/csl-citation.json"} </w:instrText>
      </w:r>
      <w:r w:rsidR="00D52D77">
        <w:fldChar w:fldCharType="separate"/>
      </w:r>
      <w:r w:rsidR="00D52D77">
        <w:rPr>
          <w:noProof/>
        </w:rPr>
        <w:t>(Pebesma &amp; Bivand, 2023, version 1.0.21)</w:t>
      </w:r>
      <w:r w:rsidR="00D52D77">
        <w:fldChar w:fldCharType="end"/>
      </w:r>
      <w:r>
        <w:t>, terra</w:t>
      </w:r>
      <w:r w:rsidR="00D52D77">
        <w:t xml:space="preserve"> </w:t>
      </w:r>
      <w:r w:rsidR="00D52D77">
        <w:fldChar w:fldCharType="begin"/>
      </w:r>
      <w:r w:rsidR="00925D18">
        <w:instrText xml:space="preserve"> ADDIN ZOTERO_ITEM CSL_CITATION {"citationID":"VKB8UVpX","properties":{"formattedCitation":"(Hijmans, 2020)","plainCitation":"(Hijmans, 2020)","dontUpdate":true,"noteIndex":0},"citationItems":[{"id":2885,"uris":["http://zotero.org/groups/5634119/items/7HSV3ZUH"],"itemData":{"id":2885,"type":"dataset","DOI":"10.32614/cran.package.terra","note":"collection-title: CRAN: Contributed Packages","publisher":"The R Foundation","source":"Crossref","title":"terra: Spatial Data Analysis","title-short":"terra","URL":"https://CRAN.R-project.org/package=terra","author":[{"family":"Hijmans","given":"Robert J."}],"accessed":{"date-parts":[["2025",7,16]]},"issued":{"date-parts":[["2020",3,20]]}}}],"schema":"https://github.com/citation-style-language/schema/raw/master/csl-citation.json"} </w:instrText>
      </w:r>
      <w:r w:rsidR="00D52D77">
        <w:fldChar w:fldCharType="separate"/>
      </w:r>
      <w:r w:rsidR="00D52D77">
        <w:rPr>
          <w:noProof/>
        </w:rPr>
        <w:t>(Hijmans, 2020, version 1.8.54)</w:t>
      </w:r>
      <w:r w:rsidR="00D52D77">
        <w:fldChar w:fldCharType="end"/>
      </w:r>
      <w:r>
        <w:t xml:space="preserve">, readxl </w:t>
      </w:r>
      <w:r w:rsidR="00D52D77">
        <w:fldChar w:fldCharType="begin"/>
      </w:r>
      <w:r w:rsidR="00925D18">
        <w:instrText xml:space="preserve"> ADDIN ZOTERO_ITEM CSL_CITATION {"citationID":"92lam9QR","properties":{"formattedCitation":"(Wickham &amp; Bryan, 2015)","plainCitation":"(Wickham &amp; Bryan, 2015)","dontUpdate":true,"noteIndex":0},"citationItems":[{"id":2745,"uris":["http://zotero.org/users/6391447/items/IBQSLUBY"],"itemData":{"id":2745,"type":"dataset","abstract":"Import excel files into R. Supports '.xls' via the embedded 'libxls' C library &lt;https://github.com/libxls/libxls&gt; and '.xlsx' via the embedded 'RapidXML' C++ library &lt;https://rapidxml.sourceforge.net/&gt;. Works on Windows, Mac and Linux without external dependencies.","DOI":"10.32614/CRAN.package.readxl","language":"en","note":"Institution: Comprehensive R Archive Network\npage: 1.4.3","source":"DOI.org (Crossref)","title":"readxl: Read Excel Files","title-short":"readxl","URL":"https://CRAN.R-project.org/package=readxl","author":[{"family":"Wickham","given":"Hadley"},{"family":"Bryan","given":"Jennifer"}],"accessed":{"date-parts":[["2025",2,24]]},"issued":{"date-parts":[["2015",4,14]]}}}],"schema":"https://github.com/citation-style-language/schema/raw/master/csl-citation.json"} </w:instrText>
      </w:r>
      <w:r w:rsidR="00D52D77">
        <w:fldChar w:fldCharType="separate"/>
      </w:r>
      <w:r w:rsidR="00D52D77">
        <w:rPr>
          <w:noProof/>
        </w:rPr>
        <w:t>(Wickham &amp; Bryan, 2015, version 1.4.5)</w:t>
      </w:r>
      <w:r w:rsidR="00D52D77">
        <w:fldChar w:fldCharType="end"/>
      </w:r>
      <w:r>
        <w:t>, exactextractr</w:t>
      </w:r>
      <w:r w:rsidR="00D52D77">
        <w:t xml:space="preserve"> </w:t>
      </w:r>
      <w:r w:rsidR="00D52D77">
        <w:fldChar w:fldCharType="begin"/>
      </w:r>
      <w:r w:rsidR="004D1644">
        <w:instrText xml:space="preserve"> ADDIN ZOTERO_ITEM CSL_CITATION {"citationID":"z3f7F387","properties":{"formattedCitation":"(Daniel Baston, 2019)","plainCitation":"(Daniel Baston, 2019)","dontUpdate":true,"noteIndex":0},"citationItems":[{"id":2887,"uris":["http://zotero.org/users/6391447/items/E2DRXRIV"],"itemData":{"id":2887,"type":"dataset","DOI":"10.32614/cran.package.exactextractr","note":"collection-title: CRAN: Contributed Packages","publisher":"The R Foundation","source":"Crossref","title":"exactextractr: Fast Extraction from Raster Datasets using Polygons","title-short":"exactextractr","URL":"https://CRAN.R-project.org/package=exactextractr","author":[{"literal":"Daniel Baston"}],"accessed":{"date-parts":[["2025",7,16]]},"issued":{"date-parts":[["2019",8,1]]}}}],"schema":"https://github.com/citation-style-language/schema/raw/master/csl-citation.json"} </w:instrText>
      </w:r>
      <w:r w:rsidR="00D52D77">
        <w:fldChar w:fldCharType="separate"/>
      </w:r>
      <w:r w:rsidR="00925D18">
        <w:rPr>
          <w:noProof/>
        </w:rPr>
        <w:t>(Daniel Baston, 2019, version 0.10.0)</w:t>
      </w:r>
      <w:r w:rsidR="00D52D77">
        <w:fldChar w:fldCharType="end"/>
      </w:r>
      <w:r>
        <w:t>, spatialEco</w:t>
      </w:r>
      <w:r w:rsidR="00925D18">
        <w:t xml:space="preserve"> </w:t>
      </w:r>
      <w:r w:rsidR="00925D18">
        <w:fldChar w:fldCharType="begin"/>
      </w:r>
      <w:r w:rsidR="004D1644">
        <w:instrText xml:space="preserve"> ADDIN ZOTERO_ITEM CSL_CITATION {"citationID":"UBNSVsAy","properties":{"formattedCitation":"(Evans &amp; Murphy, 2023)","plainCitation":"(Evans &amp; Murphy, 2023)","dontUpdate":true,"noteIndex":0},"citationItems":[{"id":2890,"uris":["http://zotero.org/users/6391447/items/ST4LHMBV"],"itemData":{"id":2890,"type":"software","title":"spatialEco","version":"2.0-2","author":[{"family":"Evans","given":"Jeffrey S"},{"family":"Murphy","given":"Melanie A"}],"issued":{"date-parts":[["2023"]]}}}],"schema":"https://github.com/citation-style-language/schema/raw/master/csl-citation.json"} </w:instrText>
      </w:r>
      <w:r w:rsidR="00925D18">
        <w:fldChar w:fldCharType="separate"/>
      </w:r>
      <w:r w:rsidR="00925D18">
        <w:rPr>
          <w:noProof/>
        </w:rPr>
        <w:t>(Evans &amp; Murphy, 2023, version 2.0-2)</w:t>
      </w:r>
      <w:r w:rsidR="00925D18">
        <w:fldChar w:fldCharType="end"/>
      </w:r>
      <w:r>
        <w:t>, nngeo</w:t>
      </w:r>
      <w:r w:rsidR="00925D18">
        <w:t xml:space="preserve"> </w:t>
      </w:r>
      <w:r w:rsidR="00925D18">
        <w:fldChar w:fldCharType="begin"/>
      </w:r>
      <w:r w:rsidR="004D1644">
        <w:instrText xml:space="preserve"> ADDIN ZOTERO_ITEM CSL_CITATION {"citationID":"jEIMje0w","properties":{"formattedCitation":"(Dorman, 2018)","plainCitation":"(Dorman, 2018)","dontUpdate":true,"noteIndex":0},"citationItems":[{"id":2891,"uris":["http://zotero.org/users/6391447/items/JAZVYA8W"],"itemData":{"id":2891,"type":"dataset","DOI":"10.32614/cran.package.nngeo","note":"collection-title: CRAN: Contributed Packages","publisher":"The R Foundation","source":"Crossref","title":"nngeo: k-Nearest Neighbor Join for Spatial Data","title-short":"nngeo","URL":"https://CRAN.R-project.org/package=nngeo","author":[{"family":"Dorman","given":"Michael"}],"accessed":{"date-parts":[["2025",7,16]]},"issued":{"date-parts":[["2018",1,16]]}}}],"schema":"https://github.com/citation-style-language/schema/raw/master/csl-citation.json"} </w:instrText>
      </w:r>
      <w:r w:rsidR="00925D18">
        <w:fldChar w:fldCharType="separate"/>
      </w:r>
      <w:r w:rsidR="00925D18">
        <w:rPr>
          <w:noProof/>
        </w:rPr>
        <w:t xml:space="preserve">(Dorman, 2018, </w:t>
      </w:r>
      <w:r w:rsidR="00925D18">
        <w:rPr>
          <w:noProof/>
        </w:rPr>
        <w:lastRenderedPageBreak/>
        <w:t>version 0.4.8)</w:t>
      </w:r>
      <w:r w:rsidR="00925D18">
        <w:fldChar w:fldCharType="end"/>
      </w:r>
      <w:r>
        <w:t>, auk</w:t>
      </w:r>
      <w:r w:rsidR="00925D18">
        <w:t xml:space="preserve"> </w:t>
      </w:r>
      <w:r w:rsidR="00925D18">
        <w:fldChar w:fldCharType="begin"/>
      </w:r>
      <w:r w:rsidR="004D1644">
        <w:instrText xml:space="preserve"> ADDIN ZOTERO_ITEM CSL_CITATION {"citationID":"gsLo05wM","properties":{"formattedCitation":"(Strimas-Mackey et al., 2017)","plainCitation":"(Strimas-Mackey et al., 2017)","dontUpdate":true,"noteIndex":0},"citationItems":[{"id":2893,"uris":["http://zotero.org/users/6391447/items/L83D3JCT"],"itemData":{"id":2893,"type":"dataset","DOI":"10.32614/cran.package.auk","note":"collection-title: CRAN: Contributed Packages","publisher":"The R Foundation","source":"Crossref","title":"auk: eBird Data Extraction and Processing in R","title-short":"auk","URL":"https://CRAN.R-project.org/package=auk","author":[{"family":"Strimas-Mackey","given":"Matthew"},{"family":"Miller","given":"Eliot"},{"family":"Hochachka","given":"Wesley"}],"accessed":{"date-parts":[["2025",7,16]]},"issued":{"date-parts":[["2017",7,5]]}}}],"schema":"https://github.com/citation-style-language/schema/raw/master/csl-citation.json"} </w:instrText>
      </w:r>
      <w:r w:rsidR="00925D18">
        <w:fldChar w:fldCharType="separate"/>
      </w:r>
      <w:r w:rsidR="00925D18">
        <w:rPr>
          <w:noProof/>
        </w:rPr>
        <w:t>(Strimas-Mackey et al., 2017, version 0.8.2)</w:t>
      </w:r>
      <w:r w:rsidR="00925D18">
        <w:fldChar w:fldCharType="end"/>
      </w:r>
      <w:r>
        <w:t>, lubridate</w:t>
      </w:r>
      <w:r w:rsidR="00925D18">
        <w:t xml:space="preserve"> </w:t>
      </w:r>
      <w:r w:rsidR="00925D18">
        <w:fldChar w:fldCharType="begin"/>
      </w:r>
      <w:r w:rsidR="004D1644">
        <w:instrText xml:space="preserve"> ADDIN ZOTERO_ITEM CSL_CITATION {"citationID":"gYbIPxjJ","properties":{"formattedCitation":"(Grolemund &amp; Wickham, 2011)","plainCitation":"(Grolemund &amp; Wickham, 2011)","dontUpdate":true,"noteIndex":0},"citationItems":[{"id":2895,"uris":["http://zotero.org/users/6391447/items/DX7GM6WB"],"itemData":{"id":2895,"type":"article-journal","container-title":"Journal of Statistical Software","DOI":"10.18637/jss.v040.i03","ISSN":"1548-7660","issue":"3","journalAbbreviation":"J. Stat. Soft.","language":"en","note":"publisher: Foundation for Open Access Statistic","source":"Crossref","title":"Dates and Times Made Easy with&lt;b&gt;lubridate&lt;/b&gt;","URL":"http://www.jstatsoft.org/v40/i03/","volume":"40","author":[{"family":"Grolemund","given":"Garrett"},{"family":"Wickham","given":"Hadley"}],"accessed":{"date-parts":[["2025",7,16]]},"issued":{"date-parts":[["2011"]]}}}],"schema":"https://github.com/citation-style-language/schema/raw/master/csl-citation.json"} </w:instrText>
      </w:r>
      <w:r w:rsidR="00925D18">
        <w:fldChar w:fldCharType="separate"/>
      </w:r>
      <w:r w:rsidR="00925D18">
        <w:rPr>
          <w:noProof/>
        </w:rPr>
        <w:t>(Grolemund &amp; Wickham, 2011, version 1.9.4)</w:t>
      </w:r>
      <w:r w:rsidR="00925D18">
        <w:fldChar w:fldCharType="end"/>
      </w:r>
      <w:r>
        <w:t>, prism</w:t>
      </w:r>
      <w:r w:rsidR="00925D18">
        <w:t xml:space="preserve"> </w:t>
      </w:r>
      <w:r w:rsidR="00925D18">
        <w:fldChar w:fldCharType="begin"/>
      </w:r>
      <w:r w:rsidR="004D1644">
        <w:instrText xml:space="preserve"> ADDIN ZOTERO_ITEM CSL_CITATION {"citationID":"smccobBF","properties":{"formattedCitation":"(Hart &amp; Bell, 2015)","plainCitation":"(Hart &amp; Bell, 2015)","dontUpdate":true,"noteIndex":0},"citationItems":[{"id":2896,"uris":["http://zotero.org/users/6391447/items/GFDELV22"],"itemData":{"id":2896,"type":"software","abstract":"Allows users to access the Oregon State Prism climate data. Using the webservice API data can easily downloaded in bulk and loaded into R for spatial analysis. Some user friendly visualizations are also provided.","license":"MIT License, Open Access","note":"DOI: 10.5281/ZENODO.33663","publisher":"Zenodo","source":"DOI.org (Datacite)","title":"prism: Access data from the Oregon State Prism climate project","title-short":"prism","URL":"https://zenodo.org/record/33663","author":[{"family":"Hart","given":"Edmund"},{"family":"Bell","given":"Kendon"}],"accessed":{"date-parts":[["2025",7,16]]},"issued":{"date-parts":[["2015",11,12]]}}}],"schema":"https://github.com/citation-style-language/schema/raw/master/csl-citation.json"} </w:instrText>
      </w:r>
      <w:r w:rsidR="00925D18">
        <w:fldChar w:fldCharType="separate"/>
      </w:r>
      <w:r w:rsidR="00925D18">
        <w:rPr>
          <w:noProof/>
        </w:rPr>
        <w:t>(Hart &amp; Bell, 2015, version 0.0.6)</w:t>
      </w:r>
      <w:r w:rsidR="00925D18">
        <w:fldChar w:fldCharType="end"/>
      </w:r>
      <w:r>
        <w:t xml:space="preserve">, </w:t>
      </w:r>
      <w:r w:rsidR="00D52D77">
        <w:t>FNN</w:t>
      </w:r>
      <w:r w:rsidR="00925D18">
        <w:t xml:space="preserve"> </w:t>
      </w:r>
      <w:r w:rsidR="00925D18">
        <w:fldChar w:fldCharType="begin"/>
      </w:r>
      <w:r w:rsidR="004D1644">
        <w:instrText xml:space="preserve"> ADDIN ZOTERO_ITEM CSL_CITATION {"citationID":"2atpAqRi","properties":{"formattedCitation":"(Beygelzimer et al., 2010)","plainCitation":"(Beygelzimer et al., 2010)","dontUpdate":true,"noteIndex":0},"citationItems":[{"id":2897,"uris":["http://zotero.org/users/6391447/items/986APTZN"],"itemData":{"id":2897,"type":"dataset","DOI":"10.32614/cran.package.fnn","note":"collection-title: CRAN: Contributed Packages","publisher":"The R Foundation","source":"Crossref","title":"FNN: Fast Nearest Neighbor Search Algorithms and Applications","title-short":"FNN","URL":"https://CRAN.R-project.org/package=FNN","author":[{"family":"Beygelzimer","given":"Alina"},{"family":"Kakadet","given":"Sham"},{"family":"Langford","given":"John"},{"family":"Arya","given":"Sunil"},{"family":"Mount","given":"David"},{"family":"Li","given":"Shengqiao"}],"accessed":{"date-parts":[["2025",7,16]]},"issued":{"date-parts":[["2010",3,17]]}}}],"schema":"https://github.com/citation-style-language/schema/raw/master/csl-citation.json"} </w:instrText>
      </w:r>
      <w:r w:rsidR="00925D18">
        <w:fldChar w:fldCharType="separate"/>
      </w:r>
      <w:r w:rsidR="00925D18">
        <w:rPr>
          <w:noProof/>
        </w:rPr>
        <w:t>(Beygelzimer et al., 2010, version 1.1.4.1)</w:t>
      </w:r>
      <w:r w:rsidR="00925D18">
        <w:fldChar w:fldCharType="end"/>
      </w:r>
      <w:r w:rsidR="00D52D77">
        <w:t xml:space="preserve">, </w:t>
      </w:r>
      <w:r>
        <w:t xml:space="preserve">and data.table </w:t>
      </w:r>
      <w:r w:rsidR="00925D18">
        <w:fldChar w:fldCharType="begin"/>
      </w:r>
      <w:r w:rsidR="004D1644">
        <w:instrText xml:space="preserve"> ADDIN ZOTERO_ITEM CSL_CITATION {"citationID":"kaFAuBDu","properties":{"formattedCitation":"(Barrett et al., 2006)","plainCitation":"(Barrett et al., 2006)","dontUpdate":true,"noteIndex":0},"citationItems":[{"id":2817,"uris":["http://zotero.org/users/6391447/items/G7RZHXS7"],"itemData":{"id":2817,"type":"dataset","DOI":"10.32614/cran.package.data.table","note":"collection-title: CRAN: Contributed Packages","publisher":"The R Foundation","source":"Crossref","title":"data.table: Extension of `data.frame`","title-short":"data.table","URL":"https://CRAN.R-project.org/package=data.table","author":[{"family":"Barrett","given":"Tyson"},{"family":"Dowle","given":"Matt"},{"family":"Srinivasan","given":"Arun"},{"family":"Gorecki","given":"Jan"},{"family":"Chirico","given":"Michael"},{"family":"Hocking","given":"Toby"},{"family":"Schwendinger","given":"Benjamin"},{"family":"Krylov","given":"Ivan"}],"accessed":{"date-parts":[["2025",7,7]]},"issued":{"date-parts":[["2006",4,15]]}}}],"schema":"https://github.com/citation-style-language/schema/raw/master/csl-citation.json"} </w:instrText>
      </w:r>
      <w:r w:rsidR="00925D18">
        <w:fldChar w:fldCharType="separate"/>
      </w:r>
      <w:r w:rsidR="00925D18">
        <w:rPr>
          <w:noProof/>
        </w:rPr>
        <w:t>(Barrett et al., 2006, version 1.17.6)</w:t>
      </w:r>
      <w:r w:rsidR="00925D18">
        <w:fldChar w:fldCharType="end"/>
      </w:r>
      <w:r w:rsidR="00925D18">
        <w:t xml:space="preserve"> </w:t>
      </w:r>
      <w:r>
        <w:t>packages.</w:t>
      </w:r>
    </w:p>
    <w:p w14:paraId="7DF38A79" w14:textId="0A07B61B" w:rsidR="008F6A89" w:rsidRDefault="49B9E889">
      <w:pPr>
        <w:pStyle w:val="BodyText"/>
        <w:ind w:firstLine="720"/>
      </w:pPr>
      <w:r>
        <w:t>We initially ran models to generate 4000 MCMC samples with which to determine how many iterations would be needed to reach convergence</w:t>
      </w:r>
      <w:r w:rsidR="7F77728F">
        <w:t xml:space="preserve"> on each parameter’s posterior distribution</w:t>
      </w:r>
      <w:r>
        <w:t xml:space="preserve">. We then </w:t>
      </w:r>
      <w:r w:rsidR="7F77728F">
        <w:t xml:space="preserve">used the Raftery diagnostic </w:t>
      </w:r>
      <w:r w:rsidR="0084104D">
        <w:fldChar w:fldCharType="begin"/>
      </w:r>
      <w:r w:rsidR="0084104D">
        <w:instrText xml:space="preserve"> ADDIN ZOTERO_ITEM CSL_CITATION {"citationID":"plsHxVHs","properties":{"formattedCitation":"(Raftery &amp; Lewis, 1995)","plainCitation":"(Raftery &amp; Lewis, 1995)","noteIndex":0},"citationItems":[{"id":2378,"uris":["http://zotero.org/users/6391447/items/JLZKIT24"],"itemData":{"id":2378,"type":"chapter","container-title":"Practical Markov Chain Monte Carlo","event-place":"London, U.K.","publisher":"Chapman and Hall","publisher-place":"London, U.K.","title":"The number of iterations, convergence diagnostics and generic Netropolis algorithms","author":[{"family":"Raftery","given":"A.E."},{"family":"Lewis","given":"S.M."}],"issued":{"date-parts":[["1995"]]}}}],"schema":"https://github.com/citation-style-language/schema/raw/master/csl-citation.json"} </w:instrText>
      </w:r>
      <w:r w:rsidR="0084104D">
        <w:fldChar w:fldCharType="separate"/>
      </w:r>
      <w:r w:rsidR="7F77728F">
        <w:rPr>
          <w:noProof/>
        </w:rPr>
        <w:t>(Raftery &amp; Lewis, 1995)</w:t>
      </w:r>
      <w:r w:rsidR="0084104D">
        <w:fldChar w:fldCharType="end"/>
      </w:r>
      <w:r w:rsidR="7F77728F">
        <w:t xml:space="preserve"> to determine the necessary number of iterations for each model and </w:t>
      </w:r>
      <w:r>
        <w:t>re-ran models with more iterations and initial values sufficient to reach convergence based on the raftery.diag() function in the coda package</w:t>
      </w:r>
      <w:r w:rsidR="3ECA0B4A">
        <w:t xml:space="preserve"> </w:t>
      </w:r>
      <w:r w:rsidR="00D67E4C">
        <w:fldChar w:fldCharType="begin"/>
      </w:r>
      <w:r w:rsidR="004D1644">
        <w:instrText xml:space="preserve"> ADDIN ZOTERO_ITEM CSL_CITATION {"citationID":"BH742N9I","properties":{"formattedCitation":"(Plummer et al., 1999)","plainCitation":"(Plummer et al., 1999)","dontUpdate":true,"noteIndex":0},"citationItems":[{"id":2741,"uris":["http://zotero.org/users/6391447/items/G5FC7FXU"],"itemData":{"id":2741,"type":"dataset","abstract":"Provides functions for summarizing and plotting the output from Markov Chain Monte Carlo (MCMC) simulations, as well as diagnostic tests of convergence to the equilibrium distribution of the Markov chain.","DOI":"10.32614/CRAN.package.coda","language":"en","note":"Institution: Comprehensive R Archive Network\npage: 0.19-4.1","source":"DOI.org (Crossref)","title":"coda: Output Analysis and Diagnostics for MCMC","title-short":"coda","URL":"https://CRAN.R-project.org/package=coda","author":[{"family":"Plummer","given":"Martyn"},{"family":"Best","given":"Nicky"},{"family":"Cowles","given":"Kate"},{"family":"Vines","given":"Karen"},{"family":"Sarkar","given":"Deepayan"},{"family":"Bates","given":"Douglas"},{"family":"Almond","given":"Russell"},{"family":"Magnusson","given":"Arni"}],"accessed":{"date-parts":[["2025",2,24]]},"issued":{"date-parts":[["1999",6,4]]}}}],"schema":"https://github.com/citation-style-language/schema/raw/master/csl-citation.json"} </w:instrText>
      </w:r>
      <w:r w:rsidR="00D67E4C">
        <w:fldChar w:fldCharType="separate"/>
      </w:r>
      <w:r w:rsidR="3ECA0B4A">
        <w:rPr>
          <w:noProof/>
        </w:rPr>
        <w:t>(Plummer et al., 1999, version 0.19.4.1)</w:t>
      </w:r>
      <w:r w:rsidR="00D67E4C">
        <w:fldChar w:fldCharType="end"/>
      </w:r>
      <w:r>
        <w:t>. We assessed model convergence by evaluating trace, history, and autocorrelation plots generated with the mcmcplots package</w:t>
      </w:r>
      <w:r w:rsidR="3ECA0B4A">
        <w:t xml:space="preserve"> </w:t>
      </w:r>
      <w:r w:rsidR="00D67E4C">
        <w:fldChar w:fldCharType="begin"/>
      </w:r>
      <w:r w:rsidR="004D1644">
        <w:instrText xml:space="preserve"> ADDIN ZOTERO_ITEM CSL_CITATION {"citationID":"eoEaHWxj","properties":{"formattedCitation":"(Curtis, 2010)","plainCitation":"(Curtis, 2010)","dontUpdate":true,"noteIndex":0},"citationItems":[{"id":2742,"uris":["http://zotero.org/users/6391447/items/J9AIIYIQ"],"itemData":{"id":2742,"type":"dataset","abstract":"Functions for convenient plotting and viewing of MCMC output.","DOI":"10.32614/CRAN.package.mcmcplots","language":"en","note":"Institution: Comprehensive R Archive Network\npage: 0.4.3","source":"DOI.org (Crossref)","title":"mcmcplots: Create Plots from MCMC Output","title-short":"mcmcplots","URL":"https://CRAN.R-project.org/package=mcmcplots","author":[{"family":"Curtis","given":"S. McKay"}],"accessed":{"date-parts":[["2025",2,24]]},"issued":{"date-parts":[["2010",7,6]]}}}],"schema":"https://github.com/citation-style-language/schema/raw/master/csl-citation.json"} </w:instrText>
      </w:r>
      <w:r w:rsidR="00D67E4C">
        <w:fldChar w:fldCharType="separate"/>
      </w:r>
      <w:r w:rsidR="3ECA0B4A">
        <w:rPr>
          <w:noProof/>
        </w:rPr>
        <w:t>(Curtis, 2010, version 0.4.3)</w:t>
      </w:r>
      <w:r w:rsidR="00D67E4C">
        <w:fldChar w:fldCharType="end"/>
      </w:r>
      <w:r>
        <w:t xml:space="preserve">. We quantified model convergence by evaluating whether Gelman-Ruman statistics, </w:t>
      </w:r>
      <m:oMath>
        <m:acc>
          <m:accPr>
            <m:ctrlPr>
              <w:rPr>
                <w:rFonts w:ascii="Cambria Math" w:hAnsi="Cambria Math"/>
              </w:rPr>
            </m:ctrlPr>
          </m:accPr>
          <m:e>
            <m:r>
              <w:rPr>
                <w:rFonts w:ascii="Cambria Math" w:hAnsi="Cambria Math"/>
              </w:rPr>
              <m:t>R</m:t>
            </m:r>
          </m:e>
        </m:acc>
      </m:oMath>
      <w:r>
        <w:t xml:space="preserve">, for all root nodes in the model were &lt; 1.1 </w:t>
      </w:r>
      <w:r w:rsidR="0084104D">
        <w:fldChar w:fldCharType="begin"/>
      </w:r>
      <w:r w:rsidR="0084104D">
        <w:instrText xml:space="preserve"> ADDIN ZOTERO_ITEM CSL_CITATION {"citationID":"heDqza6f","properties":{"formattedCitation":"(Gelman &amp; Rubin, 1992)","plainCitation":"(Gelman &amp; Rubin, 1992)","noteIndex":0},"citationItems":[{"id":2743,"uris":["http://zotero.org/users/6391447/items/EFEP3P3V"],"itemData":{"id":2743,"type":"article-journal","container-title":"Statistical Science","DOI":"10.1214/ss/1177011136","ISSN":"0883-4237","issue":"4","journalAbbreviation":"Statist. Sci.","source":"DOI.org (Crossref)","title":"Inference from Iterative Simulation Using Multiple Sequences","URL":"https://projecteuclid.org/journals/statistical-science/volume-7/issue-4/Inference-from-Iterative-Simulation-Using-Multiple-Sequences/10.1214/ss/1177011136.full","volume":"7","author":[{"family":"Gelman","given":"Andrew"},{"family":"Rubin","given":"Donald B."}],"accessed":{"date-parts":[["2025",2,24]]},"issued":{"date-parts":[["1992",11,1]]}}}],"schema":"https://github.com/citation-style-language/schema/raw/master/csl-citation.json"} </w:instrText>
      </w:r>
      <w:r w:rsidR="0084104D">
        <w:fldChar w:fldCharType="separate"/>
      </w:r>
      <w:r w:rsidR="7F77728F">
        <w:rPr>
          <w:noProof/>
        </w:rPr>
        <w:t>(Gelman &amp; Rubin, 1992)</w:t>
      </w:r>
      <w:r w:rsidR="0084104D">
        <w:fldChar w:fldCharType="end"/>
      </w:r>
      <w:r>
        <w:t>. We assessed model goodness-of-fit by comparing observed count data from eBird to predicted count data based on the model mean value</w:t>
      </w:r>
      <w:r w:rsidR="00CE2CA1">
        <w:t xml:space="preserve"> for number of birds per checklist</w:t>
      </w:r>
      <w:r>
        <w:t>. We verified the lack of spatial autocorrelation in observed data by examining the residual</w:t>
      </w:r>
      <w:r w:rsidR="04F57F86">
        <w:t xml:space="preserve"> variation from the model and its lack of spatial correlation within a year based on spline </w:t>
      </w:r>
      <w:r w:rsidR="00CE2CA1">
        <w:t>correlogram</w:t>
      </w:r>
      <w:r w:rsidR="04F57F86">
        <w:t xml:space="preserve"> using the R package ncf </w:t>
      </w:r>
      <w:r w:rsidR="00DF16ED">
        <w:fldChar w:fldCharType="begin"/>
      </w:r>
      <w:r w:rsidR="004D1644">
        <w:instrText xml:space="preserve"> ADDIN ZOTERO_ITEM CSL_CITATION {"citationID":"suDKjiax","properties":{"formattedCitation":"(Bjornstad, 2008)","plainCitation":"(Bjornstad, 2008)","dontUpdate":true,"noteIndex":0},"citationItems":[{"id":2901,"uris":["http://zotero.org/users/6391447/items/GJAI95VD"],"itemData":{"id":2901,"type":"dataset","DOI":"10.32614/cran.package.ncf","note":"collection-title: CRAN: Contributed Packages","publisher":"The R Foundation","source":"Crossref","title":"ncf: Spatial Covariance Functions","title-short":"ncf","URL":"https://CRAN.R-project.org/package=ncf","author":[{"family":"Bjornstad","given":"Ottar N."}],"accessed":{"date-parts":[["2025",7,16]]},"issued":{"date-parts":[["2008",4,14]]}}}],"schema":"https://github.com/citation-style-language/schema/raw/master/csl-citation.json"} </w:instrText>
      </w:r>
      <w:r w:rsidR="00DF16ED">
        <w:fldChar w:fldCharType="separate"/>
      </w:r>
      <w:r w:rsidR="04F57F86">
        <w:rPr>
          <w:noProof/>
        </w:rPr>
        <w:t>(Bjornstad, 2008, version 1.3-2)</w:t>
      </w:r>
      <w:r w:rsidR="00DF16ED">
        <w:fldChar w:fldCharType="end"/>
      </w:r>
      <w:r w:rsidR="04F57F86">
        <w:t>.</w:t>
      </w:r>
    </w:p>
    <w:p w14:paraId="03142D63" w14:textId="77777777" w:rsidR="008F6A89" w:rsidRDefault="00000000">
      <w:pPr>
        <w:pStyle w:val="Heading3"/>
      </w:pPr>
      <w:bookmarkStart w:id="21" w:name="out-of-sample-model-validation"/>
      <w:bookmarkEnd w:id="20"/>
      <w:r>
        <w:t>2.6 Out of sample model validation</w:t>
      </w:r>
    </w:p>
    <w:p w14:paraId="381DD1F5" w14:textId="33DE56C5" w:rsidR="008F6A89" w:rsidRDefault="49B9E889" w:rsidP="000C6F45">
      <w:pPr>
        <w:pStyle w:val="FirstParagraph"/>
      </w:pPr>
      <w:r>
        <w:t xml:space="preserve">To evaluate </w:t>
      </w:r>
      <w:r w:rsidR="6357FDCA">
        <w:t>predictions</w:t>
      </w:r>
      <w:r w:rsidR="0CC47B1B">
        <w:t xml:space="preserve"> outside of data used to train </w:t>
      </w:r>
      <w:r w:rsidR="1487F245">
        <w:t>the model</w:t>
      </w:r>
      <w:r>
        <w:t xml:space="preserve">, we performed the same set of steps for spatially and temporally stratifying available checklists from eBird (section </w:t>
      </w:r>
      <w:r w:rsidR="04F57F86">
        <w:t xml:space="preserve">2.3 </w:t>
      </w:r>
      <w:r>
        <w:t xml:space="preserve">above), ensuring that we selected checklists that were not used in model fitting. We had 20,380 checklists that represented “out of sample” data. We predicted out of sample model fit using ~1000 posterior samples for covariate effects and intercepts from the test dataset and model. We </w:t>
      </w:r>
      <w:r w:rsidR="000C6F45">
        <w:lastRenderedPageBreak/>
        <w:t xml:space="preserve">then </w:t>
      </w:r>
      <w:r w:rsidR="00CE2CA1">
        <w:t xml:space="preserve">compared </w:t>
      </w:r>
      <w:r w:rsidR="000C6F45">
        <w:t>model fit (</w:t>
      </w:r>
      <w:r>
        <w:t>RMSE</w:t>
      </w:r>
      <w:r w:rsidR="00AD2B50">
        <w:t xml:space="preserve"> </w:t>
      </w:r>
      <w:r w:rsidR="00AD2B50" w:rsidRPr="00AD2B50">
        <w:rPr>
          <w:highlight w:val="yellow"/>
        </w:rPr>
        <w:t>and R</w:t>
      </w:r>
      <w:r w:rsidR="00AD2B50" w:rsidRPr="00AD2B50">
        <w:rPr>
          <w:highlight w:val="yellow"/>
          <w:vertAlign w:val="superscript"/>
        </w:rPr>
        <w:t>2</w:t>
      </w:r>
      <w:r w:rsidR="00AD2B50" w:rsidRPr="00AD2B50">
        <w:rPr>
          <w:highlight w:val="yellow"/>
        </w:rPr>
        <w:t xml:space="preserve"> between observed and predicted bird counts</w:t>
      </w:r>
      <w:r w:rsidR="000C6F45">
        <w:t>)</w:t>
      </w:r>
      <w:r>
        <w:t xml:space="preserve"> </w:t>
      </w:r>
      <w:r w:rsidR="00CE2CA1">
        <w:t xml:space="preserve">of the test and out-of-sample datasets. </w:t>
      </w:r>
    </w:p>
    <w:p w14:paraId="6B0C772D" w14:textId="77777777" w:rsidR="008F6A89" w:rsidRDefault="49B9E889">
      <w:pPr>
        <w:pStyle w:val="Heading1"/>
      </w:pPr>
      <w:bookmarkStart w:id="22" w:name="results"/>
      <w:bookmarkEnd w:id="0"/>
      <w:bookmarkEnd w:id="21"/>
      <w:r>
        <w:t>Results</w:t>
      </w:r>
    </w:p>
    <w:p w14:paraId="1000E05E" w14:textId="7B2A23C3" w:rsidR="0BF1CB5E" w:rsidRPr="00B51F5B" w:rsidRDefault="0BF1CB5E" w:rsidP="5A83A434">
      <w:pPr>
        <w:pStyle w:val="BodyText"/>
        <w:rPr>
          <w:i/>
          <w:iCs/>
          <w:u w:val="single"/>
        </w:rPr>
      </w:pPr>
      <w:r w:rsidRPr="5A83A434">
        <w:rPr>
          <w:i/>
          <w:iCs/>
          <w:u w:val="single"/>
        </w:rPr>
        <w:t>Modeled Effects of Seed Availability</w:t>
      </w:r>
    </w:p>
    <w:p w14:paraId="19C24274" w14:textId="5BCB3CCF" w:rsidR="008F6A89" w:rsidRDefault="6122F03A">
      <w:pPr>
        <w:pStyle w:val="BodyText"/>
        <w:ind w:firstLine="720"/>
      </w:pPr>
      <w:r>
        <w:t>Based on our fitted model, p</w:t>
      </w:r>
      <w:r w:rsidR="49B9E889">
        <w:t>inyon jay abundance was positively correlated with cone availability (</w:t>
      </w:r>
      <m:oMath>
        <m:acc>
          <m:accPr>
            <m:ctrlPr>
              <w:rPr>
                <w:rFonts w:ascii="Cambria Math" w:hAnsi="Cambria Math"/>
              </w:rPr>
            </m:ctrlPr>
          </m:accPr>
          <m:e>
            <m:r>
              <w:rPr>
                <w:rFonts w:ascii="Cambria Math" w:hAnsi="Cambria Math"/>
              </w:rPr>
              <m:t>β</m:t>
            </m:r>
          </m:e>
        </m:acc>
      </m:oMath>
      <w:r w:rsidR="49B9E889">
        <w:t xml:space="preserve"> = 0.95 [0.92, 0.98]). The importance weights of the years considered (two years before cones; three years after cones) indicate the greatest weight the year after cones (</w:t>
      </w:r>
      <m:oMath>
        <m:acc>
          <m:accPr>
            <m:ctrlPr>
              <w:rPr>
                <w:rFonts w:ascii="Cambria Math" w:hAnsi="Cambria Math"/>
              </w:rPr>
            </m:ctrlPr>
          </m:accPr>
          <m:e>
            <m:r>
              <w:rPr>
                <w:rFonts w:ascii="Cambria Math" w:hAnsi="Cambria Math"/>
              </w:rPr>
              <m:t>w</m:t>
            </m:r>
          </m:e>
        </m:acc>
      </m:oMath>
      <w:r w:rsidR="49B9E889">
        <w:t xml:space="preserve"> = 0.64 [0.60, 0.67]) and some weight to two and three years after cones (</w:t>
      </w:r>
      <m:oMath>
        <m:acc>
          <m:accPr>
            <m:ctrlPr>
              <w:rPr>
                <w:rFonts w:ascii="Cambria Math" w:hAnsi="Cambria Math"/>
              </w:rPr>
            </m:ctrlPr>
          </m:accPr>
          <m:e>
            <m:r>
              <w:rPr>
                <w:rFonts w:ascii="Cambria Math" w:hAnsi="Cambria Math"/>
              </w:rPr>
              <m:t>w</m:t>
            </m:r>
          </m:e>
        </m:acc>
      </m:oMath>
      <w:r w:rsidR="49B9E889">
        <w:t xml:space="preserve"> = 0.13 [0.07, 0.18] and 0.21 [0.17, 0.25], for two and three years after cones, respectively), though negligible weight for the years before cones (</w:t>
      </w:r>
      <m:oMath>
        <m:acc>
          <m:accPr>
            <m:ctrlPr>
              <w:rPr>
                <w:rFonts w:ascii="Cambria Math" w:hAnsi="Cambria Math"/>
              </w:rPr>
            </m:ctrlPr>
          </m:accPr>
          <m:e>
            <m:r>
              <w:rPr>
                <w:rFonts w:ascii="Cambria Math" w:hAnsi="Cambria Math"/>
              </w:rPr>
              <m:t>w</m:t>
            </m:r>
          </m:e>
        </m:acc>
      </m:oMath>
      <w:r w:rsidR="49B9E889">
        <w:t xml:space="preserve"> = 0.01 [0, 0.03] and 0.01 [0, 0.06] for two and one years before cones, respectively).</w:t>
      </w:r>
      <w:r w:rsidR="53511C8A">
        <w:t xml:space="preserve"> In other words, jay </w:t>
      </w:r>
      <w:r w:rsidR="4C1F8866">
        <w:t>abundance</w:t>
      </w:r>
      <w:r w:rsidR="53511C8A">
        <w:t xml:space="preserve"> in the spring breeding season </w:t>
      </w:r>
      <w:r w:rsidR="40346C63">
        <w:t>had a strong, positive relationship with</w:t>
      </w:r>
      <w:r w:rsidR="53511C8A">
        <w:t xml:space="preserve"> cone production in the p</w:t>
      </w:r>
      <w:r w:rsidR="299160E9">
        <w:t>rior</w:t>
      </w:r>
      <w:r w:rsidR="53511C8A">
        <w:t xml:space="preserve"> </w:t>
      </w:r>
      <w:r w:rsidR="14BCC7C4">
        <w:t>fall.</w:t>
      </w:r>
      <w:r w:rsidR="279A0052">
        <w:t xml:space="preserve"> Abundances </w:t>
      </w:r>
      <w:r w:rsidR="408FD636">
        <w:t>also remained higher in these same areas for up to three years after cone production.</w:t>
      </w:r>
    </w:p>
    <w:p w14:paraId="4C7C1995" w14:textId="197AAC59" w:rsidR="008F6A89" w:rsidRDefault="49B9E889" w:rsidP="00B51F5B">
      <w:pPr>
        <w:pStyle w:val="CaptionedFigure"/>
        <w:spacing w:line="259" w:lineRule="auto"/>
      </w:pPr>
      <w:r>
        <w:rPr>
          <w:noProof/>
        </w:rPr>
        <w:lastRenderedPageBreak/>
        <w:drawing>
          <wp:inline distT="0" distB="0" distL="0" distR="0" wp14:anchorId="7911B519" wp14:editId="28627EFC">
            <wp:extent cx="3810000" cy="2540000"/>
            <wp:effectExtent l="0" t="0" r="0" b="0"/>
            <wp:docPr id="33" name="Picture" descr="Figure 2: Covariate effects for all main covariates and their interactions with cones. All covariates were scaled and so their relative magnitudes of effect can be compared. All values represent posterior median and 95% Bayesian Credible Intervals and any covariate ranges that cross the dashed line at zero have no clear effect on pinyon jay abundance."/>
            <wp:cNvGraphicFramePr/>
            <a:graphic xmlns:a="http://schemas.openxmlformats.org/drawingml/2006/main">
              <a:graphicData uri="http://schemas.openxmlformats.org/drawingml/2006/picture">
                <pic:pic xmlns:pic="http://schemas.openxmlformats.org/drawingml/2006/picture">
                  <pic:nvPicPr>
                    <pic:cNvPr id="34" name="Picture" descr="../pictures/final/covariate_effects.jpg"/>
                    <pic:cNvPicPr>
                      <a:picLocks noChangeAspect="1" noChangeArrowheads="1"/>
                    </pic:cNvPicPr>
                  </pic:nvPicPr>
                  <pic:blipFill>
                    <a:blip r:embed="rId12"/>
                    <a:stretch>
                      <a:fillRect/>
                    </a:stretch>
                  </pic:blipFill>
                  <pic:spPr bwMode="auto">
                    <a:xfrm>
                      <a:off x="0" y="0"/>
                      <a:ext cx="3810000" cy="2540000"/>
                    </a:xfrm>
                    <a:prstGeom prst="rect">
                      <a:avLst/>
                    </a:prstGeom>
                    <a:noFill/>
                    <a:ln w="9525">
                      <a:noFill/>
                      <a:headEnd/>
                      <a:tailEnd/>
                    </a:ln>
                  </pic:spPr>
                </pic:pic>
              </a:graphicData>
            </a:graphic>
          </wp:inline>
        </w:drawing>
      </w:r>
    </w:p>
    <w:p w14:paraId="4FEE40DF" w14:textId="77777777" w:rsidR="008F6A89" w:rsidRDefault="49B9E889">
      <w:pPr>
        <w:pStyle w:val="ImageCaption"/>
      </w:pPr>
      <w:r>
        <w:t>Figure 2: Covariate effects for all main covariates and their interactions with cones. All covariates were scaled and so their relative magnitudes of effect can be compared. All values represent posterior median and 95% Bayesian Credible Intervals and any covariate ranges that cross the dashed line at zero have no clear effect on pinyon jay abundance.</w:t>
      </w:r>
    </w:p>
    <w:p w14:paraId="023B7964" w14:textId="77777777" w:rsidR="008F6A89" w:rsidRDefault="00000000">
      <w:pPr>
        <w:pStyle w:val="CaptionedFigure"/>
      </w:pPr>
      <w:r>
        <w:rPr>
          <w:noProof/>
        </w:rPr>
        <w:drawing>
          <wp:inline distT="0" distB="0" distL="0" distR="0" wp14:anchorId="17DBB008" wp14:editId="61FCE8E3">
            <wp:extent cx="5690616" cy="2932176"/>
            <wp:effectExtent l="0" t="0" r="0" b="0"/>
            <wp:docPr id="36" name="Picture" descr="Figure 3: Importance weights for the years considered for the relationship between pinyon jays and pinyon cone (seed) availability. Colored boxes indicate the three ecological hypotheses about the time period(s) of the relationship between jays and cones. The dashed line indicates the distinction between the years before cones (left) and years after cones (right)."/>
            <wp:cNvGraphicFramePr/>
            <a:graphic xmlns:a="http://schemas.openxmlformats.org/drawingml/2006/main">
              <a:graphicData uri="http://schemas.openxmlformats.org/drawingml/2006/picture">
                <pic:pic xmlns:pic="http://schemas.openxmlformats.org/drawingml/2006/picture">
                  <pic:nvPicPr>
                    <pic:cNvPr id="37" name="Picture" descr="../pictures/final/cone_weights.jpg"/>
                    <pic:cNvPicPr>
                      <a:picLocks noChangeAspect="1" noChangeArrowheads="1"/>
                    </pic:cNvPicPr>
                  </pic:nvPicPr>
                  <pic:blipFill>
                    <a:blip r:embed="rId13"/>
                    <a:stretch>
                      <a:fillRect/>
                    </a:stretch>
                  </pic:blipFill>
                  <pic:spPr bwMode="auto">
                    <a:xfrm>
                      <a:off x="0" y="0"/>
                      <a:ext cx="5690616" cy="2932176"/>
                    </a:xfrm>
                    <a:prstGeom prst="rect">
                      <a:avLst/>
                    </a:prstGeom>
                    <a:noFill/>
                    <a:ln w="9525">
                      <a:noFill/>
                      <a:headEnd/>
                      <a:tailEnd/>
                    </a:ln>
                  </pic:spPr>
                </pic:pic>
              </a:graphicData>
            </a:graphic>
          </wp:inline>
        </w:drawing>
      </w:r>
    </w:p>
    <w:p w14:paraId="3EACA4A8" w14:textId="77777777" w:rsidR="008F6A89" w:rsidRDefault="49B9E889">
      <w:pPr>
        <w:pStyle w:val="ImageCaption"/>
      </w:pPr>
      <w:r>
        <w:t>Figure 3: Importance weights for the years considered for the relationship between pinyon jays and pinyon cone (seed) availability. Colored boxes indicate the three ecological hypotheses about the time period(s) of the relationship between jays and cones. The dashed line indicates the distinction between the years before cones (left) and years after cones (right).</w:t>
      </w:r>
    </w:p>
    <w:p w14:paraId="4EC61673" w14:textId="287242CA" w:rsidR="008F6A89" w:rsidRPr="00B51F5B" w:rsidRDefault="32CAA183" w:rsidP="5A83A434">
      <w:pPr>
        <w:pStyle w:val="BodyText"/>
        <w:rPr>
          <w:i/>
          <w:iCs/>
          <w:u w:val="single"/>
        </w:rPr>
      </w:pPr>
      <w:r w:rsidRPr="5A83A434">
        <w:rPr>
          <w:i/>
          <w:iCs/>
          <w:u w:val="single"/>
        </w:rPr>
        <w:t>Mediating Effects of Habitat and Climate</w:t>
      </w:r>
    </w:p>
    <w:p w14:paraId="0FD729DD" w14:textId="3627C2D8" w:rsidR="000C6F45" w:rsidRDefault="000C6F45" w:rsidP="000C6F45">
      <w:pPr>
        <w:pStyle w:val="BodyText"/>
        <w:ind w:firstLine="720"/>
      </w:pPr>
      <w:r>
        <w:lastRenderedPageBreak/>
        <w:t>Based on the interactions between cone availability and other covariates in our fitted model, the relationship between pinyon jay abundance and cone availability was stronger at higher values of precipitation (</w:t>
      </w:r>
      <m:oMath>
        <m:acc>
          <m:accPr>
            <m:ctrlPr>
              <w:rPr>
                <w:rFonts w:ascii="Cambria Math" w:hAnsi="Cambria Math"/>
              </w:rPr>
            </m:ctrlPr>
          </m:accPr>
          <m:e>
            <m:r>
              <w:rPr>
                <w:rFonts w:ascii="Cambria Math" w:hAnsi="Cambria Math"/>
              </w:rPr>
              <m:t>β</m:t>
            </m:r>
          </m:e>
        </m:acc>
      </m:oMath>
      <w:r>
        <w:t xml:space="preserve"> = 0.60 [0.56, 0.66]) and maximum temperature (</w:t>
      </w:r>
      <m:oMath>
        <m:acc>
          <m:accPr>
            <m:ctrlPr>
              <w:rPr>
                <w:rFonts w:ascii="Cambria Math" w:hAnsi="Cambria Math"/>
              </w:rPr>
            </m:ctrlPr>
          </m:accPr>
          <m:e>
            <m:r>
              <w:rPr>
                <w:rFonts w:ascii="Cambria Math" w:hAnsi="Cambria Math"/>
              </w:rPr>
              <m:t>β</m:t>
            </m:r>
          </m:e>
        </m:acc>
      </m:oMath>
      <w:r>
        <w:t xml:space="preserve"> = 0.37 [0.33, 0.40]). Conversely, the relationship between pinyon jay abundance and cone availability was weaker at higher values of pinyon basal area (</w:t>
      </w:r>
      <m:oMath>
        <m:acc>
          <m:accPr>
            <m:ctrlPr>
              <w:rPr>
                <w:rFonts w:ascii="Cambria Math" w:hAnsi="Cambria Math"/>
              </w:rPr>
            </m:ctrlPr>
          </m:accPr>
          <m:e>
            <m:r>
              <w:rPr>
                <w:rFonts w:ascii="Cambria Math" w:hAnsi="Cambria Math"/>
              </w:rPr>
              <m:t>β</m:t>
            </m:r>
          </m:e>
        </m:acc>
      </m:oMath>
      <w:r>
        <w:t xml:space="preserve"> = -0.12 [-0.14, -0.11]) and monsoonality (</w:t>
      </w:r>
      <m:oMath>
        <m:acc>
          <m:accPr>
            <m:ctrlPr>
              <w:rPr>
                <w:rFonts w:ascii="Cambria Math" w:hAnsi="Cambria Math"/>
              </w:rPr>
            </m:ctrlPr>
          </m:accPr>
          <m:e>
            <m:r>
              <w:rPr>
                <w:rFonts w:ascii="Cambria Math" w:hAnsi="Cambria Math"/>
              </w:rPr>
              <m:t>β</m:t>
            </m:r>
          </m:e>
        </m:acc>
      </m:oMath>
      <w:r>
        <w:t xml:space="preserve"> = -0.21 [-0.25, -0.19]).</w:t>
      </w:r>
    </w:p>
    <w:p w14:paraId="158EBCD3" w14:textId="528588CA" w:rsidR="000C6F45" w:rsidRPr="00D85BFC" w:rsidRDefault="000C6F45" w:rsidP="000C6F45">
      <w:pPr>
        <w:pStyle w:val="BodyText"/>
        <w:rPr>
          <w:i/>
          <w:iCs/>
          <w:u w:val="single"/>
        </w:rPr>
      </w:pPr>
      <w:r>
        <w:rPr>
          <w:i/>
          <w:iCs/>
          <w:u w:val="single"/>
        </w:rPr>
        <w:t>Other Model Effects</w:t>
      </w:r>
    </w:p>
    <w:p w14:paraId="20334BD7" w14:textId="3D7C3E91" w:rsidR="008F6A89" w:rsidRPr="000C6F45" w:rsidRDefault="000C6F45" w:rsidP="000C6F45">
      <w:pPr>
        <w:pStyle w:val="BodyText"/>
      </w:pPr>
      <w:r>
        <w:t xml:space="preserve">All other covariates in the model had non-zero effects on pinyon jay abundance. Pinyon jay abundance was negatively related to </w:t>
      </w:r>
      <w:r w:rsidR="49B9E889">
        <w:t>precipitation (</w:t>
      </w:r>
      <m:oMath>
        <m:acc>
          <m:accPr>
            <m:ctrlPr>
              <w:rPr>
                <w:rFonts w:ascii="Cambria Math" w:hAnsi="Cambria Math"/>
              </w:rPr>
            </m:ctrlPr>
          </m:accPr>
          <m:e>
            <m:r>
              <w:rPr>
                <w:rFonts w:ascii="Cambria Math" w:hAnsi="Cambria Math"/>
              </w:rPr>
              <m:t>β</m:t>
            </m:r>
          </m:e>
        </m:acc>
      </m:oMath>
      <w:r w:rsidR="49B9E889">
        <w:t xml:space="preserve"> = -2.62 [-2.72, -2.53]) and maximum temperature (</w:t>
      </w:r>
      <m:oMath>
        <m:acc>
          <m:accPr>
            <m:ctrlPr>
              <w:rPr>
                <w:rFonts w:ascii="Cambria Math" w:hAnsi="Cambria Math"/>
              </w:rPr>
            </m:ctrlPr>
          </m:accPr>
          <m:e>
            <m:r>
              <w:rPr>
                <w:rFonts w:ascii="Cambria Math" w:hAnsi="Cambria Math"/>
              </w:rPr>
              <m:t>β</m:t>
            </m:r>
          </m:e>
        </m:acc>
      </m:oMath>
      <w:r w:rsidR="49B9E889">
        <w:t xml:space="preserve"> = -0.92 [-0.96, -0.88]). </w:t>
      </w:r>
      <w:r>
        <w:t>Pinyon jay abundance was positively associated with monsoonality</w:t>
      </w:r>
      <w:r w:rsidR="49B9E889">
        <w:t xml:space="preserve"> (</w:t>
      </w:r>
      <m:oMath>
        <m:acc>
          <m:accPr>
            <m:ctrlPr>
              <w:rPr>
                <w:rFonts w:ascii="Cambria Math" w:hAnsi="Cambria Math"/>
              </w:rPr>
            </m:ctrlPr>
          </m:accPr>
          <m:e>
            <m:r>
              <w:rPr>
                <w:rFonts w:ascii="Cambria Math" w:hAnsi="Cambria Math"/>
              </w:rPr>
              <m:t>β</m:t>
            </m:r>
          </m:e>
        </m:acc>
      </m:oMath>
      <w:r w:rsidR="49B9E889">
        <w:t xml:space="preserve"> = 0.51 [0.46, 0.56]) and pinyon basal area (</w:t>
      </w:r>
      <m:oMath>
        <m:acc>
          <m:accPr>
            <m:ctrlPr>
              <w:rPr>
                <w:rFonts w:ascii="Cambria Math" w:hAnsi="Cambria Math"/>
              </w:rPr>
            </m:ctrlPr>
          </m:accPr>
          <m:e>
            <m:r>
              <w:rPr>
                <w:rFonts w:ascii="Cambria Math" w:hAnsi="Cambria Math"/>
              </w:rPr>
              <m:t>β</m:t>
            </m:r>
          </m:e>
        </m:acc>
      </m:oMath>
      <w:r w:rsidR="49B9E889">
        <w:t xml:space="preserve"> = 0.27 [0.25, 0.29]). All covariates were scaled in the model, so the relative magnitudes of these effects can be compared.</w:t>
      </w:r>
    </w:p>
    <w:p w14:paraId="6AF13B84" w14:textId="0AAAC551" w:rsidR="008F6A89" w:rsidRDefault="49B9E889" w:rsidP="000C6F45">
      <w:pPr>
        <w:pStyle w:val="BodyText"/>
        <w:ind w:firstLine="720"/>
      </w:pPr>
      <w:r>
        <w:t>Important seasons for precipitation based on importance weights from the SAM model included, in order of importance weights: two years ago during fledging, three years ago during breeding, two years ago during breeding, and one year ago during fledging (</w:t>
      </w:r>
      <m:oMath>
        <m:acc>
          <m:accPr>
            <m:ctrlPr>
              <w:rPr>
                <w:rFonts w:ascii="Cambria Math" w:hAnsi="Cambria Math"/>
              </w:rPr>
            </m:ctrlPr>
          </m:accPr>
          <m:e>
            <m:r>
              <w:rPr>
                <w:rFonts w:ascii="Cambria Math" w:hAnsi="Cambria Math"/>
              </w:rPr>
              <m:t>w</m:t>
            </m:r>
          </m:e>
        </m:acc>
      </m:oMath>
      <w:r>
        <w:t xml:space="preserve"> = 0.37 [0.35, 0.39]; 0.20 [0.18, 0.21]; 0.16 [0.14, 0.18]; 0.12 [0.10, 0.14], for each of those seasons, respectively). All other weights were not important (SI Figure 2). </w:t>
      </w:r>
      <w:r w:rsidR="000C6F45">
        <w:t xml:space="preserve">In other words, precipitation had a negative relationship with precipitation two breeding and fledging seasons ago, with some negative input from the fledging season last year and the breeding season three years ago. </w:t>
      </w:r>
      <w:r>
        <w:t>Important seasons for maximum temperature based on the importance weights from the SAM model included: the breeding and fledging seasons two years ago (</w:t>
      </w:r>
      <m:oMath>
        <m:acc>
          <m:accPr>
            <m:ctrlPr>
              <w:rPr>
                <w:rFonts w:ascii="Cambria Math" w:hAnsi="Cambria Math"/>
              </w:rPr>
            </m:ctrlPr>
          </m:accPr>
          <m:e>
            <m:r>
              <w:rPr>
                <w:rFonts w:ascii="Cambria Math" w:hAnsi="Cambria Math"/>
              </w:rPr>
              <m:t>w</m:t>
            </m:r>
          </m:e>
        </m:acc>
      </m:oMath>
      <w:r>
        <w:t xml:space="preserve"> = 0.60 [0.50, 0.69] and 0.34 [0.25, 0.44], for the breeding and fledging seasons, respectively). All other weights were not </w:t>
      </w:r>
      <w:r>
        <w:lastRenderedPageBreak/>
        <w:t>important (SI Figure 2).</w:t>
      </w:r>
      <w:r w:rsidR="000C6F45">
        <w:t xml:space="preserve"> In other words, high temperatures during the breeding and fledging season two years ago had a negative effect on pinyon jay abundance. </w:t>
      </w:r>
    </w:p>
    <w:p w14:paraId="438518F6" w14:textId="77777777" w:rsidR="008F6A89" w:rsidRDefault="00000000">
      <w:pPr>
        <w:pStyle w:val="CaptionedFigure"/>
      </w:pPr>
      <w:r>
        <w:rPr>
          <w:noProof/>
        </w:rPr>
        <w:drawing>
          <wp:inline distT="0" distB="0" distL="0" distR="0" wp14:anchorId="3E7F3F55" wp14:editId="32AD64D0">
            <wp:extent cx="3810000" cy="2540000"/>
            <wp:effectExtent l="0" t="0" r="0" b="0"/>
            <wp:docPr id="39" name="Picture" descr="Figure 4: Interaction plots for the four covariates with significant interactive effects with cone (seed) availability, including: a) precipitation, b) maximum temperature, c) monsoonality, and d) pinyon basal area. Darker pink/red color corresponds to a greater number of birds in that combination of covariates. Black circles represent the distribution of the observed data. The predicted number of birds, lambda, is presented on the log scale to better highlight differences."/>
            <wp:cNvGraphicFramePr/>
            <a:graphic xmlns:a="http://schemas.openxmlformats.org/drawingml/2006/main">
              <a:graphicData uri="http://schemas.openxmlformats.org/drawingml/2006/picture">
                <pic:pic xmlns:pic="http://schemas.openxmlformats.org/drawingml/2006/picture">
                  <pic:nvPicPr>
                    <pic:cNvPr id="40" name="Picture" descr="../pictures/final/interaction_plots.jpg"/>
                    <pic:cNvPicPr>
                      <a:picLocks noChangeAspect="1" noChangeArrowheads="1"/>
                    </pic:cNvPicPr>
                  </pic:nvPicPr>
                  <pic:blipFill>
                    <a:blip r:embed="rId14"/>
                    <a:stretch>
                      <a:fillRect/>
                    </a:stretch>
                  </pic:blipFill>
                  <pic:spPr bwMode="auto">
                    <a:xfrm>
                      <a:off x="0" y="0"/>
                      <a:ext cx="3810000" cy="2540000"/>
                    </a:xfrm>
                    <a:prstGeom prst="rect">
                      <a:avLst/>
                    </a:prstGeom>
                    <a:noFill/>
                    <a:ln w="9525">
                      <a:noFill/>
                      <a:headEnd/>
                      <a:tailEnd/>
                    </a:ln>
                  </pic:spPr>
                </pic:pic>
              </a:graphicData>
            </a:graphic>
          </wp:inline>
        </w:drawing>
      </w:r>
    </w:p>
    <w:p w14:paraId="641B5F52" w14:textId="77777777" w:rsidR="008F6A89" w:rsidRDefault="49B9E889">
      <w:pPr>
        <w:pStyle w:val="ImageCaption"/>
      </w:pPr>
      <w:commentRangeStart w:id="23"/>
      <w:commentRangeStart w:id="24"/>
      <w:r>
        <w:t xml:space="preserve">Figure 4: </w:t>
      </w:r>
      <w:commentRangeEnd w:id="23"/>
      <w:r>
        <w:rPr>
          <w:rStyle w:val="CommentReference"/>
        </w:rPr>
        <w:commentReference w:id="23"/>
      </w:r>
      <w:commentRangeEnd w:id="24"/>
      <w:r>
        <w:rPr>
          <w:rStyle w:val="CommentReference"/>
        </w:rPr>
        <w:commentReference w:id="24"/>
      </w:r>
      <w:r>
        <w:t>Interaction plots for the four covariates with significant interactive effects with cone (seed) availability, including: a) precipitation, b) maximum temperature, c) monsoonality, and d) pinyon basal area. Darker pink/red color corresponds to a greater number of birds in that combination of covariates. Black circles represent the distribution of the observed data. The predicted number of birds, lambda, is presented on the log scale to better highlight differences.</w:t>
      </w:r>
    </w:p>
    <w:p w14:paraId="605B8450" w14:textId="616CD058" w:rsidR="008F6A89" w:rsidRPr="00B51F5B" w:rsidRDefault="137D77E5" w:rsidP="5A83A434">
      <w:pPr>
        <w:pStyle w:val="BodyText"/>
        <w:rPr>
          <w:i/>
          <w:iCs/>
          <w:u w:val="single"/>
        </w:rPr>
      </w:pPr>
      <w:r w:rsidRPr="5A83A434">
        <w:rPr>
          <w:i/>
          <w:iCs/>
          <w:u w:val="single"/>
        </w:rPr>
        <w:t>Model Goodness-of-Fit</w:t>
      </w:r>
    </w:p>
    <w:p w14:paraId="5FB44DAA" w14:textId="07C91EE2" w:rsidR="008F6A89" w:rsidRDefault="0B74DD29">
      <w:pPr>
        <w:pStyle w:val="BodyText"/>
        <w:ind w:firstLine="720"/>
      </w:pPr>
      <w:r>
        <w:t>All parameters in the model converged with</w:t>
      </w:r>
      <w:r w:rsidR="000C6F45">
        <w:t xml:space="preserve"> an </w:t>
      </w:r>
      <m:oMath>
        <m:acc>
          <m:accPr>
            <m:ctrlPr>
              <w:rPr>
                <w:rFonts w:ascii="Cambria Math" w:hAnsi="Cambria Math"/>
              </w:rPr>
            </m:ctrlPr>
          </m:accPr>
          <m:e>
            <m:r>
              <w:rPr>
                <w:rFonts w:ascii="Cambria Math" w:hAnsi="Cambria Math"/>
              </w:rPr>
              <m:t>R</m:t>
            </m:r>
          </m:e>
        </m:acc>
        <m:r>
          <m:rPr>
            <m:sty m:val="p"/>
          </m:rPr>
          <w:rPr>
            <w:rFonts w:ascii="Cambria Math" w:hAnsi="Cambria Math"/>
          </w:rPr>
          <m:t>≤</m:t>
        </m:r>
      </m:oMath>
      <w:r w:rsidR="000C6F45">
        <w:t xml:space="preserve"> 1.1 </w:t>
      </w:r>
      <w:r>
        <w:t>(</w:t>
      </w:r>
      <w:r w:rsidRPr="000C6F45">
        <w:t xml:space="preserve">SI Figure </w:t>
      </w:r>
      <w:r w:rsidRPr="000C6F45">
        <w:rPr>
          <w:highlight w:val="yellow"/>
        </w:rPr>
        <w:t>1</w:t>
      </w:r>
      <w:r>
        <w:t xml:space="preserve">). </w:t>
      </w:r>
      <w:r w:rsidR="66F6E6FD">
        <w:t>T</w:t>
      </w:r>
      <w:r w:rsidR="49B9E889">
        <w:t xml:space="preserve">he relationship between our observed data and replicated data produced by the model had a mean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49B9E889">
        <w:t xml:space="preserve"> </w:t>
      </w:r>
      <w:r w:rsidR="55EA88CC">
        <w:t>o</w:t>
      </w:r>
      <w:commentRangeStart w:id="25"/>
      <w:commentRangeStart w:id="26"/>
      <w:r w:rsidR="55EA88CC">
        <w:t>f</w:t>
      </w:r>
      <w:r w:rsidR="49B9E889">
        <w:t xml:space="preserve"> 0.7</w:t>
      </w:r>
      <w:commentRangeEnd w:id="25"/>
      <w:r>
        <w:rPr>
          <w:rStyle w:val="CommentReference"/>
        </w:rPr>
        <w:commentReference w:id="25"/>
      </w:r>
      <w:commentRangeEnd w:id="26"/>
      <w:r w:rsidR="008A3B61">
        <w:rPr>
          <w:rStyle w:val="CommentReference"/>
          <w:rFonts w:asciiTheme="minorHAnsi" w:hAnsiTheme="minorHAnsi"/>
        </w:rPr>
        <w:commentReference w:id="26"/>
      </w:r>
      <w:r w:rsidR="49B9E889">
        <w:t>4 (SE: 0.0003). In general, the model under-estimate</w:t>
      </w:r>
      <w:r w:rsidR="09CC910C">
        <w:t>d</w:t>
      </w:r>
      <w:r w:rsidR="49B9E889">
        <w:t xml:space="preserve"> </w:t>
      </w:r>
      <w:r w:rsidR="78A178E0">
        <w:t xml:space="preserve">the highest </w:t>
      </w:r>
      <w:r w:rsidR="49B9E889">
        <w:t>counts</w:t>
      </w:r>
      <w:r w:rsidR="1B4E9CA3">
        <w:t xml:space="preserve"> but perform</w:t>
      </w:r>
      <w:r w:rsidR="559EF4C4">
        <w:t>ed</w:t>
      </w:r>
      <w:r w:rsidR="1B4E9CA3">
        <w:t xml:space="preserve"> well on most other values</w:t>
      </w:r>
      <w:r w:rsidR="49B9E889">
        <w:t xml:space="preserve"> (SI Figure 3). The RMSE for our in-sample (“test”) dataset had an average value</w:t>
      </w:r>
      <w:r w:rsidR="00653D9D">
        <w:t xml:space="preserve"> of 3.25 (SE: 0.001)</w:t>
      </w:r>
      <w:r w:rsidR="49B9E889">
        <w:t xml:space="preserve"> and the out-of-sample dataset had a value of </w:t>
      </w:r>
      <w:r w:rsidR="00653D9D">
        <w:t xml:space="preserve">5.10 (SE: 0.0002; </w:t>
      </w:r>
      <w:r w:rsidR="49B9E889">
        <w:t xml:space="preserve">SI Figure 4). Thus, our model predicts slightly better to our in-sample (“test”) data than out-of-sample data, but neither are large on the scale of the count data (counts per checklist ranged from 0 - 350), suggesting good model fit and predictive capacity. </w:t>
      </w:r>
      <w:r w:rsidR="66EBFFE8">
        <w:t>We observed no strong spatial autocorrelation in residuals</w:t>
      </w:r>
      <w:r w:rsidR="49B9E889">
        <w:t xml:space="preserve"> (SI Figure 5).</w:t>
      </w:r>
    </w:p>
    <w:p w14:paraId="4BD491B3" w14:textId="77777777" w:rsidR="00A63129" w:rsidRDefault="00A63129" w:rsidP="00A63129">
      <w:pPr>
        <w:pStyle w:val="Heading1"/>
      </w:pPr>
      <w:r w:rsidRPr="00F83DDB">
        <w:lastRenderedPageBreak/>
        <w:t>4 Discussion</w:t>
      </w:r>
    </w:p>
    <w:p w14:paraId="066290AF" w14:textId="0C6DEC56" w:rsidR="00A63129" w:rsidRDefault="5237C3F0">
      <w:pPr>
        <w:pStyle w:val="BodyText"/>
      </w:pPr>
      <w:r>
        <w:t>Here</w:t>
      </w:r>
      <w:r w:rsidR="2E9D8CDE">
        <w:t xml:space="preserve">, we </w:t>
      </w:r>
      <w:r w:rsidR="4140DD89">
        <w:t>demonstrated</w:t>
      </w:r>
      <w:r w:rsidR="2E9D8CDE">
        <w:t xml:space="preserve"> </w:t>
      </w:r>
      <w:r w:rsidR="54D3246C">
        <w:t>that pinyon jay</w:t>
      </w:r>
      <w:r w:rsidR="0C2A2C72">
        <w:t xml:space="preserve">s </w:t>
      </w:r>
      <w:r w:rsidR="51F2E445">
        <w:t xml:space="preserve">have a strong, </w:t>
      </w:r>
      <w:r w:rsidR="0C2A2C72">
        <w:t>positive</w:t>
      </w:r>
      <w:r w:rsidR="7D705E21">
        <w:t xml:space="preserve"> r</w:t>
      </w:r>
      <w:r w:rsidR="4476D18A">
        <w:t>elationship with</w:t>
      </w:r>
      <w:r w:rsidR="0C2A2C72">
        <w:t xml:space="preserve"> </w:t>
      </w:r>
      <w:r w:rsidR="54D3246C">
        <w:t>pi</w:t>
      </w:r>
      <w:r w:rsidR="119B8280">
        <w:t>ny</w:t>
      </w:r>
      <w:r w:rsidR="54D3246C">
        <w:t xml:space="preserve">on pine seed </w:t>
      </w:r>
      <w:r w:rsidR="549DCFEB">
        <w:t>production</w:t>
      </w:r>
      <w:r w:rsidR="2687FEE7">
        <w:t xml:space="preserve"> across the US Southwest</w:t>
      </w:r>
      <w:r w:rsidR="1B33017B">
        <w:t xml:space="preserve">, </w:t>
      </w:r>
      <w:r w:rsidR="408EE308">
        <w:t>indicating that</w:t>
      </w:r>
      <w:r w:rsidR="43C025C2">
        <w:t xml:space="preserve"> food</w:t>
      </w:r>
      <w:r w:rsidR="408EE308">
        <w:t xml:space="preserve"> resource availability plays a critical role in the abundance </w:t>
      </w:r>
      <w:r w:rsidR="45D1019E">
        <w:t xml:space="preserve">and spatiotemporal trends </w:t>
      </w:r>
      <w:r w:rsidR="408EE308">
        <w:t>of</w:t>
      </w:r>
      <w:r w:rsidR="1B33017B">
        <w:t xml:space="preserve"> </w:t>
      </w:r>
      <w:r w:rsidR="37A95E8A">
        <w:t xml:space="preserve">a </w:t>
      </w:r>
      <w:r w:rsidR="1B33017B">
        <w:t>declining avian species</w:t>
      </w:r>
      <w:r w:rsidR="54D3246C">
        <w:t xml:space="preserve">. </w:t>
      </w:r>
      <w:r w:rsidR="1065DB86">
        <w:t>Specifically, b</w:t>
      </w:r>
      <w:r w:rsidR="54D3246C">
        <w:t>irds</w:t>
      </w:r>
      <w:r w:rsidR="00D85BFC">
        <w:t xml:space="preserve"> occurred</w:t>
      </w:r>
      <w:r w:rsidR="54D3246C">
        <w:t xml:space="preserve"> </w:t>
      </w:r>
      <w:r w:rsidR="68DCF641">
        <w:t xml:space="preserve">in greater abundance </w:t>
      </w:r>
      <w:r w:rsidR="54D3246C">
        <w:t xml:space="preserve">near </w:t>
      </w:r>
      <w:r w:rsidR="68DCF641">
        <w:t>cache sites the year after high seed production years</w:t>
      </w:r>
      <w:r w:rsidR="2680B88A">
        <w:t>, with lagged effects that occur over at least two subsequent years</w:t>
      </w:r>
      <w:r w:rsidR="68DCF641">
        <w:t xml:space="preserve">. </w:t>
      </w:r>
      <w:r w:rsidR="23914E88">
        <w:t>We also found that</w:t>
      </w:r>
      <w:r w:rsidR="2E9D8CDE">
        <w:t xml:space="preserve"> the relationship between pinyon jay abundance and seed availability is mediated by a suite of habitat and climate variables, including maximum temperature, precipitation, pinyon basal area, and the relative </w:t>
      </w:r>
      <w:r w:rsidR="5D5DF1FC">
        <w:t>importance</w:t>
      </w:r>
      <w:r w:rsidR="2E9D8CDE">
        <w:t xml:space="preserve"> of </w:t>
      </w:r>
      <w:r w:rsidR="39811E15">
        <w:t>the North American M</w:t>
      </w:r>
      <w:r w:rsidR="2E9D8CDE">
        <w:t xml:space="preserve">onsoon (July-September). These </w:t>
      </w:r>
      <w:r w:rsidR="00447F19">
        <w:t>interactive</w:t>
      </w:r>
      <w:r w:rsidR="2E9D8CDE">
        <w:t xml:space="preserve"> </w:t>
      </w:r>
      <w:r w:rsidR="116D5C04">
        <w:t>relationships</w:t>
      </w:r>
      <w:r w:rsidR="2E9D8CDE">
        <w:t xml:space="preserve"> suggest a combination of ecological effects, including a stronger relationship with seed availability </w:t>
      </w:r>
      <w:r w:rsidR="68DCF641">
        <w:t>following</w:t>
      </w:r>
      <w:r w:rsidR="2E9D8CDE">
        <w:t xml:space="preserve"> “stressful” climatic </w:t>
      </w:r>
      <w:r w:rsidR="68DCF641">
        <w:t>conditions during the nesting season</w:t>
      </w:r>
      <w:r w:rsidR="2E9D8CDE">
        <w:t xml:space="preserve"> and a weaker relationship with seed availability in more “suitable” habitat</w:t>
      </w:r>
      <w:r w:rsidR="68DCF641">
        <w:t xml:space="preserve">. </w:t>
      </w:r>
      <w:r w:rsidR="2E9D8CDE">
        <w:t>Determining the relationship between pinyon jays and pinyon pine seed availability and how this relationship is shaped by climate and habitat context is an important step in recognizing potential mechanisms for pinyon jay population changes. We can build on these observations to understand how this important mutualism changes in magnitude or direction through space and time</w:t>
      </w:r>
      <w:r w:rsidR="70D3B9D1">
        <w:t xml:space="preserve"> and build an approach for understanding seed dispersal mutualisms in general </w:t>
      </w:r>
      <w:r w:rsidR="00A63129">
        <w:fldChar w:fldCharType="begin"/>
      </w:r>
      <w:r w:rsidR="00A63129">
        <w:instrText xml:space="preserve"> ADDIN ZOTERO_ITEM CSL_CITATION {"citationID":"aIB16gnK","properties":{"formattedCitation":"(Moore &amp; Dittel, 2020)","plainCitation":"(Moore &amp; Dittel, 2020)","noteIndex":0},"citationItems":[{"id":2866,"uris":["http://zotero.org/groups/5634119/items/DSHJRM3N"],"itemData":{"id":2866,"type":"article-journal","abstract":"AbstractSpecies interactions are context dependent, in that their direction and magnitude can vary across ecological conditions. For seed dispersal interactions—especially interactions between plants and seed‐caching animals—the direction of the interactions is often obscured because of seed mortality inherent in seed handling and the delayed effects of fitness benefits received by plants. It is, therefore, an open question in ecology to understand the ecological contexts under which seed dispersal interactions are facilitative, antagonistic or null.We review the fitness benefits of animal‐mediated seed dispersal, extend a recently published model to include negative density‐dependent effects, and review the feedback between seed production (with a focus on masting) and seed‐caching animal populations.Negative density‐dependent effects are pervasive and strongly affect the direction of plant‐seed‐disperser interactions, and including them into models will give a more accurate understanding of the direction of the interaction. Including negative density‐dependent effects also makes the interpretation of interaction more mutualistic since seed dispersers decrease seed densities. Additionally, there is substantial interannual variability in seed production in most nut‐producing plant species, and the lags between seed production and seed‐disperser population sizes complicate and limit inferences made about the direction of interactions in any given short‐term study.Synthesis. If we wish to know the direction of species interactions in real ecological communities, we need models that contain a minimum level of biological realism. For complex and long‐term phenomena such as context‐dependent species interactions we should embrace a multifaceted approach of short‐term field research, long‐term field research, simple models, and complex models to form a more robust understanding of the ecological problem of context dependency.","container-title":"Journal of Ecology","DOI":"10.1111/1365-2745.13414","ISSN":"0022-0477, 1365-2745","issue":"5","language":"en","license":"http://creativecommons.org/licenses/by/4.0/","note":"publisher: Wiley","page":"1775-1783","source":"Crossref","title":"On mutualism, models, and masting: The effects of seed‐dispersing animals on the plants they disperse","title-short":"On mutualism, models, and masting","volume":"108","author":[{"family":"Moore","given":"Christopher M."},{"family":"Dittel","given":"Jacob W."}],"editor":[{"family":"Shefferson","given":"Richard"}],"issued":{"date-parts":[["2020",9]]}}}],"schema":"https://github.com/citation-style-language/schema/raw/master/csl-citation.json"} </w:instrText>
      </w:r>
      <w:r w:rsidR="00A63129">
        <w:fldChar w:fldCharType="separate"/>
      </w:r>
      <w:r w:rsidR="68DCF641" w:rsidRPr="10F02EB4">
        <w:rPr>
          <w:noProof/>
        </w:rPr>
        <w:t>(Moore &amp; Dittel, 2020)</w:t>
      </w:r>
      <w:r w:rsidR="00A63129">
        <w:fldChar w:fldCharType="end"/>
      </w:r>
      <w:r w:rsidR="2E9D8CDE">
        <w:t>.</w:t>
      </w:r>
    </w:p>
    <w:p w14:paraId="63A4ED57" w14:textId="2E581A42" w:rsidR="00A2792A" w:rsidRDefault="00771E0C" w:rsidP="00B11DD0">
      <w:pPr>
        <w:pStyle w:val="BodyText"/>
      </w:pPr>
      <w:r>
        <w:tab/>
        <w:t>In many systems with masting tree species, populations of seed predators are known to boom in synchrony with or following large masting events (e.g.,</w:t>
      </w:r>
      <w:r w:rsidR="00BB019C">
        <w:t xml:space="preserve"> </w:t>
      </w:r>
      <w:r w:rsidR="00BB019C">
        <w:fldChar w:fldCharType="begin"/>
      </w:r>
      <w:r w:rsidR="00BB019C">
        <w:instrText xml:space="preserve"> ADDIN ZOTERO_ITEM CSL_CITATION {"citationID":"bmLyT6DZ","properties":{"formattedCitation":"(Boutin et al., 2006; Schnurr et al., 2002)","plainCitation":"(Boutin et al., 2006; Schnurr et al., 2002)","noteIndex":0},"citationItems":[{"id":2983,"uris":["http://zotero.org/groups/5634119/items/JHIYW3CU"],"itemData":{"id":2983,"type":"article-journal","abstract":"Mast seeding, the intermittent, synchronous production of large seed crops by a population of plants, is a well-known example of resource pulses that create lagged responses in successive trophic levels of ecological communities. These lags arise because seed predators are thought capable of increasing reproduction and population size only after the resource pulse is available for consumption. The resulting satiation of predators is a widely cited explanation for the evolution of masting. Our study shows that both American and Eurasian tree squirrels anticipate resource pulses and increase reproductive output before a masting event, thereby increasing population size in synchrony with the resource pulse and eliminating the population lag thought to be universal in resource pulse systems.","container-title":"Science","DOI":"10.1126/science.1135520","ISSN":"0036-8075, 1095-9203","issue":"5807","journalAbbreviation":"Science","language":"en","page":"1928-1930","source":"DOI.org (Crossref)","title":"Anticipatory Reproduction and Population Growth in Seed Predators","volume":"314","author":[{"family":"Boutin","given":"Stan"},{"family":"Wauters","given":"Lucas A."},{"family":"McAdam","given":"Andrew G."},{"family":"Humphries","given":"Murray M."},{"family":"Tosi","given":"Guido"},{"family":"Dhondt","given":"André A."}],"issued":{"date-parts":[["2006",12,22]]}}},{"id":2982,"uris":["http://zotero.org/groups/5634119/items/QD85BJ5Z"],"itemData":{"id":2982,"type":"article-journal","abstract":"Many plant species are thought to benefit from mast seeding as a result of increased seed survival through predator satiation. However, in communities with many different masting species, lack of synchrony in seed production among species may decrease seed survival by maintaining seed predator populations through the intermast cycle. Similarly, masting by different plant species may have different effects on the seed predator community. We conducted a three‐year study in a northeastern USA temperate deciduous forest to determine if production of large seed crops by several tree species was synchronous, and if they had similar effects on all small mammal species. We found that red oak mast crops resulted in increased densities of\n              Peromyscus leucopus\n              and\n              P. maniculatus\n              , but had no effect on\n              Clethrionomys gapperi\n              abundance. Conversely,\n              C. gapperi\n              populations, but not\n              Peromyscus\n              populations, appeared to increase in response to a large red maple seed crop. Differences in small mammal abundance resulted in changes in species‐specific seed survival: in the year of abundant\n              C. gapperi\n              , experimentally placed red oak acorns had significantly higher survival than in the year of high\n              Peromyscus\n              abundance. Red oak acorn removal was positively correlated with\n              Peromyscus\n              abundance, while red maple seed removal was significantly higher with increased\n              C. gapperi\n              abundance. Thus, species‐specific seed production had differential effects on subsequent small mammal abundance, which in turn affected seed survival. We suggest that at the level of the community, even short‐term lack of synchrony in production of large seed crops can cause variation in postdispersal seed survival, through differential effects on the community of small mammal seed predators.","container-title":"Oikos","DOI":"10.1034/j.1600-0706.2002.960302.x","ISSN":"0030-1299, 1600-0706","issue":"3","journalAbbreviation":"Oikos","language":"en","page":"402-410","source":"DOI.org (Crossref)","title":"Direct and indirect effects of masting on rodent populations and tree seed survival","volume":"96","author":[{"family":"Schnurr","given":"Jaclyn L."},{"family":"Ostfeld","given":"Richard S."},{"family":"Canham","given":"Charles D."}],"issued":{"date-parts":[["2002",3]]}}}],"schema":"https://github.com/citation-style-language/schema/raw/master/csl-citation.json"} </w:instrText>
      </w:r>
      <w:r w:rsidR="00BB019C">
        <w:fldChar w:fldCharType="separate"/>
      </w:r>
      <w:r w:rsidR="00BB019C">
        <w:rPr>
          <w:noProof/>
        </w:rPr>
        <w:t>(Boutin et al., 2006; Schnurr et al., 2002)</w:t>
      </w:r>
      <w:r w:rsidR="00BB019C">
        <w:fldChar w:fldCharType="end"/>
      </w:r>
      <w:r>
        <w:t xml:space="preserve">. This population </w:t>
      </w:r>
      <w:r w:rsidR="00BB019C">
        <w:t xml:space="preserve">growth </w:t>
      </w:r>
      <w:r>
        <w:t xml:space="preserve">has implications not only for seed predation and dispersal, but also other ecosystem functions and services (e.g., </w:t>
      </w:r>
      <w:r w:rsidR="00BB019C">
        <w:t>food web</w:t>
      </w:r>
      <w:r>
        <w:t xml:space="preserve"> responses and disease dynamics</w:t>
      </w:r>
      <w:r w:rsidR="00B11DD0">
        <w:t xml:space="preserve"> </w:t>
      </w:r>
      <w:r w:rsidR="00B11DD0">
        <w:fldChar w:fldCharType="begin"/>
      </w:r>
      <w:r w:rsidR="00B11DD0">
        <w:instrText xml:space="preserve"> ADDIN ZOTERO_ITEM CSL_CITATION {"citationID":"SmgUSONs","properties":{"formattedCitation":"(Bogdziewicz et al., 2016; Bregnard et al., 2021; Ostfeld &amp; Keesing, 2000)","plainCitation":"(Bogdziewicz et al., 2016; Bregnard et al., 2021; Ostfeld &amp; Keesing, 2000)","noteIndex":0},"citationItems":[{"id":2991,"uris":["http://zotero.org/groups/5634119/items/8NUB2F2E"],"itemData":{"id":2991,"type":"article-journal","abstract":"Mast‐seeding is the synchronized and intermittent production of a large seed crop by a population of plants. The cascading effects of masting on wildlife have been well documented in granivorous rodents. Yet, the effects of mast‐seeding are potentially further reaching, since a number of generalist species can take advantage of mast years. We employed a full‐text search algorithm to identify all papers that discussed effects of mast‐seeding on wildlife, in addition to typical searches of titles and abstracts. We aimed to evaluate the breadth of wildlife species for which mast years are thought to be important drivers. In addition, we tested three hypotheses derived from past reviews: 1) species with lower reproductive potential (lower average litter size) are more likely to show aggregative responses to mast‐seeding, 2) species with lower body sizes (lower mobility) are more likely to show reproductive responses, and 3) indirect consumers of mast (predators) are more likely to show aggregative responses than direct consumers. We found 186 articles including reports of response of 122 species of vertebrates to mast‐seeding. Expectations were partly confirmed: relationships 1) and 2) held for mammals, but not for birds. However, 3) direct consumers were more likely than indirect consumers to show aggregative responses. Our tests of the first two hypotheses question the generality of past predictions for taxa other than mammals. Our test of the third hypothesis suggests that responses of direct and indirect consumers might depend on the type of resource pulse. Many of the examples in our analysis come from systems in which wildlife responses to mast have been less rigorously documented than the examples in past reviews. They suggest the range of wildlife responses to mast‐seeding are more taxonomically and ecologically diverse than past reviews have widely recognized and point to directions for future research.\n            \n              \n                \n                  Synthesis\n                \n                Mast seeding is a pulsed resource with numerous cascading effects on wildlife. Yet, because masting is largely unpredictable, it is inherently difficult to study. We developed a full‐text search algorithm to identify incidental reports as well as deliberate studies of vertebrate reactions to masting. We found that the type of response to mast seeding (reproductive or through immigration) varies predictably as a function of life history traits (litter size and body mass) in mammals, but not in birds.  Our literature search also shows that responses to mast‐seeding are more taxonomically and ecologically diverse than past reviews have recognized.","container-title":"Oikos","DOI":"10.1111/oik.03012","ISSN":"0030-1299, 1600-0706","issue":"3","journalAbbreviation":"Oikos","language":"en","page":"300-307","source":"DOI.org (Crossref)","title":"How do vertebrates respond to mast seeding?","volume":"125","author":[{"family":"Bogdziewicz","given":"Michał"},{"family":"Zwolak","given":"Rafał"},{"family":"Crone","given":"Elizabeth E."}],"issued":{"date-parts":[["2016",3]]}}},{"id":2988,"uris":["http://zotero.org/groups/5634119/items/VDENFAUA"],"itemData":{"id":2988,"type":"article-journal","abstract":"Abstract\n            \n              Background\n              \n                The incidence of Lyme borreliosis and other tick-borne diseases is increasing in Europe and North America. There is currently much interest in identifying the ecological factors that determine the density of infected ticks as this variable determines the risk of Lyme borreliosis to vertebrate hosts, including humans. Lyme borreliosis is caused by the bacterium\n                Borrelia burgdorferi\n                sensu lato (s.l.) and in western Europe, the hard tick\n                Ixodes ricinus\n                is the most important vector.\n              \n            \n            \n              Methods\n              \n                Over a 15-year period (2004–2018), we monitored the monthly abundance of\n                I. ricinus\n                ticks (nymphs and adults) and their\n                B. burgdorferi\n                s.l. infection status at four different elevations on a mountain in western Switzerland. We collected climate variables in the field and from nearby weather stations. We obtained data on beech tree seed production (masting) from the literature, as the abundance of\n                Ixodes\n                nymphs can increase dramatically 2 years after a masting event. We used generalized linear mixed effects models and AIC-based model selection to identify the ecological factors that influence inter-annual variation in the nymphal infection prevalence (NIP) and the density of infected nymphs (DIN).\n              \n            \n            \n              Results\n              \n                We found that the NIP decreased by 78% over the study period. Inter-annual variation in the NIP was explained by the mean precipitation in the present year, and the duration that the DNA extraction was stored in the freezer prior to pathogen detection. The DIN decreased over the study period at all four elevation sites, and the decrease was significant at the top elevation. Inter-annual variation in the DIN was best explained by elevation site, year, beech tree masting index 2 years prior and the mean relative humidity in the present year. This is the first study in Europe to demonstrate that seed production by deciduous trees influences the density of nymphs infected with\n                B. burgdorferi\n                s.l. and hence the risk of Lyme borreliosis.\n              \n            \n            \n              Conclusions\n              Public health officials in Europe should be aware that masting by deciduous trees is an important predictor of the risk of Lyme borreliosis.\n            \n            \n              Graphical Abstract","container-title":"Parasites &amp; Vectors","DOI":"10.1186/s13071-021-04646-0","ISSN":"1756-3305","issue":"1","journalAbbreviation":"Parasites Vectors","language":"en","page":"168","source":"DOI.org (Crossref)","title":"Masting by beech trees predicts the risk of Lyme disease","volume":"14","author":[{"family":"Bregnard","given":"Cindy"},{"family":"Rais","given":"Olivier"},{"family":"Voordouw","given":"Maarten Jeroen"}],"issued":{"date-parts":[["2021",3,20]]}}},{"id":2990,"uris":["http://zotero.org/groups/5634119/items/EW2YI756"],"itemData":{"id":2990,"type":"article-journal","container-title":"Trends in Ecology &amp; Evolution","DOI":"10.1016/S0169-5347(00)01862-0","ISSN":"01695347","issue":"6","journalAbbreviation":"Trends in Ecology &amp; Evolution","language":"en","license":"https://www.elsevier.com/tdm/userlicense/1.0/","page":"232-237","source":"DOI.org (Crossref)","title":"Pulsed resources and community dynamics of consumers in terrestrial ecosystems","volume":"15","author":[{"family":"Ostfeld","given":"Richard S."},{"family":"Keesing","given":"Felicia"}],"issued":{"date-parts":[["2000",6]]}}}],"schema":"https://github.com/citation-style-language/schema/raw/master/csl-citation.json"} </w:instrText>
      </w:r>
      <w:r w:rsidR="00B11DD0">
        <w:fldChar w:fldCharType="separate"/>
      </w:r>
      <w:r w:rsidR="00B11DD0">
        <w:rPr>
          <w:noProof/>
        </w:rPr>
        <w:t>(Bogdziewicz et al., 2016; Bregnard et al., 2021; Ostfeld &amp; Keesing, 2000)</w:t>
      </w:r>
      <w:r w:rsidR="00B11DD0">
        <w:fldChar w:fldCharType="end"/>
      </w:r>
      <w:r>
        <w:t xml:space="preserve">. While we did not </w:t>
      </w:r>
      <w:r>
        <w:lastRenderedPageBreak/>
        <w:t>observe a “predictive” or synchronous</w:t>
      </w:r>
      <w:r w:rsidR="00BB019C">
        <w:t xml:space="preserve"> abundance</w:t>
      </w:r>
      <w:r>
        <w:t xml:space="preserve"> response in pinyon jays (postulated in Ligon, 1978), we did observe that the effects of masting year</w:t>
      </w:r>
      <w:r w:rsidR="00B11DD0">
        <w:t>s</w:t>
      </w:r>
      <w:r>
        <w:t xml:space="preserve"> in two-needle pinyon pine ha</w:t>
      </w:r>
      <w:r w:rsidR="00B11DD0">
        <w:t>ve</w:t>
      </w:r>
      <w:r>
        <w:t xml:space="preserve"> lasting effects on population dynamics for at least three years</w:t>
      </w:r>
      <w:r w:rsidR="00BB019C">
        <w:t xml:space="preserve"> (Figure 2)</w:t>
      </w:r>
      <w:r>
        <w:t xml:space="preserve">. Further, we </w:t>
      </w:r>
      <w:r w:rsidR="00BB019C">
        <w:t xml:space="preserve">expect that these lagged responses are due to multiple mechanisms. The first, and stronger, mechanism (~63% of covariate importance weight) is that birds nest in the spring near cache sites from the previous fall </w:t>
      </w:r>
      <w:r w:rsidR="00BB019C">
        <w:fldChar w:fldCharType="begin"/>
      </w:r>
      <w:r w:rsidR="00BB019C">
        <w:instrText xml:space="preserve"> ADDIN ZOTERO_ITEM CSL_CITATION {"citationID":"qX3Ix4dt","properties":{"formattedCitation":"(Stotz &amp; Balda, 1995)","plainCitation":"(Stotz &amp; Balda, 1995)","noteIndex":0},"citationItems":[{"id":2860,"uris":["http://zotero.org/groups/5634119/items/MRSH59Y5"],"itemData":{"id":2860,"type":"article-journal","container-title":"The Southwestern Naturalist","issue":"2","page":"180-184","title":"Cache and recovery behavior of wild pinyon jays in northern Arizona","volume":"40","author":[{"family":"Stotz","given":"Nancy G."},{"family":"Balda","given":"Russell P."}],"issued":{"date-parts":[["1995"]]}}}],"schema":"https://github.com/citation-style-language/schema/raw/master/csl-citation.json"} </w:instrText>
      </w:r>
      <w:r w:rsidR="00BB019C">
        <w:fldChar w:fldCharType="separate"/>
      </w:r>
      <w:r w:rsidR="00BB019C" w:rsidRPr="10F02EB4">
        <w:rPr>
          <w:noProof/>
        </w:rPr>
        <w:t>(Stotz &amp; Balda, 1995)</w:t>
      </w:r>
      <w:r w:rsidR="00BB019C">
        <w:fldChar w:fldCharType="end"/>
      </w:r>
      <w:r w:rsidR="00BB019C">
        <w:t xml:space="preserve">. The second, weaker, mechanism </w:t>
      </w:r>
      <w:r w:rsidR="00BB019C">
        <w:t xml:space="preserve">(13-21% of covariate </w:t>
      </w:r>
      <w:r w:rsidR="00BB019C">
        <w:t xml:space="preserve">importance </w:t>
      </w:r>
      <w:r w:rsidR="00BB019C">
        <w:t xml:space="preserve">weight), </w:t>
      </w:r>
      <w:r w:rsidR="00BB019C">
        <w:t>is likely a delayed population response</w:t>
      </w:r>
      <w:r w:rsidR="00B11DD0">
        <w:t xml:space="preserve"> from mast-year fledgling</w:t>
      </w:r>
      <w:r w:rsidR="00EA0863">
        <w:t xml:space="preserve">s </w:t>
      </w:r>
      <w:r w:rsidR="00B11DD0">
        <w:t xml:space="preserve">maturing to the breeding population (1.5-2 years after fledging; </w:t>
      </w:r>
      <w:r w:rsidR="00BB019C">
        <w:fldChar w:fldCharType="begin"/>
      </w:r>
      <w:r w:rsidR="00BB019C">
        <w:instrText xml:space="preserve"> ADDIN ZOTERO_ITEM CSL_CITATION {"citationID":"QBZapt7l","properties":{"formattedCitation":"(Marzluff &amp; Balda, 1988)","plainCitation":"(Marzluff &amp; Balda, 1988)","noteIndex":0},"citationItems":[{"id":2861,"uris":["http://zotero.org/groups/5634119/items/CQUD9PTD"],"itemData":{"id":2861,"type":"article-journal","container-title":"The Auk","DOI":"10.2307/4087492","ISSN":"0004-8038, 1938-4254","issue":"2","note":"publisher: Oxford University Press (OUP)","page":"286-295","source":"Crossref","title":"The Advantages of, and Constraints Forcing, Mate Fidelity in Pinyon Jays","volume":"105","author":[{"family":"Marzluff","given":"John M."},{"family":"Balda","given":"Russell P."}],"issued":{"date-parts":[["1988",4]]}}}],"schema":"https://github.com/citation-style-language/schema/raw/master/csl-citation.json"} </w:instrText>
      </w:r>
      <w:r w:rsidR="00BB019C">
        <w:fldChar w:fldCharType="separate"/>
      </w:r>
      <w:r w:rsidR="00BB019C" w:rsidRPr="10F02EB4">
        <w:rPr>
          <w:noProof/>
        </w:rPr>
        <w:t>(Marzluff &amp; Balda, 1988)</w:t>
      </w:r>
      <w:r w:rsidR="00BB019C">
        <w:fldChar w:fldCharType="end"/>
      </w:r>
      <w:r w:rsidR="00BB019C">
        <w:t xml:space="preserve">. </w:t>
      </w:r>
      <w:r w:rsidR="00EA0863">
        <w:t>T</w:t>
      </w:r>
      <w:r w:rsidR="009D37C7">
        <w:t>emporal</w:t>
      </w:r>
      <w:r w:rsidR="00EA0863">
        <w:t xml:space="preserve"> delays are common in trophic interactions, </w:t>
      </w:r>
      <w:r w:rsidR="00164807">
        <w:t xml:space="preserve">including </w:t>
      </w:r>
      <w:r w:rsidR="00EA0863">
        <w:t>seed dispersal</w:t>
      </w:r>
      <w:r w:rsidR="00164807">
        <w:t>,</w:t>
      </w:r>
      <w:r w:rsidR="00EA0863">
        <w:t xml:space="preserve"> </w:t>
      </w:r>
      <w:r w:rsidR="00164807">
        <w:t xml:space="preserve">though they are often discounted in food web and interaction network models </w:t>
      </w:r>
      <w:r w:rsidR="00164807">
        <w:fldChar w:fldCharType="begin"/>
      </w:r>
      <w:r w:rsidR="00164807">
        <w:instrText xml:space="preserve"> ADDIN ZOTERO_ITEM CSL_CITATION {"citationID":"wVlDcmr5","properties":{"formattedCitation":"(Yang et al., 2023)","plainCitation":"(Yang et al., 2023)","noteIndex":0},"citationItems":[{"id":2992,"uris":["http://zotero.org/groups/5634119/items/QAH9W9BL"],"itemData":{"id":2992,"type":"article-journal","abstract":"Abstract\n            What drives the stability, or instability, of complex ecosystems? This question sits at the heart of community ecology and has motivated a large body of theoretical work exploring how community properties shape ecosystem dynamics. However, the overwhelming majority of current theory assumes that species interactions are instantaneous, meaning that changes in the abundance of one species will lead to immediate changes in the abundances of its partners. In practice, time delays in how species respond to one another are widespread across ecological contexts, yet the impact of these delays on ecosystems remains unclear. Here we derive a new body of theory to comprehensively study the impact of time delays on ecological stability. We find that time delays are important for ecosystem stability. Large delays are typically destabilizing but, surprisingly, short delays can substantially increase community stability. Moreover, in stark contrast to delay-free systems, delays dictate that communities with more abundant species can be less stable than ones with less abundant species. Finally, we show that delays fundamentally shift how species interactions impact ecosystem stability, with communities of mixed interaction types becoming the most stable class of ecosystem. Our work demonstrates that time delays can be critical for the stability of complex ecosystems.","container-title":"Nature Ecology &amp; Evolution","DOI":"10.1038/s41559-023-02158-x","ISSN":"2397-334X","issue":"10","journalAbbreviation":"Nat Ecol Evol","language":"en","page":"1610-1619","source":"DOI.org (Crossref)","title":"Time delays modulate the stability of complex ecosystems","volume":"7","author":[{"family":"Yang","given":"Yuguang"},{"family":"Foster","given":"Kevin R."},{"family":"Coyte","given":"Katharine Z."},{"family":"Li","given":"Aming"}],"issued":{"date-parts":[["2023",8,17]]}}}],"schema":"https://github.com/citation-style-language/schema/raw/master/csl-citation.json"} </w:instrText>
      </w:r>
      <w:r w:rsidR="00164807">
        <w:fldChar w:fldCharType="separate"/>
      </w:r>
      <w:r w:rsidR="00164807">
        <w:rPr>
          <w:noProof/>
        </w:rPr>
        <w:t>(Yang et al., 2023)</w:t>
      </w:r>
      <w:r w:rsidR="00164807">
        <w:fldChar w:fldCharType="end"/>
      </w:r>
      <w:r w:rsidR="00164807">
        <w:t xml:space="preserve">. </w:t>
      </w:r>
      <w:r w:rsidR="004D072B">
        <w:t>In any system, understanding these delay</w:t>
      </w:r>
      <w:r w:rsidR="009D37C7">
        <w:t>ed responses</w:t>
      </w:r>
      <w:r w:rsidR="004D072B">
        <w:t xml:space="preserve"> and their mechanisms </w:t>
      </w:r>
      <w:r w:rsidR="00164807">
        <w:t>will aid in building better predictive models of species interactions</w:t>
      </w:r>
      <w:r w:rsidR="00A2792A">
        <w:t xml:space="preserve"> </w:t>
      </w:r>
      <w:r w:rsidR="00A2792A">
        <w:fldChar w:fldCharType="begin"/>
      </w:r>
      <w:r w:rsidR="00A2792A">
        <w:instrText xml:space="preserve"> ADDIN ZOTERO_ITEM CSL_CITATION {"citationID":"1kLkKsy9","properties":{"formattedCitation":"(Poisot et al., 2015)","plainCitation":"(Poisot et al., 2015)","noteIndex":0},"citationItems":[{"id":2996,"uris":["http://zotero.org/groups/5634119/items/98XVULPE"],"itemData":{"id":2996,"type":"article-journal","abstract":"Community ecology is tasked with the considerable challenge of predicting the structure, and properties, of emerging ecosystems. It requires the ability to understand how and why species interact, as this will allow the development of mechanism‐based predictive models, and as such to better characterize how ecological mechanisms act locally on the existence of inter‐specific interactions. Here we argue that the current conceptualization of species interaction networks is ill‐suited for this task. Instead, we propose that future research must start to account for the intrinsic variability of species interactions, then scale up from here onto complex networks. This can be accomplished simply by recognizing that there exists intra‐specific variability, in traits or properties related to the establishment of species interactions. By shifting the scale towards population‐based processes, we show that this new approach will improve our predictive ability and mechanistic understanding of how species interact over large spatial or temporal scales.\n            \n              \n                \n                  Synthesis\n                \n                Although species interactions are the backbone of ecological communities, we have little insights on how (and why) they vary through space and time. In this article, we build on existing empirical literature to show that the same species may happen to interact in different ways when their local abundances vary, their trait distribution changes, or when the environment affects either of these factors. We discuss how these findings can be integrated in existing frameworks for the analysis and simulation of species interactions.","container-title":"Oikos","DOI":"10.1111/oik.01719","ISSN":"0030-1299, 1600-0706","issue":"3","journalAbbreviation":"Oikos","language":"en","page":"243-251","source":"DOI.org (Crossref)","title":"Beyond species: why ecological interaction networks vary through space and time","title-short":"Beyond species","volume":"124","author":[{"family":"Poisot","given":"Timothée"},{"family":"Stouffer","given":"Daniel B."},{"family":"Gravel","given":"Dominique"}],"issued":{"date-parts":[["2015",3]]}}}],"schema":"https://github.com/citation-style-language/schema/raw/master/csl-citation.json"} </w:instrText>
      </w:r>
      <w:r w:rsidR="00A2792A">
        <w:fldChar w:fldCharType="separate"/>
      </w:r>
      <w:r w:rsidR="00A2792A">
        <w:rPr>
          <w:noProof/>
        </w:rPr>
        <w:t>(Poisot et al., 2015)</w:t>
      </w:r>
      <w:r w:rsidR="00A2792A">
        <w:fldChar w:fldCharType="end"/>
      </w:r>
      <w:r w:rsidR="00A2792A">
        <w:t>.</w:t>
      </w:r>
      <w:r w:rsidR="004D4B7B">
        <w:t xml:space="preserve"> </w:t>
      </w:r>
      <w:r w:rsidR="009D37C7">
        <w:t>Delayed effects</w:t>
      </w:r>
      <w:r w:rsidR="00FC7A8E">
        <w:t xml:space="preserve"> may be particularly important to understand in systems </w:t>
      </w:r>
      <w:r w:rsidR="004D4B7B">
        <w:t>with resource pulses</w:t>
      </w:r>
      <w:r w:rsidR="00FC7A8E">
        <w:t xml:space="preserve"> (like masting)</w:t>
      </w:r>
      <w:r w:rsidR="004D4B7B">
        <w:t xml:space="preserve">, </w:t>
      </w:r>
      <w:r w:rsidR="00FC7A8E">
        <w:t>since they can link population fluctuations to proximal causes amidst the dynamic</w:t>
      </w:r>
      <w:r w:rsidR="00F57066">
        <w:t xml:space="preserve">s </w:t>
      </w:r>
      <w:r w:rsidR="00FC7A8E">
        <w:t xml:space="preserve">of systems with intrinsic boom and bust cycles </w:t>
      </w:r>
      <w:r w:rsidR="004D4B7B">
        <w:fldChar w:fldCharType="begin"/>
      </w:r>
      <w:r w:rsidR="004D4B7B">
        <w:instrText xml:space="preserve"> ADDIN ZOTERO_ITEM CSL_CITATION {"citationID":"fcHmoNab","properties":{"formattedCitation":"(Clark et al., 2019)","plainCitation":"(Clark et al., 2019)","noteIndex":0},"citationItems":[{"id":2998,"uris":["http://zotero.org/groups/5634119/items/U6KQ2STX"],"itemData":{"id":2998,"type":"article-journal","abstract":"Abstract\n            \n              Mast‐fruiting trees represent a pulsed resource that both supports and destabilizes consumer populations. Whereas a reliable resource is abundant on average and with limited variation in time and space, masting is volatile and localized, and that variability ramifies throughout food‐webs. Theory is developed to evaluate how the space–time structure of masting interacts with consumers who exploit alternative hosts, forage widely in space, and store reserves in time. We derive the space–time–species covariance in resource supply and combine it with the space–time–diet breadth of consumers, or ambit. Direct connection to data is made possible with Mast Inference and Forecasting (\n              MASTIF\n              ), a state‐space autoregressive model that fits seed‐trap and canopy observations and predicts resource availability within the canopy and on the forest floor with full uncertainty. A resource score can be assigned to each consumer–habitat combination that integrates the benefits of a high mean supply weighed against the variance cost. As the consumer ambit increases, the volatility of an unreliable resource shifts from a variance cost to a mean benefit. Consumers foraging in the canopy (arboreal arthropods and rodents, song birds) experience space‐time covariance between host trees. Consumers on the forest floor (seed and damping‐off fungi, arthropods, rodents, ground‐nesting birds, mammals) experience instead a redistribution of that covariance by dispersal. For consumers lacking mobility, demographic storage in the form of episodic birth cohorts following mast years is important for population persistence. Consumers additionally compensate volatility with diet breadth. Depending on the dominant masting strategies of host tree species in the diet, habitats differentially limit consumers depending on the misalignment between consumer ambit and spatiotemporal covariance of hosts. The impact of adding or subtracting a diet item can be gauged with the standard error (\n              SE\n              ) rule or the benefit of an added diet item balanced against the variance cost, both of which depend on the existing diet, the abundance of the new host, and the consumer's foraging ambit. Results rank habitats by their capacities to support wildlife and other consumers from a resource perspective. Results are connected directly to data, with full uncertainty, by\n              MASTIF\n              .","container-title":"Ecological Monographs","DOI":"10.1002/ecm.1381","ISSN":"0012-9615, 1557-7015","issue":"4","journalAbbreviation":"Ecological Monographs","language":"en","page":"e01381","source":"DOI.org (Crossref)","title":"Foodwebs based on unreliable foundations: spatiotemporal masting merged with consumer movement, storage, and diet","title-short":"Foodwebs based on unreliable foundations","volume":"89","author":[{"family":"Clark","given":"James S."},{"family":"Nuñez","given":"Chase L."},{"family":"Tomasek","given":"Bradley"}],"issued":{"date-parts":[["2019",11]]}}}],"schema":"https://github.com/citation-style-language/schema/raw/master/csl-citation.json"} </w:instrText>
      </w:r>
      <w:r w:rsidR="004D4B7B">
        <w:fldChar w:fldCharType="separate"/>
      </w:r>
      <w:r w:rsidR="004D4B7B">
        <w:rPr>
          <w:noProof/>
        </w:rPr>
        <w:t>(Clark et al., 2019)</w:t>
      </w:r>
      <w:r w:rsidR="004D4B7B">
        <w:fldChar w:fldCharType="end"/>
      </w:r>
      <w:r w:rsidR="004D4B7B">
        <w:t>.</w:t>
      </w:r>
    </w:p>
    <w:p w14:paraId="697D93EA" w14:textId="5D36DA2F" w:rsidR="00626A70" w:rsidRDefault="00FA0A13" w:rsidP="00626A70">
      <w:pPr>
        <w:pStyle w:val="BodyText"/>
        <w:ind w:firstLine="720"/>
      </w:pPr>
      <w:r>
        <w:t>Understanding</w:t>
      </w:r>
      <w:r>
        <w:t xml:space="preserve"> the context dependence of species interactions helps predict current and future ecosystem states given ongoing anthropogenic changes (e.g., </w:t>
      </w:r>
      <w:r>
        <w:fldChar w:fldCharType="begin"/>
      </w:r>
      <w:r>
        <w:instrText xml:space="preserve"> ADDIN ZOTERO_ITEM CSL_CITATION {"citationID":"CiZM8YcL","properties":{"formattedCitation":"(Liu &amp; Gaines, 2022; Polazzo et al., 2022)","plainCitation":"(Liu &amp; Gaines, 2022; Polazzo et al., 2022)","noteIndex":0},"citationItems":[{"id":2994,"uris":["http://zotero.org/groups/5634119/items/U3VNYJAY"],"itemData":{"id":2994,"type":"article-journal","abstract":"Significance\n            Multiple anthropogenic disturbances affect the structure and functioning of communities. Recent evidence highlighted that, after pulse disturbance, the functioning a community performs may be recovered fast due to functional redundancy, whereas community multivariate composition needs a longer time. Yet, the mechanisms that drive the different community recovery times have not been quantified empirically. We use quantitative food-web analysis to assess the influence of species interactions on community recovery. We found species-interactions strength to be the main mechanism driving differences between structural and functional recovery. Additionally, we show that interactions between multiple disturbances appear in the long term only when both species-interaction strength and food-web architecture change significantly.\n          , \n            Ecological communities are constantly exposed to multiple natural and anthropogenic disturbances. Multivariate composition (if recovered) has been found to need significantly more time to be regained after pulsed disturbance compared to univariate diversity metrics and functional endpoints. However, the mechanisms driving the different recovery times of communities to single and multiple disturbances remain unexplored. Here, we apply quantitative ecological network analyses to try to elucidate the mechanisms driving long-term community-composition dissimilarity and late-stage disturbance interactions at the community level. For this, we evaluate the effects of two pesticides, nutrient enrichment, and their interactions in outdoor mesocosms containing a complex freshwater community. We found changes in interactions strength to be strongly related to compositional changes and identified postdisturbance interaction-strength rewiring to be responsible for most of the observed compositional changes. Additionally, we found pesticide interactions to be significant in the long term only when both interaction strength and food-web architecture are reshaped by the disturbances. We suggest that quantitative network analysis has the potential to unveil ecological processes that prevent long-term community recovery.","container-title":"Proceedings of the National Academy of Sciences","DOI":"10.1073/pnas.2117364119","ISSN":"0027-8424, 1091-6490","issue":"17","journalAbbreviation":"Proc. Natl. Acad. Sci. U.S.A.","language":"en","page":"e2117364119","source":"DOI.org (Crossref)","title":"Food web rewiring drives long-term compositional differences and late-disturbance interactions at the community level","volume":"119","author":[{"family":"Polazzo","given":"Francesco"},{"family":"Marina","given":"Tomás I."},{"family":"Crettaz-Minaglia","given":"Melina"},{"family":"Rico","given":"Andreu"}],"issued":{"date-parts":[["2022",4,26]]}}},{"id":3001,"uris":["http://zotero.org/groups/5634119/items/LW73UBXP"],"itemData":{"id":3001,"type":"article-journal","abstract":"Ecological interactions are not uniform across time and can vary with environmental conditions. Yet, interactions among species are often measured with short-term controlled experiments whose outcomes can depend greatly on the particular environmental conditions under which they are performed. As an alternative, we use empirical dynamic modeling to estimate species interactions across a wide range of environmental conditions directly from existing long-term monitoring data. In our case study from a southern California kelp forest, we test whether interactions between multiple kelp and sea urchin species can be reliably reconstructed from time-series data and whether those interactions vary predictably in strength and direction across observed fluctuations in temperature, disturbance, and low-frequency oceanographic regimes. We show that environmental context greatly alters the strength and direction of species interactions. In particular, the state of the North Pacific Gyre Oscillation seems to drive the competitive balance between kelp species, asserting bottom-up control on kelp ecosystem dynamics. We show the importance of specifically studying variation in interaction strength, rather than mean interaction outcomes, when trying to understand the dynamics of complex ecosystems. The significant context dependency in species interactions found in this study argues for a greater utilization of long-term data and empirical dynamic modeling in studies of the dynamics of other ecosystems.","container-title":"Proceedings of the National Academy of Sciences","DOI":"10.1073/pnas.2118539119","ISSN":"0027-8424, 1091-6490","issue":"36","journalAbbreviation":"Proc. Natl. Acad. Sci. U.S.A.","language":"en","page":"e2118539119","source":"DOI.org (Crossref)","title":"Environmental context dependency in species interactions","volume":"119","author":[{"family":"Liu","given":"Owen R."},{"family":"Gaines","given":"Steven D."}],"issued":{"date-parts":[["2022",9,6]]}}}],"schema":"https://github.com/citation-style-language/schema/raw/master/csl-citation.json"} </w:instrText>
      </w:r>
      <w:r>
        <w:fldChar w:fldCharType="separate"/>
      </w:r>
      <w:r>
        <w:rPr>
          <w:noProof/>
        </w:rPr>
        <w:t>(Liu &amp; Gaines, 2022; Polazzo et al., 2022)</w:t>
      </w:r>
      <w:r>
        <w:fldChar w:fldCharType="end"/>
      </w:r>
      <w:r>
        <w:t xml:space="preserve">. </w:t>
      </w:r>
      <w:r>
        <w:t>However, context dependent results are most useful if variation can be explained by consist</w:t>
      </w:r>
      <w:r>
        <w:t xml:space="preserve">ent patterns or mechanisms </w:t>
      </w:r>
      <w:r w:rsidR="00132C63">
        <w:fldChar w:fldCharType="begin"/>
      </w:r>
      <w:r w:rsidR="00132C63">
        <w:instrText xml:space="preserve"> ADDIN ZOTERO_ITEM CSL_CITATION {"citationID":"5uRoylcG","properties":{"formattedCitation":"(Catford et al., 2022)","plainCitation":"(Catford et al., 2022)","noteIndex":0},"citationItems":[{"id":2999,"uris":["http://zotero.org/groups/5634119/items/VT4SLK2C"],"itemData":{"id":2999,"type":"article-journal","container-title":"Trends in Ecology &amp; Evolution","DOI":"10.1016/j.tree.2021.09.007","ISSN":"01695347","issue":"2","journalAbbreviation":"Trends in Ecology &amp; Evolution","language":"en","page":"158-170","source":"DOI.org (Crossref)","title":"Addressing context dependence in ecology","volume":"37","author":[{"family":"Catford","given":"Jane A."},{"family":"Wilson","given":"John R.U."},{"family":"Pyšek","given":"Petr"},{"family":"Hulme","given":"Philip E."},{"family":"Duncan","given":"Richard P."}],"issued":{"date-parts":[["2022",2]]}}}],"schema":"https://github.com/citation-style-language/schema/raw/master/csl-citation.json"} </w:instrText>
      </w:r>
      <w:r w:rsidR="00132C63">
        <w:fldChar w:fldCharType="separate"/>
      </w:r>
      <w:r w:rsidR="00132C63">
        <w:rPr>
          <w:noProof/>
        </w:rPr>
        <w:t>(Catford et al., 2022)</w:t>
      </w:r>
      <w:r w:rsidR="00132C63">
        <w:fldChar w:fldCharType="end"/>
      </w:r>
      <w:r w:rsidR="00132C63">
        <w:t xml:space="preserve">. We found two predictable patterns in the context dependence of the relationship between pinyon jays and pinyon pine seeds. First, jays rely more on cones following climatic conditions that may be unfavorable for reproduction and population growth </w:t>
      </w:r>
      <w:r w:rsidR="009F4C17">
        <w:t>(</w:t>
      </w:r>
      <w:r w:rsidR="004D074E">
        <w:t xml:space="preserve">lagged effects of </w:t>
      </w:r>
      <w:r w:rsidR="009F4C17">
        <w:t xml:space="preserve">temperature and precipitation, Figure 4 a and b; </w:t>
      </w:r>
      <w:r w:rsidR="00B336AD">
        <w:fldChar w:fldCharType="begin"/>
      </w:r>
      <w:r w:rsidR="00B336AD">
        <w:instrText xml:space="preserve"> ADDIN ZOTERO_ITEM CSL_CITATION {"citationID":"wCJt3ADZ","properties":{"formattedCitation":"(Ligon, 1978; Marzluff, 1988)","plainCitation":"(Ligon, 1978; Marzluff, 1988)","noteIndex":0},"citationItems":[{"id":2753,"uris":["http://zotero.org/groups/5634119/items/4RGGXF3K"],"itemData":{"id":2753,"type":"article-journal","abstract":"Pinon Jays (Gymnorhinus cyanoephalus) and pinon pine trees (Pinus edulis) interact in a mutualistic fashion, in that the jays provide a primary means of seed dissemination for pinon trees in the Southwest, while at irregular intervals the trees provide the jays with an abundant and highly nutritious source of food. Availability of pinon seeds permits both late winter (February) and late summer (August) breeding by the jays. Seeds and photoperiod interact synergistically to accelerate gonadal development in late winter. When seeds are abundant, considerable testis growth takes place in some Pinon Jay ♂ ♂ even before the winter solstice. This relationship was investigated experimentally. Use of a specific food (pinon seeds) as a proximate timer for breeding, the ability of individual jays to breed in spring, molt, and breed again in August without an intervening period of gonadal refractoriness, and testicular development in early December, when day length approaches its minimum, are extraordinary characteristics among north—temperate—zone passerine birds. The synchrony of seed production by pinon pines over large geographic areas is interpreted as an evolved mechanism that (1) overwhelms invertebrate seed and cone predators, and (2) increases the numbers of seeds per tree that will be cached by Pinon Jays and other vertebrates. Caching sites of Pinon Jays are often at locations especially conducive to germination and growth of pinon pine seedlings.","container-title":"Ecological Monographs","DOI":"10.2307/2937295","ISSN":"0012-9615, 1557-7015","issue":"2","journalAbbreviation":"Ecological Monographs","language":"en","license":"http://onlinelibrary.wiley.com/termsAndConditions#vor","page":"111-126","source":"DOI.org (Crossref)","title":"Reproductive Interdependence of Pinon Jays and Pinon Pines","volume":"48","author":[{"family":"Ligon","given":"J. David"}],"issued":{"date-parts":[["1978",3]]}}},{"id":2862,"uris":["http://zotero.org/groups/5634119/items/PYGWLTH3"],"itemData":{"id":2862,"type":"article-journal","container-title":"Animal Behaviour","DOI":"10.1016/s0003-3472(88)80244-6","ISSN":"0003-3472","issue":"1","language":"en","license":"https://www.elsevier.com/tdm/userlicense/1.0/","note":"publisher: Elsevier BV","page":"1-10","source":"Crossref","title":"Do pinyon jays alter nest placement based on prior experience?","volume":"36","author":[{"family":"Marzluff","given":"John M."}],"issued":{"date-parts":[["1988",2]]}}}],"schema":"https://github.com/citation-style-language/schema/raw/master/csl-citation.json"} </w:instrText>
      </w:r>
      <w:r w:rsidR="00B336AD">
        <w:fldChar w:fldCharType="separate"/>
      </w:r>
      <w:r w:rsidR="00B336AD" w:rsidRPr="10F02EB4">
        <w:rPr>
          <w:noProof/>
        </w:rPr>
        <w:t>(Ligon, 1978; Marzluff, 1988)</w:t>
      </w:r>
      <w:r w:rsidR="00B336AD">
        <w:fldChar w:fldCharType="end"/>
      </w:r>
      <w:r w:rsidR="00132C63">
        <w:t xml:space="preserve">. Second, jays rely less on cones in areas with more </w:t>
      </w:r>
      <w:r w:rsidR="00132C63">
        <w:lastRenderedPageBreak/>
        <w:t xml:space="preserve">favorable habitat </w:t>
      </w:r>
      <w:r w:rsidR="009F4C17">
        <w:t xml:space="preserve">(higher pinyon pine basal area and higher North American Monsoon influence; Figure 4 c and d; </w:t>
      </w:r>
      <w:r w:rsidR="00B336AD">
        <w:fldChar w:fldCharType="begin"/>
      </w:r>
      <w:r w:rsidR="00B336AD">
        <w:instrText xml:space="preserve"> ADDIN ZOTERO_ITEM CSL_CITATION {"citationID":"RlgxL6Qz","properties":{"formattedCitation":"(Boone et al., 2018; Johnson et al., 2016; Ligon, 1978; Neilson &amp; Wullstein, 1983; Van Lanen et al., 2023)","plainCitation":"(Boone et al., 2018; Johnson et al., 2016; Ligon, 1978; Neilson &amp; Wullstein, 1983; Van Lanen et al., 2023)","noteIndex":0},"citationItems":[{"id":2748,"uris":["http://zotero.org/groups/5634119/items/YTCPHGE5"],"itemData":{"id":2748,"type":"chapter","abstract":"The Pinyon Jay (Gymnorhinus cyanocephalus) is closely associated with piñon–juniper woodlands in the Intermountain West and Southwest regions of the United States. It is of conservation concern, given it is one of the landbirds declining the fastest and most persistently in these regions, at an average rate of –3.6% from 1968 to 2015, according to the Breeding Bird Survey. Despite the population’s falling by &gt;50% over this period, the Pinyon Jay has not been widely studied, and little is known about the factors responsible for its diminishing numbers. Although the Pinyon Jay’s rate of decline exceeds that of the Greater SageGrouse (Centrocercus urophasianus)—a species targeted for significant conservation efforts—no comprehensive effort designed to benefit this jay has been implemented. Current management in Great Basin piñon–juniper woodlands includes removal of trees to create or protect shrublands for the benefit of sage-grouse and other sagebrush-associated wildlife, and southwestern piñon–juniper woodlands are being thinned for fuels reduction or management of other wildlife. The effect of these treatments on the Pinyon Jay and other piñon–juniper birds, however, has been little studied. Thus further research is needed to clarify the causes of the jay’s decline, develop habitat models for this and other piñon–juniper species, and devise approaches for management of piñon–juniper woodland that balance the interests of the Pinyon Jay and other species of concern, including the Greater Sage-Grouse.","container-title":"Trends and Traditions: Avifaunal Change in Western North America","ISBN":"978-0-9790585-3-0","note":"DOI: 10.21199/SWB3.10","page":"190-197","publisher":"Western Field Ornithologists","source":"DOI.org (Crossref)","title":"Long-term declines in the Pinyon Jay and management implications for piñon–juniper woodlands","URL":"https://westernfieldornithologists.org/docs/2020/Avifaunal_Change/Boone/Boone-Avifaunal_Change.pdf","container-author":[{"family":"Shuford","given":"W. David"},{"family":"Gill","given":"Robert E."},{"family":"Handel","given":"Colleen M."}],"author":[{"family":"Boone","given":"John D."},{"family":"Ammon","given":"Elisabeth"},{"family":"Johnson","given":"Kristine"}],"accessed":{"date-parts":[["2024",10,10]]},"issued":{"date-parts":[["2018",9,1]]}}},{"id":2903,"uris":["http://zotero.org/groups/5634119/items/XYDLLE9X"],"itemData":{"id":2903,"type":"article-journal","container-title":"Avian Conservation and Ecology","DOI":"10.5751/ace-00890-110206","ISSN":"1712-6568","issue":"2","journalAbbreviation":"ACE","language":"en","note":"publisher: Resilience Alliance, Inc.","source":"Crossref","title":"Home range- and colony-scale habitat models for Pinyon Jays in piñon-juniper woodlands of New Mexico, USA","URL":"http://www.ace-eco.org/vol11/iss2/art6/","volume":"11","author":[{"family":"Johnson","given":"Kristine"},{"family":"Neville","given":"Teri B."},{"family":"Smith","given":"Jacqueline W."},{"family":"Horner","given":"Mark W."}],"accessed":{"date-parts":[["2025",7,16]]},"issued":{"date-parts":[["2016"]]}}},{"id":2753,"uris":["http://zotero.org/groups/5634119/items/4RGGXF3K"],"itemData":{"id":2753,"type":"article-journal","abstract":"Pinon Jays (Gymnorhinus cyanoephalus) and pinon pine trees (Pinus edulis) interact in a mutualistic fashion, in that the jays provide a primary means of seed dissemination for pinon trees in the Southwest, while at irregular intervals the trees provide the jays with an abundant and highly nutritious source of food. Availability of pinon seeds permits both late winter (February) and late summer (August) breeding by the jays. Seeds and photoperiod interact synergistically to accelerate gonadal development in late winter. When seeds are abundant, considerable testis growth takes place in some Pinon Jay ♂ ♂ even before the winter solstice. This relationship was investigated experimentally. Use of a specific food (pinon seeds) as a proximate timer for breeding, the ability of individual jays to breed in spring, molt, and breed again in August without an intervening period of gonadal refractoriness, and testicular development in early December, when day length approaches its minimum, are extraordinary characteristics among north—temperate—zone passerine birds. The synchrony of seed production by pinon pines over large geographic areas is interpreted as an evolved mechanism that (1) overwhelms invertebrate seed and cone predators, and (2) increases the numbers of seeds per tree that will be cached by Pinon Jays and other vertebrates. Caching sites of Pinon Jays are often at locations especially conducive to germination and growth of pinon pine seedlings.","container-title":"Ecological Monographs","DOI":"10.2307/2937295","ISSN":"0012-9615, 1557-7015","issue":"2","journalAbbreviation":"Ecological Monographs","language":"en","license":"http://onlinelibrary.wiley.com/termsAndConditions#vor","page":"111-126","source":"DOI.org (Crossref)","title":"Reproductive Interdependence of Pinon Jays and Pinon Pines","volume":"48","author":[{"family":"Ligon","given":"J. David"}],"issued":{"date-parts":[["1978",3]]}}},{"id":2767,"uris":["http://zotero.org/groups/5634119/items/SFTJSXEN"],"itemData":{"id":2767,"type":"article-journal","container-title":"Biological Conservation","DOI":"10.1016/j.biocon.2023.109959","ISSN":"00063207","journalAbbreviation":"Biological Conservation","language":"en","page":"109959","source":"DOI.org (Crossref)","title":"A hidden cost of single species management: Habitat-relationships reveal potential negative effects of conifer removal on a non-target species","title-short":"A hidden cost of single species management","volume":"280","author":[{"family":"Van Lanen","given":"Nicholas J."},{"family":"Monroe","given":"Adrian P."},{"family":"Aldridge","given":"Cameron L."}],"issued":{"date-parts":[["2023",4]]}}},{"id":3003,"uris":["http://zotero.org/users/6391447/items/7P8TEDBC"],"itemData":{"id":3003,"type":"article-journal","container-title":"Journal of Biogeography","DOI":"10.2307/2844738","ISSN":"03050270","issue":"4","journalAbbreviation":"Journal of Biogeography","page":"275","source":"DOI.org (Crossref)","title":"Biogeography of Two Southwest American Oaks in Relation to Atmospheric Dynamics","volume":"10","author":[{"family":"Neilson","given":"R. P."},{"family":"Wullstein","given":"L. H."}],"issued":{"date-parts":[["1983",7]]}}}],"schema":"https://github.com/citation-style-language/schema/raw/master/csl-citation.json"} </w:instrText>
      </w:r>
      <w:r w:rsidR="00B336AD">
        <w:fldChar w:fldCharType="separate"/>
      </w:r>
      <w:r w:rsidR="00B336AD">
        <w:rPr>
          <w:noProof/>
        </w:rPr>
        <w:t>(Boone et al., 2018; Johnson et al., 2016; Ligon, 1978; Neilson &amp; Wullstein, 1983; Van Lanen et al., 2023)</w:t>
      </w:r>
      <w:r w:rsidR="00B336AD">
        <w:fldChar w:fldCharType="end"/>
      </w:r>
      <w:r>
        <w:t>.</w:t>
      </w:r>
      <w:r w:rsidR="00B336AD">
        <w:t xml:space="preserve"> </w:t>
      </w:r>
      <w:r w:rsidR="00144A45">
        <w:t xml:space="preserve">These patterns have implications for understanding the seed dispersal interaction between these two species and when it might change in direction or magnitude </w:t>
      </w:r>
      <w:r w:rsidR="00144A45">
        <w:fldChar w:fldCharType="begin"/>
      </w:r>
      <w:r w:rsidR="00144A45">
        <w:instrText xml:space="preserve"> ADDIN ZOTERO_ITEM CSL_CITATION {"citationID":"VgYh5oFZ","properties":{"formattedCitation":"(Chamberlain et al., 2014)","plainCitation":"(Chamberlain et al., 2014)","noteIndex":0},"citationItems":[{"id":133,"uris":["http://zotero.org/users/6391447/items/NWNSW57M"],"itemData":{"id":133,"type":"article-journal","abstract":"The net effects of interspeciﬁc species interactions on individuals and populations vary in both sign (À, 0, +) and magnitude (strong to weak). Interaction outcomes are context-dependent when the sign and/or magnitude change as a function of the biotic or abiotic context. While context dependency appears to be common, its distribution in nature is poorly described. Here, we used meta-analysis to quantify variation in species interaction outcomes (competition, mutualism, or predation) for 247 published articles. Contrary to our expectations, variation in the magnitude of effect sizes did not differ among species interactions, and while mutualism was most likely to change sign across contexts (and predation least likely), mutualism did not strongly differ from competition. Both the magnitude and sign of species interactions varied the most along spatial and abiotic gradients, and least as a function of the presence/absence of a third species. However, the degree of context dependency across these context types was not consistent among mutualism, competition and predation studies. Surprisingly, study location and ecosystem type varied in the degree of context dependency, with laboratory studies showing the highest variation in outcomes. We urge that studying context dependency per se, rather than focusing only on mean outcomes, can provide a general method for describing patterns of variation in nature.","container-title":"Ecology Letters","DOI":"10.1111/ele.12279","ISSN":"1461023X","issue":"7","journalAbbreviation":"Ecol Lett","language":"en","page":"881-890","source":"DOI.org (Crossref)","title":"How context dependent are species interactions?","volume":"17","author":[{"family":"Chamberlain","given":"Scott A."},{"family":"Bronstein","given":"Judith L."},{"family":"Rudgers","given":"Jennifer A."}],"editor":[{"family":"Etienne","given":"Rampal"}],"issued":{"date-parts":[["2014",7]]}}}],"schema":"https://github.com/citation-style-language/schema/raw/master/csl-citation.json"} </w:instrText>
      </w:r>
      <w:r w:rsidR="00144A45">
        <w:fldChar w:fldCharType="separate"/>
      </w:r>
      <w:r w:rsidR="00144A45">
        <w:rPr>
          <w:noProof/>
        </w:rPr>
        <w:t>(Chamberlain et al., 2014)</w:t>
      </w:r>
      <w:r w:rsidR="00144A45">
        <w:fldChar w:fldCharType="end"/>
      </w:r>
      <w:r w:rsidR="00144A45">
        <w:t>. For example, jays may eat more seeds that they cache more quickly following stressful climatic conditions (</w:t>
      </w:r>
      <w:r w:rsidR="00626A70">
        <w:t xml:space="preserve">weakening or shifting the mutualistic interaction); or they may eat fewer cached seeds in habitats with more food resources (strengthening the mutualistic interaction). </w:t>
      </w:r>
      <w:r w:rsidR="004D074E">
        <w:t>The mediating effects of climate and habitat on seed dispersal in masting species may be more pronounced since seed dispersers have to be adaptable to pulses of resources when they become available</w:t>
      </w:r>
      <w:r w:rsidR="00F57066">
        <w:t xml:space="preserve"> </w:t>
      </w:r>
      <w:r w:rsidR="00F57066">
        <w:fldChar w:fldCharType="begin"/>
      </w:r>
      <w:r w:rsidR="00F57066">
        <w:instrText xml:space="preserve"> ADDIN ZOTERO_ITEM CSL_CITATION {"citationID":"rvp5qt7L","properties":{"formattedCitation":"(Clark et al., 2019)","plainCitation":"(Clark et al., 2019)","noteIndex":0},"citationItems":[{"id":2998,"uris":["http://zotero.org/groups/5634119/items/U6KQ2STX"],"itemData":{"id":2998,"type":"article-journal","abstract":"Abstract\n            \n              Mast‐fruiting trees represent a pulsed resource that both supports and destabilizes consumer populations. Whereas a reliable resource is abundant on average and with limited variation in time and space, masting is volatile and localized, and that variability ramifies throughout food‐webs. Theory is developed to evaluate how the space–time structure of masting interacts with consumers who exploit alternative hosts, forage widely in space, and store reserves in time. We derive the space–time–species covariance in resource supply and combine it with the space–time–diet breadth of consumers, or ambit. Direct connection to data is made possible with Mast Inference and Forecasting (\n              MASTIF\n              ), a state‐space autoregressive model that fits seed‐trap and canopy observations and predicts resource availability within the canopy and on the forest floor with full uncertainty. A resource score can be assigned to each consumer–habitat combination that integrates the benefits of a high mean supply weighed against the variance cost. As the consumer ambit increases, the volatility of an unreliable resource shifts from a variance cost to a mean benefit. Consumers foraging in the canopy (arboreal arthropods and rodents, song birds) experience space‐time covariance between host trees. Consumers on the forest floor (seed and damping‐off fungi, arthropods, rodents, ground‐nesting birds, mammals) experience instead a redistribution of that covariance by dispersal. For consumers lacking mobility, demographic storage in the form of episodic birth cohorts following mast years is important for population persistence. Consumers additionally compensate volatility with diet breadth. Depending on the dominant masting strategies of host tree species in the diet, habitats differentially limit consumers depending on the misalignment between consumer ambit and spatiotemporal covariance of hosts. The impact of adding or subtracting a diet item can be gauged with the standard error (\n              SE\n              ) rule or the benefit of an added diet item balanced against the variance cost, both of which depend on the existing diet, the abundance of the new host, and the consumer's foraging ambit. Results rank habitats by their capacities to support wildlife and other consumers from a resource perspective. Results are connected directly to data, with full uncertainty, by\n              MASTIF\n              .","container-title":"Ecological Monographs","DOI":"10.1002/ecm.1381","ISSN":"0012-9615, 1557-7015","issue":"4","journalAbbreviation":"Ecological Monographs","language":"en","page":"e01381","source":"DOI.org (Crossref)","title":"Foodwebs based on unreliable foundations: spatiotemporal masting merged with consumer movement, storage, and diet","title-short":"Foodwebs based on unreliable foundations","volume":"89","author":[{"family":"Clark","given":"James S."},{"family":"Nuñez","given":"Chase L."},{"family":"Tomasek","given":"Bradley"}],"issued":{"date-parts":[["2019",11]]}}}],"schema":"https://github.com/citation-style-language/schema/raw/master/csl-citation.json"} </w:instrText>
      </w:r>
      <w:r w:rsidR="00F57066">
        <w:fldChar w:fldCharType="separate"/>
      </w:r>
      <w:r w:rsidR="00F57066">
        <w:rPr>
          <w:noProof/>
        </w:rPr>
        <w:t>(Clark et al., 2019)</w:t>
      </w:r>
      <w:r w:rsidR="00F57066">
        <w:fldChar w:fldCharType="end"/>
      </w:r>
      <w:r w:rsidR="00F57066">
        <w:t>.</w:t>
      </w:r>
      <w:r w:rsidR="004D074E">
        <w:t xml:space="preserve"> </w:t>
      </w:r>
    </w:p>
    <w:p w14:paraId="011BA75D" w14:textId="705F49D2" w:rsidR="00F718C9" w:rsidRDefault="00B07713" w:rsidP="00137F43">
      <w:pPr>
        <w:pStyle w:val="BodyText"/>
        <w:ind w:firstLine="720"/>
      </w:pPr>
      <w:r>
        <w:t>This</w:t>
      </w:r>
      <w:r>
        <w:t xml:space="preserve"> study highlights </w:t>
      </w:r>
      <w:r w:rsidR="00F57066">
        <w:t>how seed dispersal mutualisms likely vary across space and time</w:t>
      </w:r>
      <w:r w:rsidR="00BF533E">
        <w:t>, especially in ecosystems where plant species mast</w:t>
      </w:r>
      <w:r w:rsidR="00F57066">
        <w:t xml:space="preserve">. For one, climate and food availability interact over multiple years to </w:t>
      </w:r>
      <w:r>
        <w:t xml:space="preserve">impact the population dynamics of seed dispersers </w:t>
      </w:r>
      <w:r>
        <w:fldChar w:fldCharType="begin"/>
      </w:r>
      <w:r>
        <w:instrText xml:space="preserve"> ADDIN ZOTERO_ITEM CSL_CITATION {"citationID":"9csCQZkI","properties":{"formattedCitation":"(Lira et al., 2019)","plainCitation":"(Lira et al., 2019)","noteIndex":0},"citationItems":[{"id":2905,"uris":["http://zotero.org/groups/5634119/items/LQCLSCWM"],"itemData":{"id":2905,"type":"article-journal","container-title":"Current Landscape Ecology Reports","DOI":"10.1007/s40823-019-00040-w","ISSN":"2364-494X","issue":"3","journalAbbreviation":"Curr Landscape Ecol Rep","language":"en","license":"http://www.springer.com/tdm","note":"publisher: Springer Science and Business Media LLC","page":"70-82","source":"Crossref","title":"Temporal Lag in Ecological Responses to Landscape Change: Where Are We Now?","title-short":"Temporal Lag in Ecological Responses to Landscape Change","volume":"4","author":[{"family":"Lira","given":"Paula Koeler"},{"family":"De Souza Leite","given":"Melina"},{"family":"Metzger","given":"Jean Paul"}],"issued":{"date-parts":[["2019",9]]}}}],"schema":"https://github.com/citation-style-language/schema/raw/master/csl-citation.json"} </w:instrText>
      </w:r>
      <w:r>
        <w:fldChar w:fldCharType="separate"/>
      </w:r>
      <w:r w:rsidRPr="10F02EB4">
        <w:rPr>
          <w:noProof/>
        </w:rPr>
        <w:t>(Lira et al., 2019)</w:t>
      </w:r>
      <w:r>
        <w:fldChar w:fldCharType="end"/>
      </w:r>
      <w:r>
        <w:t xml:space="preserve">. </w:t>
      </w:r>
      <w:r w:rsidR="00BF533E">
        <w:t xml:space="preserve">Especially for declining species of dispersers, this temporal component can provide an </w:t>
      </w:r>
      <w:r w:rsidR="00BF533E" w:rsidRPr="00B07713">
        <w:t xml:space="preserve">evidence-based moving window with which to evaluate population trends (e.g., </w:t>
      </w:r>
      <w:r w:rsidR="00BF533E" w:rsidRPr="00B07713">
        <w:fldChar w:fldCharType="begin"/>
      </w:r>
      <w:r w:rsidR="00BF533E" w:rsidRPr="00B07713">
        <w:instrText xml:space="preserve"> ADDIN ZOTERO_ITEM CSL_CITATION {"citationID":"yCz5AUdZ","properties":{"formattedCitation":"(Rouyer et al., 2011)","plainCitation":"(Rouyer et al., 2011)","noteIndex":0},"citationItems":[{"id":2834,"uris":["http://zotero.org/groups/5634119/items/85DQKW3A"],"itemData":{"id":2834,"type":"article-journal","abstract":"AbstractAccumulating evidence shows that environmental fluctuations and exploitation jointly affect marine fish populations, and understanding their interaction is a key issue for fisheries ecology. In particular, it has been proposed that age truncation induced by fisheries exploitation may increase the population's sensitivity to climate. In this study, we use unique long‐term abundance data for the Northeast Arctic stock of cod (Gadus morhua) and the Norwegian Spring‐Spawning stock of herring (Clupea harengus), which we analyze using techniques based on age‐structured population matrices. After identifying time periods with different age distributions in the spawning stock, we use linear models to quantify the relative effect of exploitation and temperature on the population growth rates. For the two populations, age truncation was found to be associated with an increasing importance of temperature and a relatively decreasing importance of exploitation, while the population growth rate became increasingly sensitive to recruitment variations. The results suggested that the removal of older age classes reduced the buffering capacity of the population, thereby making the population growth rate more dependent on recruitment than adult survival and increasing the effect of environmental fluctuations. Age structure appeared as a key characteristic that can affect the response of fish stocks to climate variations and its consequences may be of key importance for conservation and management.","container-title":"Global Change Biology","DOI":"10.1111/j.1365-2486.2011.02443.x","ISSN":"1354-1013, 1365-2486","issue":"10","language":"en","license":"http://onlinelibrary.wiley.com/termsAndConditions#vor","note":"publisher: Wiley","page":"3046-3057","source":"Crossref","title":"Shifting dynamic forces in fish stock fluctuations triggered by age truncation?","volume":"17","author":[{"family":"Rouyer","given":"Tristan"},{"family":"Ottersen","given":"Geir"},{"family":"Durant","given":"Joël M."},{"family":"Hidalgo","given":"Manuel"},{"family":"Hjermann","given":"Dag Ø."},{"family":"Persson","given":"Jonas"},{"family":"Stige","given":"Leif Chr."},{"family":"Stenseth","given":"Nils Chr."}],"issued":{"date-parts":[["2011",10]]}}}],"schema":"https://github.com/citation-style-language/schema/raw/master/csl-citation.json"} </w:instrText>
      </w:r>
      <w:r w:rsidR="00BF533E" w:rsidRPr="00B07713">
        <w:fldChar w:fldCharType="separate"/>
      </w:r>
      <w:r w:rsidR="00BF533E" w:rsidRPr="00B07713">
        <w:rPr>
          <w:noProof/>
        </w:rPr>
        <w:t>(Rouyer et al., 2011)</w:t>
      </w:r>
      <w:r w:rsidR="00BF533E" w:rsidRPr="00B07713">
        <w:fldChar w:fldCharType="end"/>
      </w:r>
      <w:r w:rsidR="00BF533E" w:rsidRPr="00B07713">
        <w:t>.</w:t>
      </w:r>
      <w:r w:rsidR="00BF533E">
        <w:t xml:space="preserve"> </w:t>
      </w:r>
      <w:r w:rsidR="00F57066">
        <w:t xml:space="preserve">Further, </w:t>
      </w:r>
      <w:r w:rsidR="00BF533E">
        <w:t>s</w:t>
      </w:r>
      <w:r w:rsidR="00BF533E">
        <w:t>eed dispersers in masting systems have likely adapted unique strategies for surviving the boom and bust nature of these ecosystems</w:t>
      </w:r>
      <w:r w:rsidR="00BF533E">
        <w:t xml:space="preserve">, including wider diets and behaviors that support population persistence (e.g., sociality, irruptive movement </w:t>
      </w:r>
      <w:r w:rsidR="00BF533E">
        <w:fldChar w:fldCharType="begin"/>
      </w:r>
      <w:r w:rsidR="00BF533E">
        <w:instrText xml:space="preserve"> ADDIN ZOTERO_ITEM CSL_CITATION {"citationID":"mhQXUCZt","properties":{"formattedCitation":"(Strong et al., 2015)","plainCitation":"(Strong et al., 2015)","noteIndex":0},"citationItems":[{"id":2869,"uris":["http://zotero.org/groups/5634119/items/W2LLACPC"],"itemData":{"id":2869,"type":"article-journal","abstract":"SignificanceThis study is the first, to our knowledge, to reveal how climate variability drives irruptions of North American boreal seed-eating birds. Patterns of Pine Siskin irruption and associated climate drivers manifest as two modes (North-South and West-East) in which dipoles of temperature and precipitation anomalies push and pull irruptive movements across the continent at biennial to decadal periodicities. Our study accentuates the value of sustained and synoptic biological observations, contributed by citizen scientists in this case, that match the spatial and temporal scales at which climatic phenomena are observed and understood. Such observations can help probe new questions, such as the role of climatic dipoles in other large-scale ecological processes.","container-title":"Proceedings of the National Academy of Sciences","DOI":"10.1073/pnas.1418414112","ISSN":"0027-8424, 1091-6490","issue":"21","journalAbbreviation":"Proc. Natl. Acad. Sci. U.S.A.","language":"en","license":"http://www.pnas.org/site/misc/userlicense.xhtml","note":"publisher: Proceedings of the National Academy of Sciences","source":"Crossref","title":"Climatic dipoles drive two principal modes of North American boreal bird irruption","URL":"https://pnas.org/doi/full/10.1073/pnas.1418414112","volume":"112","author":[{"family":"Strong","given":"Courtenay"},{"family":"Zuckerberg","given":"Benjamin"},{"family":"Betancourt","given":"Julio L."},{"family":"Koenig","given":"Walter D."}],"accessed":{"date-parts":[["2025",7,16]]},"issued":{"date-parts":[["2015",5,26]]}}}],"schema":"https://github.com/citation-style-language/schema/raw/master/csl-citation.json"} </w:instrText>
      </w:r>
      <w:r w:rsidR="00BF533E">
        <w:fldChar w:fldCharType="separate"/>
      </w:r>
      <w:r w:rsidR="00BF533E">
        <w:rPr>
          <w:noProof/>
        </w:rPr>
        <w:t>(Strong et al., 2015)</w:t>
      </w:r>
      <w:r w:rsidR="00BF533E">
        <w:fldChar w:fldCharType="end"/>
      </w:r>
      <w:r w:rsidR="00BF533E">
        <w:t xml:space="preserve">). </w:t>
      </w:r>
      <w:r w:rsidR="00BF533E">
        <w:t>Th</w:t>
      </w:r>
      <w:r w:rsidR="00137F43">
        <w:t>is</w:t>
      </w:r>
      <w:r w:rsidR="00BF533E">
        <w:t xml:space="preserve"> study demonstrates the importance of long-term and broad scale studies for understanding patterns shaping </w:t>
      </w:r>
      <w:r w:rsidR="00BF533E">
        <w:t xml:space="preserve">species interactions and how they shape ecosystems </w:t>
      </w:r>
      <w:r w:rsidR="00BF533E">
        <w:fldChar w:fldCharType="begin"/>
      </w:r>
      <w:r w:rsidR="00BF533E">
        <w:instrText xml:space="preserve"> ADDIN ZOTERO_ITEM CSL_CITATION {"citationID":"jyHvLRS5","properties":{"formattedCitation":"(Hughes et al., 2017; Liu &amp; Gaines, 2022; Magurran et al., 2010)","plainCitation":"(Hughes et al., 2017; Liu &amp; Gaines, 2022; Magurran et al., 2010)","noteIndex":0},"citationItems":[{"id":2325,"uris":["http://zotero.org/groups/4766723/items/2HMURWMH"],"itemData":{"id":2325,"type":"article-journal","container-title":"BioScience","DOI":"10.1093/biosci/biw185","ISSN":"0006-3568, 1525-3244","issue":"3","language":"en","page":"271-281","source":"DOI.org (Crossref)","title":"Long-Term Studies Contribute Disproportionately to Ecology and Policy","volume":"67","author":[{"family":"Hughes","given":"Brent B."},{"family":"Beas-Luna","given":"Rodrigo"},{"family":"Barner","given":"Allison K."},{"family":"Brewitt","given":"Kimberly"},{"family":"Brumbaugh","given":"Daniel R."},{"family":"Cerny-Chipman","given":"Elizabeth B."},{"family":"Close","given":"Sarah L."},{"family":"Coblentz","given":"Kyle E."},{"family":"Nesnera","given":"Kristin L.","non-dropping-particle":"de"},{"family":"Drobnitch","given":"Sarah T."},{"family":"Figurski","given":"Jared D."},{"family":"Focht","given":"Becky"},{"family":"Friedman","given":"Maya"},{"family":"Freiwald","given":"Jan"},{"family":"Heady","given":"Kristen K."},{"family":"Heady","given":"Walter N."},{"family":"Hettinger","given":"Annaliese"},{"family":"Johnson","given":"Angela"},{"family":"Karr","given":"Kendra A."},{"family":"Mahoney","given":"Brenna"},{"family":"Moritsch","given":"Monica M."},{"family":"Osterback","given":"Ann-Marie K."},{"family":"Reimer","given":"Jessica"},{"family":"Robinson","given":"Jonathan"},{"family":"Rohrer","given":"Tully"},{"family":"Rose","given":"Jeremy M."},{"family":"Sabal","given":"Megan"},{"family":"Segui","given":"Leah M."},{"family":"Shen","given":"Chenchen"},{"family":"Sullivan","given":"Jenna"},{"family":"Zuercher","given":"Rachel"},{"family":"Raimondi","given":"Peter T."},{"family":"Menge","given":"Bruce A."},{"family":"Grorud-Colvert","given":"Kirsten"},{"family":"Novak","given":"Mark"},{"family":"Carr","given":"Mark H."}],"issued":{"date-parts":[["2017",3]]}}},{"id":3001,"uris":["http://zotero.org/groups/5634119/items/LW73UBXP"],"itemData":{"id":3001,"type":"article-journal","abstract":"Ecological interactions are not uniform across time and can vary with environmental conditions. Yet, interactions among species are often measured with short-term controlled experiments whose outcomes can depend greatly on the particular environmental conditions under which they are performed. As an alternative, we use empirical dynamic modeling to estimate species interactions across a wide range of environmental conditions directly from existing long-term monitoring data. In our case study from a southern California kelp forest, we test whether interactions between multiple kelp and sea urchin species can be reliably reconstructed from time-series data and whether those interactions vary predictably in strength and direction across observed fluctuations in temperature, disturbance, and low-frequency oceanographic regimes. We show that environmental context greatly alters the strength and direction of species interactions. In particular, the state of the North Pacific Gyre Oscillation seems to drive the competitive balance between kelp species, asserting bottom-up control on kelp ecosystem dynamics. We show the importance of specifically studying variation in interaction strength, rather than mean interaction outcomes, when trying to understand the dynamics of complex ecosystems. The significant context dependency in species interactions found in this study argues for a greater utilization of long-term data and empirical dynamic modeling in studies of the dynamics of other ecosystems.","container-title":"Proceedings of the National Academy of Sciences","DOI":"10.1073/pnas.2118539119","ISSN":"0027-8424, 1091-6490","issue":"36","journalAbbreviation":"Proc. Natl. Acad. Sci. U.S.A.","language":"en","page":"e2118539119","source":"DOI.org (Crossref)","title":"Environmental context dependency in species interactions","volume":"119","author":[{"family":"Liu","given":"Owen R."},{"family":"Gaines","given":"Steven D."}],"issued":{"date-parts":[["2022",9,6]]}}},{"id":2327,"uris":["http://zotero.org/groups/4766723/items/X3CCR7HK"],"itemData":{"id":2327,"type":"article-journal","container-title":"Trends in Ecology &amp; Evolution","DOI":"10.1016/j.tree.2010.06.016","ISSN":"01695347","issue":"10","journalAbbreviation":"Trends in Ecology &amp; Evolution","language":"en","license":"https://www.elsevier.com/tdm/userlicense/1.0/","page":"574-582","source":"DOI.org (Crossref)","title":"Long-term datasets in biodiversity research and monitoring: assessing change in ecological communities through time","title-short":"Long-term datasets in biodiversity research and monitoring","volume":"25","author":[{"family":"Magurran","given":"Anne E."},{"family":"Baillie","given":"Stephen R."},{"family":"Buckland","given":"Stephen T."},{"family":"Dick","given":"Jan McP."},{"family":"Elston","given":"David A."},{"family":"Scott","given":"E. Marian"},{"family":"Smith","given":"Rognvald I."},{"family":"Somerfield","given":"Paul J."},{"family":"Watt","given":"Allan D."}],"issued":{"date-parts":[["2010",10]]}}}],"schema":"https://github.com/citation-style-language/schema/raw/master/csl-citation.json"} </w:instrText>
      </w:r>
      <w:r w:rsidR="00BF533E">
        <w:fldChar w:fldCharType="separate"/>
      </w:r>
      <w:r w:rsidR="00BF533E">
        <w:rPr>
          <w:noProof/>
        </w:rPr>
        <w:t>(Hughes et al., 2017; Liu &amp; Gaines, 2022; Magurran et al., 2010)</w:t>
      </w:r>
      <w:r w:rsidR="00BF533E">
        <w:fldChar w:fldCharType="end"/>
      </w:r>
      <w:r w:rsidR="00BF533E">
        <w:t>.</w:t>
      </w:r>
      <w:r w:rsidR="00BF533E">
        <w:t xml:space="preserve"> </w:t>
      </w:r>
      <w:r w:rsidR="00137F43">
        <w:t>To</w:t>
      </w:r>
      <w:r w:rsidR="00BF533E">
        <w:t xml:space="preserve"> understand the consequences of the temporal and spatial patterns shaping this mutualism, </w:t>
      </w:r>
      <w:r w:rsidR="00137F43">
        <w:t xml:space="preserve">further studies can evaluate this system </w:t>
      </w:r>
      <w:r>
        <w:t>“from the plant’s perspective”. Specifically,</w:t>
      </w:r>
      <w:r w:rsidR="00BF533E">
        <w:t xml:space="preserve"> </w:t>
      </w:r>
      <w:r w:rsidR="00137F43">
        <w:t xml:space="preserve">under what climate and habitat conditions do pinyon jays serve as </w:t>
      </w:r>
      <w:r w:rsidR="00137F43">
        <w:lastRenderedPageBreak/>
        <w:t xml:space="preserve">effective seed dispersers? Like many mutualisms, the benefit to pinyon pine may depend on context </w:t>
      </w:r>
      <w:r w:rsidR="00137F43">
        <w:fldChar w:fldCharType="begin"/>
      </w:r>
      <w:r w:rsidR="00137F43">
        <w:instrText xml:space="preserve"> ADDIN ZOTERO_ITEM CSL_CITATION {"citationID":"ZECmcPHo","properties":{"formattedCitation":"(Chamberlain et al., 2014; Moore &amp; Dittel, 2020)","plainCitation":"(Chamberlain et al., 2014; Moore &amp; Dittel, 2020)","noteIndex":0},"citationItems":[{"id":133,"uris":["http://zotero.org/users/6391447/items/NWNSW57M"],"itemData":{"id":133,"type":"article-journal","abstract":"The net effects of interspeciﬁc species interactions on individuals and populations vary in both sign (À, 0, +) and magnitude (strong to weak). Interaction outcomes are context-dependent when the sign and/or magnitude change as a function of the biotic or abiotic context. While context dependency appears to be common, its distribution in nature is poorly described. Here, we used meta-analysis to quantify variation in species interaction outcomes (competition, mutualism, or predation) for 247 published articles. Contrary to our expectations, variation in the magnitude of effect sizes did not differ among species interactions, and while mutualism was most likely to change sign across contexts (and predation least likely), mutualism did not strongly differ from competition. Both the magnitude and sign of species interactions varied the most along spatial and abiotic gradients, and least as a function of the presence/absence of a third species. However, the degree of context dependency across these context types was not consistent among mutualism, competition and predation studies. Surprisingly, study location and ecosystem type varied in the degree of context dependency, with laboratory studies showing the highest variation in outcomes. We urge that studying context dependency per se, rather than focusing only on mean outcomes, can provide a general method for describing patterns of variation in nature.","container-title":"Ecology Letters","DOI":"10.1111/ele.12279","ISSN":"1461023X","issue":"7","journalAbbreviation":"Ecol Lett","language":"en","page":"881-890","source":"DOI.org (Crossref)","title":"How context dependent are species interactions?","volume":"17","author":[{"family":"Chamberlain","given":"Scott A."},{"family":"Bronstein","given":"Judith L."},{"family":"Rudgers","given":"Jennifer A."}],"editor":[{"family":"Etienne","given":"Rampal"}],"issued":{"date-parts":[["2014",7]]}}},{"id":2866,"uris":["http://zotero.org/groups/5634119/items/DSHJRM3N"],"itemData":{"id":2866,"type":"article-journal","abstract":"AbstractSpecies interactions are context dependent, in that their direction and magnitude can vary across ecological conditions. For seed dispersal interactions—especially interactions between plants and seed‐caching animals—the direction of the interactions is often obscured because of seed mortality inherent in seed handling and the delayed effects of fitness benefits received by plants. It is, therefore, an open question in ecology to understand the ecological contexts under which seed dispersal interactions are facilitative, antagonistic or null.We review the fitness benefits of animal‐mediated seed dispersal, extend a recently published model to include negative density‐dependent effects, and review the feedback between seed production (with a focus on masting) and seed‐caching animal populations.Negative density‐dependent effects are pervasive and strongly affect the direction of plant‐seed‐disperser interactions, and including them into models will give a more accurate understanding of the direction of the interaction. Including negative density‐dependent effects also makes the interpretation of interaction more mutualistic since seed dispersers decrease seed densities. Additionally, there is substantial interannual variability in seed production in most nut‐producing plant species, and the lags between seed production and seed‐disperser population sizes complicate and limit inferences made about the direction of interactions in any given short‐term study.Synthesis. If we wish to know the direction of species interactions in real ecological communities, we need models that contain a minimum level of biological realism. For complex and long‐term phenomena such as context‐dependent species interactions we should embrace a multifaceted approach of short‐term field research, long‐term field research, simple models, and complex models to form a more robust understanding of the ecological problem of context dependency.","container-title":"Journal of Ecology","DOI":"10.1111/1365-2745.13414","ISSN":"0022-0477, 1365-2745","issue":"5","language":"en","license":"http://creativecommons.org/licenses/by/4.0/","note":"publisher: Wiley","page":"1775-1783","source":"Crossref","title":"On mutualism, models, and masting: The effects of seed‐dispersing animals on the plants they disperse","title-short":"On mutualism, models, and masting","volume":"108","author":[{"family":"Moore","given":"Christopher M."},{"family":"Dittel","given":"Jacob W."}],"editor":[{"family":"Shefferson","given":"Richard"}],"issued":{"date-parts":[["2020",9]]}}}],"schema":"https://github.com/citation-style-language/schema/raw/master/csl-citation.json"} </w:instrText>
      </w:r>
      <w:r w:rsidR="00137F43">
        <w:fldChar w:fldCharType="separate"/>
      </w:r>
      <w:r w:rsidR="00137F43">
        <w:rPr>
          <w:noProof/>
        </w:rPr>
        <w:t>(Chamberlain et al., 2014; Moore &amp; Dittel, 2020)</w:t>
      </w:r>
      <w:r w:rsidR="00137F43">
        <w:fldChar w:fldCharType="end"/>
      </w:r>
      <w:r w:rsidR="00137F43">
        <w:t>.</w:t>
      </w:r>
      <w:r w:rsidR="00A17E2A">
        <w:t xml:space="preserve"> [Understanding the context dependence of this mutualism is crucial giving the ongoing and future changes, including increased tree mortality and declining seed abundance, which will make it harder for pinyon jays to find seeds. Cite the stuff here from intro.]</w:t>
      </w:r>
    </w:p>
    <w:p w14:paraId="1A37AB75" w14:textId="443306CE" w:rsidR="00A17E2A" w:rsidRDefault="00B07713" w:rsidP="00A17E2A">
      <w:pPr>
        <w:pStyle w:val="BodyText"/>
        <w:ind w:firstLine="720"/>
      </w:pPr>
      <w:r>
        <w:t xml:space="preserve">Masting systems are defined by </w:t>
      </w:r>
      <w:r w:rsidR="00137F43">
        <w:t xml:space="preserve">dynamic </w:t>
      </w:r>
      <w:r>
        <w:t>nutrient fluxes</w:t>
      </w:r>
      <w:r w:rsidR="00137F43">
        <w:t xml:space="preserve"> (CITE).  </w:t>
      </w:r>
      <w:r>
        <w:t xml:space="preserve">These effects ripple out to impact whole food webs over the course of years (CITE). </w:t>
      </w:r>
      <w:r w:rsidR="00137F43">
        <w:t>While s</w:t>
      </w:r>
      <w:r w:rsidR="00F718C9">
        <w:t>eed dispersers that depend on masting species likely adapted to take advantage of seed resource pulses when they became available</w:t>
      </w:r>
      <w:r w:rsidR="00137F43">
        <w:t>, many systems where masting is regulated by climate may face increased variability with climate change</w:t>
      </w:r>
      <w:r w:rsidR="00A17E2A">
        <w:t xml:space="preserve"> as seed production declines or as seed availability becomes more patchy with plant mortality events</w:t>
      </w:r>
      <w:r w:rsidR="00137F43">
        <w:t xml:space="preserve"> (CITE). </w:t>
      </w:r>
      <w:r w:rsidR="00A17E2A">
        <w:t xml:space="preserve">Patterns in seed disperser populations and masting species rely on important feedbacks between interaction partners, with mutualistic interactions becoming predation when there are fewer seed resources (CITE). Like all mutualistic interactions, seed dispersal interactions are at </w:t>
      </w:r>
      <w:r w:rsidR="00A17E2A">
        <w:t xml:space="preserve">great risk of disappearing with ongoing change across the globe due to processes such as co-extinction </w:t>
      </w:r>
      <w:r w:rsidR="00A17E2A">
        <w:fldChar w:fldCharType="begin"/>
      </w:r>
      <w:r w:rsidR="00A17E2A">
        <w:instrText xml:space="preserve"> ADDIN ZOTERO_ITEM CSL_CITATION {"citationID":"hXPJ32AJ","properties":{"formattedCitation":"(Colwell et al., 2012; Dunn et al., 2009)","plainCitation":"(Colwell et al., 2012; Dunn et al., 2009)","noteIndex":0},"citationItems":[{"id":2910,"uris":["http://zotero.org/users/6391447/items/BUDWNGTV"],"itemData":{"id":2910,"type":"article-journal","abstract":"The extinction of a single species is rarely an isolated event. Instead, dependent parasites, commensals, and mutualist partners (affiliates) face the risk of coextinction as their hosts or partners decline and fail. Species interactions in ecological networks can transmit the effects of primary extinctions within and between trophic levels, causing secondary extinctions and extinction cascades. Documenting coextinctions is complicated by ignorance of host specificity, limitations of historical collections, incomplete systematics of affiliate taxa, and lack of experimental studies. Host shifts may reduce the rate of coextinctions, but they are poorly understood. In the absence of better empirical records of coextinctions, statistical models estimate the rates of past and future coextinctions, and based on primary extinctions and interactions among species, network models explore extinction cascades. Models predict and historical evidence reveals that the threat of coextinction is influenced by both host and affiliate traits and is exacerbated by other threats, including habitat loss, climate change, and invasive species.","container-title":"Annual Review of Ecology, Evolution, and Systematics","DOI":"10.1146/annurev-ecolsys-110411-160304","ISSN":"1543-592X, 1545-2069","issue":"1","journalAbbreviation":"Annu. Rev. Ecol. Evol. Syst.","language":"en","note":"publisher: Annual Reviews","page":"183-203","source":"Crossref","title":"Coextinction and Persistence of Dependent Species in a Changing World","volume":"43","author":[{"family":"Colwell","given":"Robert K."},{"family":"Dunn","given":"Robert R."},{"family":"Harris","given":"Nyeema C."}],"issued":{"date-parts":[["2012",12,1]]}}},{"id":2908,"uris":["http://zotero.org/users/6391447/items/JAWB3SAX"],"itemData":{"id":2908,"type":"article-journal","abstract":"The effects of species declines and extinction on biotic interactions remain poorly understood. The loss of a species is expected to result in the loss of other species that depend on it (coextinction), leading to cascading effects across trophic levels. Such effects are likely to be most severe in mutualistic and parasitic interactions. Indeed, models suggest that coextinction may be the most common form of biodiversity loss. Paradoxically, few historical or contemporary coextinction events have actually been recorded. We review the current knowledge of coextinction by: (i) considering plausible explanations for the discrepancy between predicted and observed coextinction rates; (ii) exploring the potential consequences of coextinctions; (iii) discussing the interactions and synergies between coextinction and other drivers of species loss, particularly climate change; and (iv) suggesting the way forward for understanding the phenomenon of coextinction, which may well be the most insidious threat to global biodiversity.","container-title":"Proceedings of the Royal Society B: Biological Sciences","DOI":"10.1098/rspb.2009.0413","ISSN":"0962-8452, 1471-2954","issue":"1670","journalAbbreviation":"Proc. R. Soc. B.","language":"en","license":"https://royalsociety.org/journals/ethics-policies/data-sharing-mining/","note":"publisher: The Royal Society","page":"3037-3045","source":"Crossref","title":"The sixth mass coextinction: are most endangered species parasites and mutualists?","title-short":"The sixth mass coextinction","volume":"276","author":[{"family":"Dunn","given":"Robert R."},{"family":"Harris","given":"Nyeema C."},{"family":"Colwell","given":"Robert K."},{"family":"Koh","given":"Lian Pin"},{"family":"Sodhi","given":"Navjot S."}],"issued":{"date-parts":[["2009",9,7]]}}}],"schema":"https://github.com/citation-style-language/schema/raw/master/csl-citation.json"} </w:instrText>
      </w:r>
      <w:r w:rsidR="00A17E2A">
        <w:fldChar w:fldCharType="separate"/>
      </w:r>
      <w:r w:rsidR="00A17E2A" w:rsidRPr="10F02EB4">
        <w:rPr>
          <w:noProof/>
        </w:rPr>
        <w:t>(Colwell et al., 2012; Dunn et al., 2009)</w:t>
      </w:r>
      <w:r w:rsidR="00A17E2A">
        <w:fldChar w:fldCharType="end"/>
      </w:r>
      <w:r w:rsidR="00A17E2A">
        <w:t xml:space="preserve"> and phenological mismatches.</w:t>
      </w:r>
      <w:r w:rsidR="00A17E2A" w:rsidRPr="00A17E2A">
        <w:t xml:space="preserve"> </w:t>
      </w:r>
      <w:r w:rsidR="00A17E2A">
        <w:t xml:space="preserve">Building our understanding about the temporal dynamics and context dependence of </w:t>
      </w:r>
      <w:r w:rsidR="00A17E2A">
        <w:t>seed dispersal interactions in masting systems</w:t>
      </w:r>
      <w:r w:rsidR="00A17E2A">
        <w:t xml:space="preserve"> is an important first step in understanding and curbing biodiversity loss in ecosystems across the planet.</w:t>
      </w:r>
    </w:p>
    <w:p w14:paraId="3A50EDCF" w14:textId="77777777" w:rsidR="00626A70" w:rsidRDefault="00626A70" w:rsidP="00626A70">
      <w:pPr>
        <w:pStyle w:val="BodyText"/>
        <w:ind w:firstLine="720"/>
      </w:pPr>
    </w:p>
    <w:p w14:paraId="6D51F17C" w14:textId="77777777" w:rsidR="00626A70" w:rsidRDefault="00626A70" w:rsidP="00626A70">
      <w:pPr>
        <w:pStyle w:val="BodyText"/>
        <w:ind w:firstLine="720"/>
      </w:pPr>
    </w:p>
    <w:p w14:paraId="048EE635" w14:textId="77777777" w:rsidR="00626A70" w:rsidRDefault="00626A70" w:rsidP="00626A70">
      <w:pPr>
        <w:pStyle w:val="BodyText"/>
        <w:ind w:firstLine="720"/>
      </w:pPr>
    </w:p>
    <w:p w14:paraId="68E74AF9" w14:textId="77777777" w:rsidR="00626A70" w:rsidRDefault="00626A70" w:rsidP="00626A70">
      <w:pPr>
        <w:pStyle w:val="BodyText"/>
        <w:ind w:firstLine="720"/>
      </w:pPr>
    </w:p>
    <w:bookmarkEnd w:id="22"/>
    <w:p w14:paraId="10D6E46C" w14:textId="6E182D5E" w:rsidR="00482FFC" w:rsidRDefault="00482FFC" w:rsidP="00482FFC">
      <w:pPr>
        <w:pStyle w:val="BodyText"/>
        <w:rPr>
          <w:b/>
          <w:bCs/>
        </w:rPr>
      </w:pPr>
      <w:r w:rsidRPr="00482FFC">
        <w:rPr>
          <w:b/>
          <w:bCs/>
        </w:rPr>
        <w:lastRenderedPageBreak/>
        <w:t>References</w:t>
      </w:r>
    </w:p>
    <w:p w14:paraId="423EDAA5" w14:textId="77777777" w:rsidR="00137F43" w:rsidRPr="00137F43" w:rsidRDefault="0019106D" w:rsidP="00137F43">
      <w:pPr>
        <w:pStyle w:val="Bibliography"/>
      </w:pPr>
      <w:r>
        <w:rPr>
          <w:b/>
          <w:bCs/>
        </w:rPr>
        <w:fldChar w:fldCharType="begin"/>
      </w:r>
      <w:r w:rsidR="00347BE8">
        <w:rPr>
          <w:b/>
          <w:bCs/>
        </w:rPr>
        <w:instrText xml:space="preserve"> ADDIN ZOTERO_BIBL {"uncited":[],"omitted":[],"custom":[]} CSL_BIBLIOGRAPHY </w:instrText>
      </w:r>
      <w:r>
        <w:rPr>
          <w:b/>
          <w:bCs/>
        </w:rPr>
        <w:fldChar w:fldCharType="separate"/>
      </w:r>
      <w:r w:rsidR="00137F43" w:rsidRPr="00137F43">
        <w:t xml:space="preserve">Adams, D. K., &amp; Comrie, A. C. (1997). The North American Monsoon. </w:t>
      </w:r>
      <w:r w:rsidR="00137F43" w:rsidRPr="00137F43">
        <w:rPr>
          <w:i/>
          <w:iCs/>
        </w:rPr>
        <w:t>Bulletin of the American Meteorological Society</w:t>
      </w:r>
      <w:r w:rsidR="00137F43" w:rsidRPr="00137F43">
        <w:t xml:space="preserve">, </w:t>
      </w:r>
      <w:r w:rsidR="00137F43" w:rsidRPr="00137F43">
        <w:rPr>
          <w:i/>
          <w:iCs/>
        </w:rPr>
        <w:t>78</w:t>
      </w:r>
      <w:r w:rsidR="00137F43" w:rsidRPr="00137F43">
        <w:t>(10), 2197–2213. https://doi.org/10.1175/1520-0477(1997)078%253C2197:TNAM%253E2.0.CO;2</w:t>
      </w:r>
    </w:p>
    <w:p w14:paraId="0056C8C8" w14:textId="77777777" w:rsidR="00137F43" w:rsidRPr="00137F43" w:rsidRDefault="00137F43" w:rsidP="00137F43">
      <w:pPr>
        <w:pStyle w:val="Bibliography"/>
      </w:pPr>
      <w:r w:rsidRPr="00137F43">
        <w:t xml:space="preserve">Allred, B. W., Bestelmeyer, B. T., Boyd, C. S., Brown, C., Davies, K. W., Duniway, M. C., Ellsworth, L. M., Erickson, T. A., Fuhlendorf, S. D., Griffiths, T. V., Jansen, V., Jones, M. O., Karl, J., Knight, A., Maestas, J. D., Maynard, J. J., McCord, S. E., Naugle, D. E., Starns, H. D., … Uden, D. R. (2021). Improving Landsat predictions of rangeland fractional cover with multitask learning and uncertainty. </w:t>
      </w:r>
      <w:r w:rsidRPr="00137F43">
        <w:rPr>
          <w:i/>
          <w:iCs/>
        </w:rPr>
        <w:t>Methods in Ecology and Evolution</w:t>
      </w:r>
      <w:r w:rsidRPr="00137F43">
        <w:t xml:space="preserve">, </w:t>
      </w:r>
      <w:r w:rsidRPr="00137F43">
        <w:rPr>
          <w:i/>
          <w:iCs/>
        </w:rPr>
        <w:t>12</w:t>
      </w:r>
      <w:r w:rsidRPr="00137F43">
        <w:t>(5), 841–849. https://doi.org/10.1111/2041-210X.13564</w:t>
      </w:r>
    </w:p>
    <w:p w14:paraId="1C615628" w14:textId="77777777" w:rsidR="00137F43" w:rsidRPr="00137F43" w:rsidRDefault="00137F43" w:rsidP="00137F43">
      <w:pPr>
        <w:pStyle w:val="Bibliography"/>
      </w:pPr>
      <w:r w:rsidRPr="00137F43">
        <w:t xml:space="preserve">Artamendi, M., Martin, P. A., Bartomeus, I., &amp; Magrach, A. (2024). Loss of pollinator diversity consistently reduces reproductive success for wild and cultivated plants. </w:t>
      </w:r>
      <w:r w:rsidRPr="00137F43">
        <w:rPr>
          <w:i/>
          <w:iCs/>
        </w:rPr>
        <w:t>Nature Ecology &amp; Evolution</w:t>
      </w:r>
      <w:r w:rsidRPr="00137F43">
        <w:t xml:space="preserve">, </w:t>
      </w:r>
      <w:r w:rsidRPr="00137F43">
        <w:rPr>
          <w:i/>
          <w:iCs/>
        </w:rPr>
        <w:t>9</w:t>
      </w:r>
      <w:r w:rsidRPr="00137F43">
        <w:t>(2), 296–313. https://doi.org/10.1038/s41559-024-02595-2</w:t>
      </w:r>
    </w:p>
    <w:p w14:paraId="5D330A88" w14:textId="77777777" w:rsidR="00137F43" w:rsidRPr="00137F43" w:rsidRDefault="00137F43" w:rsidP="00137F43">
      <w:pPr>
        <w:pStyle w:val="Bibliography"/>
      </w:pPr>
      <w:r w:rsidRPr="00137F43">
        <w:t xml:space="preserve">Barrett, T., Dowle, M., Srinivasan, A., Gorecki, J., Chirico, M., Hocking, T., Schwendinger, B., &amp; Krylov, I. (2006). </w:t>
      </w:r>
      <w:r w:rsidRPr="00137F43">
        <w:rPr>
          <w:i/>
          <w:iCs/>
        </w:rPr>
        <w:t>data.table: Extension of `data.frame`</w:t>
      </w:r>
      <w:r w:rsidRPr="00137F43">
        <w:t xml:space="preserve"> [Dataset]. The R Foundation. https://doi.org/10.32614/cran.package.data.table</w:t>
      </w:r>
    </w:p>
    <w:p w14:paraId="0A27EF02" w14:textId="77777777" w:rsidR="00137F43" w:rsidRPr="00137F43" w:rsidRDefault="00137F43" w:rsidP="00137F43">
      <w:pPr>
        <w:pStyle w:val="Bibliography"/>
      </w:pPr>
      <w:r w:rsidRPr="00137F43">
        <w:t xml:space="preserve">Bascompte, J., García, M. B., Ortega, R., Rezende, E. L., &amp; Pironon, S. (2019). Mutualistic interactions reshuffle the effects of climate change on plants across the tree of life. </w:t>
      </w:r>
      <w:r w:rsidRPr="00137F43">
        <w:rPr>
          <w:i/>
          <w:iCs/>
        </w:rPr>
        <w:t>Science Advances</w:t>
      </w:r>
      <w:r w:rsidRPr="00137F43">
        <w:t xml:space="preserve">, </w:t>
      </w:r>
      <w:r w:rsidRPr="00137F43">
        <w:rPr>
          <w:i/>
          <w:iCs/>
        </w:rPr>
        <w:t>5</w:t>
      </w:r>
      <w:r w:rsidRPr="00137F43">
        <w:t>(5). https://doi.org/10.1126/sciadv.aav2539</w:t>
      </w:r>
    </w:p>
    <w:p w14:paraId="3908CCE9" w14:textId="77777777" w:rsidR="00137F43" w:rsidRPr="00137F43" w:rsidRDefault="00137F43" w:rsidP="00137F43">
      <w:pPr>
        <w:pStyle w:val="Bibliography"/>
      </w:pPr>
      <w:r w:rsidRPr="00137F43">
        <w:t xml:space="preserve">Bednekoff, P. A., &amp; Balda, R. P. (1996). Social caching and observational spatial memory in pinyon jays. </w:t>
      </w:r>
      <w:r w:rsidRPr="00137F43">
        <w:rPr>
          <w:i/>
          <w:iCs/>
        </w:rPr>
        <w:t>Behaviour</w:t>
      </w:r>
      <w:r w:rsidRPr="00137F43">
        <w:t xml:space="preserve">, </w:t>
      </w:r>
      <w:r w:rsidRPr="00137F43">
        <w:rPr>
          <w:i/>
          <w:iCs/>
        </w:rPr>
        <w:t>133</w:t>
      </w:r>
      <w:r w:rsidRPr="00137F43">
        <w:t>(11/12), 807–826.</w:t>
      </w:r>
    </w:p>
    <w:p w14:paraId="21A9CE6E" w14:textId="77777777" w:rsidR="00137F43" w:rsidRPr="00137F43" w:rsidRDefault="00137F43" w:rsidP="00137F43">
      <w:pPr>
        <w:pStyle w:val="Bibliography"/>
      </w:pPr>
      <w:r w:rsidRPr="00137F43">
        <w:t xml:space="preserve">Belitz, M. W., Larsen, E. A., Hurlbert, A. H., Di Cecco, G. J., Neupane, N., Ries, L., Tingley, M. W., Guralnick, R. P., &amp; Youngflesh, C. (2025). Potential for bird–insect phenological </w:t>
      </w:r>
      <w:r w:rsidRPr="00137F43">
        <w:lastRenderedPageBreak/>
        <w:t xml:space="preserve">mismatch in a tri‐trophic system. </w:t>
      </w:r>
      <w:r w:rsidRPr="00137F43">
        <w:rPr>
          <w:i/>
          <w:iCs/>
        </w:rPr>
        <w:t>Journal of Animal Ecology</w:t>
      </w:r>
      <w:r w:rsidRPr="00137F43">
        <w:t xml:space="preserve">, </w:t>
      </w:r>
      <w:r w:rsidRPr="00137F43">
        <w:rPr>
          <w:i/>
          <w:iCs/>
        </w:rPr>
        <w:t>94</w:t>
      </w:r>
      <w:r w:rsidRPr="00137F43">
        <w:t>(4), 717–728. https://doi.org/10.1111/1365-2656.70007</w:t>
      </w:r>
    </w:p>
    <w:p w14:paraId="0A6105E4" w14:textId="77777777" w:rsidR="00137F43" w:rsidRPr="00137F43" w:rsidRDefault="00137F43" w:rsidP="00137F43">
      <w:pPr>
        <w:pStyle w:val="Bibliography"/>
      </w:pPr>
      <w:r w:rsidRPr="00137F43">
        <w:t xml:space="preserve">Beygelzimer, A., Kakadet, S., Langford, J., Arya, S., Mount, D., &amp; Li, S. (2010). </w:t>
      </w:r>
      <w:r w:rsidRPr="00137F43">
        <w:rPr>
          <w:i/>
          <w:iCs/>
        </w:rPr>
        <w:t>FNN: Fast Nearest Neighbor Search Algorithms and Applications</w:t>
      </w:r>
      <w:r w:rsidRPr="00137F43">
        <w:t xml:space="preserve"> [Dataset]. The R Foundation. https://doi.org/10.32614/cran.package.fnn</w:t>
      </w:r>
    </w:p>
    <w:p w14:paraId="472BAA95" w14:textId="77777777" w:rsidR="00137F43" w:rsidRPr="00137F43" w:rsidRDefault="00137F43" w:rsidP="00137F43">
      <w:pPr>
        <w:pStyle w:val="Bibliography"/>
      </w:pPr>
      <w:r w:rsidRPr="00137F43">
        <w:t xml:space="preserve">Bjornstad, O. N. (2008). </w:t>
      </w:r>
      <w:r w:rsidRPr="00137F43">
        <w:rPr>
          <w:i/>
          <w:iCs/>
        </w:rPr>
        <w:t>ncf: Spatial Covariance Functions</w:t>
      </w:r>
      <w:r w:rsidRPr="00137F43">
        <w:t xml:space="preserve"> [Dataset]. The R Foundation. https://doi.org/10.32614/cran.package.ncf</w:t>
      </w:r>
    </w:p>
    <w:p w14:paraId="713BFD27" w14:textId="77777777" w:rsidR="00137F43" w:rsidRPr="00137F43" w:rsidRDefault="00137F43" w:rsidP="00137F43">
      <w:pPr>
        <w:pStyle w:val="Bibliography"/>
      </w:pPr>
      <w:r w:rsidRPr="00137F43">
        <w:t xml:space="preserve">Bogdziewicz, M., Crone, E. E., &amp; Zwolak, R. (2020). Do benefits of seed dispersal and caching by scatterhoarders outweigh the costs of predation? An example with oaks and yellow‐necked mice. </w:t>
      </w:r>
      <w:r w:rsidRPr="00137F43">
        <w:rPr>
          <w:i/>
          <w:iCs/>
        </w:rPr>
        <w:t>Journal of Ecology</w:t>
      </w:r>
      <w:r w:rsidRPr="00137F43">
        <w:t xml:space="preserve">, </w:t>
      </w:r>
      <w:r w:rsidRPr="00137F43">
        <w:rPr>
          <w:i/>
          <w:iCs/>
        </w:rPr>
        <w:t>108</w:t>
      </w:r>
      <w:r w:rsidRPr="00137F43">
        <w:t>(3), 1009–1018. https://doi.org/10.1111/1365-2745.13307</w:t>
      </w:r>
    </w:p>
    <w:p w14:paraId="256BB802" w14:textId="77777777" w:rsidR="00137F43" w:rsidRPr="00137F43" w:rsidRDefault="00137F43" w:rsidP="00137F43">
      <w:pPr>
        <w:pStyle w:val="Bibliography"/>
      </w:pPr>
      <w:r w:rsidRPr="00137F43">
        <w:t xml:space="preserve">Bogdziewicz, M., Zwolak, R., &amp; Crone, E. E. (2016). How do vertebrates respond to mast seeding? </w:t>
      </w:r>
      <w:r w:rsidRPr="00137F43">
        <w:rPr>
          <w:i/>
          <w:iCs/>
        </w:rPr>
        <w:t>Oikos</w:t>
      </w:r>
      <w:r w:rsidRPr="00137F43">
        <w:t xml:space="preserve">, </w:t>
      </w:r>
      <w:r w:rsidRPr="00137F43">
        <w:rPr>
          <w:i/>
          <w:iCs/>
        </w:rPr>
        <w:t>125</w:t>
      </w:r>
      <w:r w:rsidRPr="00137F43">
        <w:t>(3), 300–307. https://doi.org/10.1111/oik.03012</w:t>
      </w:r>
    </w:p>
    <w:p w14:paraId="307EDB5A" w14:textId="77777777" w:rsidR="00137F43" w:rsidRPr="00137F43" w:rsidRDefault="00137F43" w:rsidP="00137F43">
      <w:pPr>
        <w:pStyle w:val="Bibliography"/>
      </w:pPr>
      <w:r w:rsidRPr="00137F43">
        <w:t xml:space="preserve">Boone, J. D., Ammon, E., &amp; Johnson, K. (2018). Long-term declines in the Pinyon Jay and management implications for piñon–juniper woodlands. In W. D. Shuford, R. E. Gill, &amp; C. M. Handel, </w:t>
      </w:r>
      <w:r w:rsidRPr="00137F43">
        <w:rPr>
          <w:i/>
          <w:iCs/>
        </w:rPr>
        <w:t>Trends and Traditions: Avifaunal Change in Western North America</w:t>
      </w:r>
      <w:r w:rsidRPr="00137F43">
        <w:t xml:space="preserve"> (pp. 190–197). Western Field Ornithologists. https://doi.org/10.21199/SWB3.10</w:t>
      </w:r>
    </w:p>
    <w:p w14:paraId="0DB1CF22" w14:textId="77777777" w:rsidR="00137F43" w:rsidRPr="00137F43" w:rsidRDefault="00137F43" w:rsidP="00137F43">
      <w:pPr>
        <w:pStyle w:val="Bibliography"/>
      </w:pPr>
      <w:r w:rsidRPr="00137F43">
        <w:t xml:space="preserve">Boutin, S., Wauters, L. A., McAdam, A. G., Humphries, M. M., Tosi, G., &amp; Dhondt, A. A. (2006). Anticipatory Reproduction and Population Growth in Seed Predators. </w:t>
      </w:r>
      <w:r w:rsidRPr="00137F43">
        <w:rPr>
          <w:i/>
          <w:iCs/>
        </w:rPr>
        <w:t>Science</w:t>
      </w:r>
      <w:r w:rsidRPr="00137F43">
        <w:t xml:space="preserve">, </w:t>
      </w:r>
      <w:r w:rsidRPr="00137F43">
        <w:rPr>
          <w:i/>
          <w:iCs/>
        </w:rPr>
        <w:t>314</w:t>
      </w:r>
      <w:r w:rsidRPr="00137F43">
        <w:t>(5807), 1928–1930. https://doi.org/10.1126/science.1135520</w:t>
      </w:r>
    </w:p>
    <w:p w14:paraId="7964111B" w14:textId="77777777" w:rsidR="00137F43" w:rsidRPr="00137F43" w:rsidRDefault="00137F43" w:rsidP="00137F43">
      <w:pPr>
        <w:pStyle w:val="Bibliography"/>
      </w:pPr>
      <w:r w:rsidRPr="00137F43">
        <w:t xml:space="preserve">Bregnard, C., Rais, O., &amp; Voordouw, M. J. (2021). Masting by beech trees predicts the risk of Lyme disease. </w:t>
      </w:r>
      <w:r w:rsidRPr="00137F43">
        <w:rPr>
          <w:i/>
          <w:iCs/>
        </w:rPr>
        <w:t>Parasites &amp; Vectors</w:t>
      </w:r>
      <w:r w:rsidRPr="00137F43">
        <w:t xml:space="preserve">, </w:t>
      </w:r>
      <w:r w:rsidRPr="00137F43">
        <w:rPr>
          <w:i/>
          <w:iCs/>
        </w:rPr>
        <w:t>14</w:t>
      </w:r>
      <w:r w:rsidRPr="00137F43">
        <w:t>(1), 168. https://doi.org/10.1186/s13071-021-04646-0</w:t>
      </w:r>
    </w:p>
    <w:p w14:paraId="0EF13D23" w14:textId="77777777" w:rsidR="00137F43" w:rsidRPr="00137F43" w:rsidRDefault="00137F43" w:rsidP="00137F43">
      <w:pPr>
        <w:pStyle w:val="Bibliography"/>
      </w:pPr>
      <w:r w:rsidRPr="00137F43">
        <w:lastRenderedPageBreak/>
        <w:t xml:space="preserve">Breshears, D. D., Cobb, N. S., Rich, P. M., Price, K. P., Allen, C. D., Balice, R. G., Romme, W. H., Kastens, J. H., Floyd, M. L., Belnap, J., Anderson, J. J., Myers, O. B., &amp; Meyer, C. W. (2005). Regional vegetation die-off in response to global-change-type drought. </w:t>
      </w:r>
      <w:r w:rsidRPr="00137F43">
        <w:rPr>
          <w:i/>
          <w:iCs/>
        </w:rPr>
        <w:t>Proceedings of the National Academy of Sciences</w:t>
      </w:r>
      <w:r w:rsidRPr="00137F43">
        <w:t xml:space="preserve">, </w:t>
      </w:r>
      <w:r w:rsidRPr="00137F43">
        <w:rPr>
          <w:i/>
          <w:iCs/>
        </w:rPr>
        <w:t>102</w:t>
      </w:r>
      <w:r w:rsidRPr="00137F43">
        <w:t>(42), 15144–15148. https://doi.org/10.1073/pnas.0505734102</w:t>
      </w:r>
    </w:p>
    <w:p w14:paraId="57C312A6" w14:textId="77777777" w:rsidR="00137F43" w:rsidRPr="00137F43" w:rsidRDefault="00137F43" w:rsidP="00137F43">
      <w:pPr>
        <w:pStyle w:val="Bibliography"/>
      </w:pPr>
      <w:r w:rsidRPr="00137F43">
        <w:t xml:space="preserve">Brodie, J. F., Bello, C., Emer, C., Galetti, M., Luskin, M. S., Osuri, A., Peres, C. A., Stoll, A., Villar, N., &amp; López, A. (2025). Defaunation impacts on the carbon balance of tropical forests. </w:t>
      </w:r>
      <w:r w:rsidRPr="00137F43">
        <w:rPr>
          <w:i/>
          <w:iCs/>
        </w:rPr>
        <w:t>Conservation Biology</w:t>
      </w:r>
      <w:r w:rsidRPr="00137F43">
        <w:t xml:space="preserve">, </w:t>
      </w:r>
      <w:r w:rsidRPr="00137F43">
        <w:rPr>
          <w:i/>
          <w:iCs/>
        </w:rPr>
        <w:t>39</w:t>
      </w:r>
      <w:r w:rsidRPr="00137F43">
        <w:t>(1), e14414. https://doi.org/10.1111/cobi.14414</w:t>
      </w:r>
    </w:p>
    <w:p w14:paraId="71AF4737" w14:textId="77777777" w:rsidR="00137F43" w:rsidRPr="00137F43" w:rsidRDefault="00137F43" w:rsidP="00137F43">
      <w:pPr>
        <w:pStyle w:val="Bibliography"/>
      </w:pPr>
      <w:r w:rsidRPr="00137F43">
        <w:t xml:space="preserve">Burkle, L. A., Marlin, J. C., &amp; Knight, T. M. (2013). Plant-Pollinator Interactions over 120 Years: Loss of Species, Co-Occurrence, and Function. </w:t>
      </w:r>
      <w:r w:rsidRPr="00137F43">
        <w:rPr>
          <w:i/>
          <w:iCs/>
        </w:rPr>
        <w:t>Science</w:t>
      </w:r>
      <w:r w:rsidRPr="00137F43">
        <w:t xml:space="preserve">, </w:t>
      </w:r>
      <w:r w:rsidRPr="00137F43">
        <w:rPr>
          <w:i/>
          <w:iCs/>
        </w:rPr>
        <w:t>339</w:t>
      </w:r>
      <w:r w:rsidRPr="00137F43">
        <w:t>(6127), 1611–1615. https://doi.org/10.1126/science.1232728</w:t>
      </w:r>
    </w:p>
    <w:p w14:paraId="6C4BEBCF" w14:textId="77777777" w:rsidR="00137F43" w:rsidRPr="00137F43" w:rsidRDefault="00137F43" w:rsidP="00137F43">
      <w:pPr>
        <w:pStyle w:val="Bibliography"/>
      </w:pPr>
      <w:r w:rsidRPr="00137F43">
        <w:t xml:space="preserve">Catford, J. A., Wilson, J. R. U., Pyšek, P., Hulme, P. E., &amp; Duncan, R. P. (2022). Addressing context dependence in ecology. </w:t>
      </w:r>
      <w:r w:rsidRPr="00137F43">
        <w:rPr>
          <w:i/>
          <w:iCs/>
        </w:rPr>
        <w:t>Trends in Ecology &amp; Evolution</w:t>
      </w:r>
      <w:r w:rsidRPr="00137F43">
        <w:t xml:space="preserve">, </w:t>
      </w:r>
      <w:r w:rsidRPr="00137F43">
        <w:rPr>
          <w:i/>
          <w:iCs/>
        </w:rPr>
        <w:t>37</w:t>
      </w:r>
      <w:r w:rsidRPr="00137F43">
        <w:t>(2), 158–170. https://doi.org/10.1016/j.tree.2021.09.007</w:t>
      </w:r>
    </w:p>
    <w:p w14:paraId="37A25484" w14:textId="77777777" w:rsidR="00137F43" w:rsidRPr="00137F43" w:rsidRDefault="00137F43" w:rsidP="00137F43">
      <w:pPr>
        <w:pStyle w:val="Bibliography"/>
      </w:pPr>
      <w:r w:rsidRPr="00137F43">
        <w:t xml:space="preserve">Chamberlain, S. A., Bronstein, J. L., &amp; Rudgers, J. A. (2014). How context dependent are species interactions? </w:t>
      </w:r>
      <w:r w:rsidRPr="00137F43">
        <w:rPr>
          <w:i/>
          <w:iCs/>
        </w:rPr>
        <w:t>Ecology Letters</w:t>
      </w:r>
      <w:r w:rsidRPr="00137F43">
        <w:t xml:space="preserve">, </w:t>
      </w:r>
      <w:r w:rsidRPr="00137F43">
        <w:rPr>
          <w:i/>
          <w:iCs/>
        </w:rPr>
        <w:t>17</w:t>
      </w:r>
      <w:r w:rsidRPr="00137F43">
        <w:t>(7), 881–890. https://doi.org/10.1111/ele.12279</w:t>
      </w:r>
    </w:p>
    <w:p w14:paraId="69913094" w14:textId="77777777" w:rsidR="00137F43" w:rsidRPr="00137F43" w:rsidRDefault="00137F43" w:rsidP="00137F43">
      <w:pPr>
        <w:pStyle w:val="Bibliography"/>
      </w:pPr>
      <w:r w:rsidRPr="00137F43">
        <w:t xml:space="preserve">Clark, J. S., Nuñez, C. L., &amp; Tomasek, B. (2019). Foodwebs based on unreliable foundations: Spatiotemporal masting merged with consumer movement, storage, and diet. </w:t>
      </w:r>
      <w:r w:rsidRPr="00137F43">
        <w:rPr>
          <w:i/>
          <w:iCs/>
        </w:rPr>
        <w:t>Ecological Monographs</w:t>
      </w:r>
      <w:r w:rsidRPr="00137F43">
        <w:t xml:space="preserve">, </w:t>
      </w:r>
      <w:r w:rsidRPr="00137F43">
        <w:rPr>
          <w:i/>
          <w:iCs/>
        </w:rPr>
        <w:t>89</w:t>
      </w:r>
      <w:r w:rsidRPr="00137F43">
        <w:t>(4), e01381. https://doi.org/10.1002/ecm.1381</w:t>
      </w:r>
    </w:p>
    <w:p w14:paraId="02019BCD" w14:textId="77777777" w:rsidR="00137F43" w:rsidRPr="00137F43" w:rsidRDefault="00137F43" w:rsidP="00137F43">
      <w:pPr>
        <w:pStyle w:val="Bibliography"/>
      </w:pPr>
      <w:r w:rsidRPr="00137F43">
        <w:t xml:space="preserve">Colwell, R. K., Dunn, R. R., &amp; Harris, N. C. (2012). Coextinction and Persistence of Dependent Species in a Changing World. </w:t>
      </w:r>
      <w:r w:rsidRPr="00137F43">
        <w:rPr>
          <w:i/>
          <w:iCs/>
        </w:rPr>
        <w:t>Annual Review of Ecology, Evolution, and Systematics</w:t>
      </w:r>
      <w:r w:rsidRPr="00137F43">
        <w:t xml:space="preserve">, </w:t>
      </w:r>
      <w:r w:rsidRPr="00137F43">
        <w:rPr>
          <w:i/>
          <w:iCs/>
        </w:rPr>
        <w:t>43</w:t>
      </w:r>
      <w:r w:rsidRPr="00137F43">
        <w:t>(1), 183–203. https://doi.org/10.1146/annurev-ecolsys-110411-160304</w:t>
      </w:r>
    </w:p>
    <w:p w14:paraId="12C2A885" w14:textId="77777777" w:rsidR="00137F43" w:rsidRPr="00137F43" w:rsidRDefault="00137F43" w:rsidP="00137F43">
      <w:pPr>
        <w:pStyle w:val="Bibliography"/>
      </w:pPr>
      <w:r w:rsidRPr="00137F43">
        <w:lastRenderedPageBreak/>
        <w:t xml:space="preserve">Comita, L. S., Queenborough, S. A., Murphy, S. J., Eck, J. L., Xu, K., Krishnadas, M., Beckman, N., &amp; Zhu, Y. (2014). Testing predictions of the </w:t>
      </w:r>
      <w:r w:rsidRPr="00137F43">
        <w:rPr>
          <w:smallCaps/>
        </w:rPr>
        <w:t>J</w:t>
      </w:r>
      <w:r w:rsidRPr="00137F43">
        <w:t>anzen–</w:t>
      </w:r>
      <w:r w:rsidRPr="00137F43">
        <w:rPr>
          <w:smallCaps/>
        </w:rPr>
        <w:t>C</w:t>
      </w:r>
      <w:r w:rsidRPr="00137F43">
        <w:t xml:space="preserve">onnell hypothesis: A meta‐analysis of experimental evidence for distance‐ and density‐dependent seed and seedling survival. </w:t>
      </w:r>
      <w:r w:rsidRPr="00137F43">
        <w:rPr>
          <w:i/>
          <w:iCs/>
        </w:rPr>
        <w:t>Journal of Ecology</w:t>
      </w:r>
      <w:r w:rsidRPr="00137F43">
        <w:t xml:space="preserve">, </w:t>
      </w:r>
      <w:r w:rsidRPr="00137F43">
        <w:rPr>
          <w:i/>
          <w:iCs/>
        </w:rPr>
        <w:t>102</w:t>
      </w:r>
      <w:r w:rsidRPr="00137F43">
        <w:t>(4), 845–856. https://doi.org/10.1111/1365-2745.12232</w:t>
      </w:r>
    </w:p>
    <w:p w14:paraId="50C7ADC4" w14:textId="77777777" w:rsidR="00137F43" w:rsidRPr="00137F43" w:rsidRDefault="00137F43" w:rsidP="00137F43">
      <w:pPr>
        <w:pStyle w:val="Bibliography"/>
      </w:pPr>
      <w:r w:rsidRPr="00137F43">
        <w:t xml:space="preserve">Connell, J. H. (1971). On the role of natural enemies in preventing competitive exclusion in some marine animals and in rain forest trees. In </w:t>
      </w:r>
      <w:r w:rsidRPr="00137F43">
        <w:rPr>
          <w:i/>
          <w:iCs/>
        </w:rPr>
        <w:t>Dynamics of Populations</w:t>
      </w:r>
      <w:r w:rsidRPr="00137F43">
        <w:t>. Centre for Agricultural Publishing and Documentation.</w:t>
      </w:r>
    </w:p>
    <w:p w14:paraId="17621292" w14:textId="77777777" w:rsidR="00137F43" w:rsidRPr="00137F43" w:rsidRDefault="00137F43" w:rsidP="00137F43">
      <w:pPr>
        <w:pStyle w:val="Bibliography"/>
      </w:pPr>
      <w:r w:rsidRPr="00137F43">
        <w:t xml:space="preserve">Cornell Lab of Ornithology. (2024a). </w:t>
      </w:r>
      <w:r w:rsidRPr="00137F43">
        <w:rPr>
          <w:i/>
          <w:iCs/>
        </w:rPr>
        <w:t>eBird Basic Dataset</w:t>
      </w:r>
      <w:r w:rsidRPr="00137F43">
        <w:t xml:space="preserve"> (Version EBD_relJun-2024) [Dataset].</w:t>
      </w:r>
    </w:p>
    <w:p w14:paraId="286F20C4" w14:textId="77777777" w:rsidR="00137F43" w:rsidRPr="00137F43" w:rsidRDefault="00137F43" w:rsidP="00137F43">
      <w:pPr>
        <w:pStyle w:val="Bibliography"/>
      </w:pPr>
      <w:r w:rsidRPr="00137F43">
        <w:t xml:space="preserve">Cornell Lab of Ornithology. (2024b). </w:t>
      </w:r>
      <w:r w:rsidRPr="00137F43">
        <w:rPr>
          <w:i/>
          <w:iCs/>
        </w:rPr>
        <w:t>eBird Basic Dataset</w:t>
      </w:r>
      <w:r w:rsidRPr="00137F43">
        <w:t xml:space="preserve"> (Version EBD_relMay-2024) [Dataset].</w:t>
      </w:r>
    </w:p>
    <w:p w14:paraId="4A48BBBF" w14:textId="77777777" w:rsidR="00137F43" w:rsidRPr="00137F43" w:rsidRDefault="00137F43" w:rsidP="00137F43">
      <w:pPr>
        <w:pStyle w:val="Bibliography"/>
      </w:pPr>
      <w:r w:rsidRPr="00137F43">
        <w:t xml:space="preserve">Curtis, S. M. (2010). </w:t>
      </w:r>
      <w:r w:rsidRPr="00137F43">
        <w:rPr>
          <w:i/>
          <w:iCs/>
        </w:rPr>
        <w:t>mcmcplots: Create Plots from MCMC Output</w:t>
      </w:r>
      <w:r w:rsidRPr="00137F43">
        <w:t xml:space="preserve"> (p. 0.4.3) [Dataset]. https://doi.org/10.32614/CRAN.package.mcmcplots</w:t>
      </w:r>
    </w:p>
    <w:p w14:paraId="63575F3C" w14:textId="77777777" w:rsidR="00137F43" w:rsidRPr="00137F43" w:rsidRDefault="00137F43" w:rsidP="00137F43">
      <w:pPr>
        <w:pStyle w:val="Bibliography"/>
      </w:pPr>
      <w:r w:rsidRPr="00137F43">
        <w:t xml:space="preserve">Daniel Baston. (2019). </w:t>
      </w:r>
      <w:r w:rsidRPr="00137F43">
        <w:rPr>
          <w:i/>
          <w:iCs/>
        </w:rPr>
        <w:t>exactextractr: Fast Extraction from Raster Datasets using Polygons</w:t>
      </w:r>
      <w:r w:rsidRPr="00137F43">
        <w:t xml:space="preserve"> [Dataset]. The R Foundation. https://doi.org/10.32614/cran.package.exactextractr</w:t>
      </w:r>
    </w:p>
    <w:p w14:paraId="29ED5A43" w14:textId="77777777" w:rsidR="00137F43" w:rsidRPr="00137F43" w:rsidRDefault="00137F43" w:rsidP="00137F43">
      <w:pPr>
        <w:pStyle w:val="Bibliography"/>
      </w:pPr>
      <w:r w:rsidRPr="00137F43">
        <w:t xml:space="preserve">Donoso, I., Sorensen, M. C., Blendinger, P. G., Kissling, W. D., Neuschulz, E. L., Mueller, T., &amp; Schleuning, M. (2020). Downsizing of animal communities triggers stronger functional than structural decay in seed-dispersal networks. </w:t>
      </w:r>
      <w:r w:rsidRPr="00137F43">
        <w:rPr>
          <w:i/>
          <w:iCs/>
        </w:rPr>
        <w:t>Nature Communications</w:t>
      </w:r>
      <w:r w:rsidRPr="00137F43">
        <w:t xml:space="preserve">, </w:t>
      </w:r>
      <w:r w:rsidRPr="00137F43">
        <w:rPr>
          <w:i/>
          <w:iCs/>
        </w:rPr>
        <w:t>11</w:t>
      </w:r>
      <w:r w:rsidRPr="00137F43">
        <w:t>(1), 1582. https://doi.org/10.1038/s41467-020-15438-y</w:t>
      </w:r>
    </w:p>
    <w:p w14:paraId="11AC9189" w14:textId="77777777" w:rsidR="00137F43" w:rsidRPr="00137F43" w:rsidRDefault="00137F43" w:rsidP="00137F43">
      <w:pPr>
        <w:pStyle w:val="Bibliography"/>
      </w:pPr>
      <w:r w:rsidRPr="00137F43">
        <w:t xml:space="preserve">Dorman, M. (2018). </w:t>
      </w:r>
      <w:r w:rsidRPr="00137F43">
        <w:rPr>
          <w:i/>
          <w:iCs/>
        </w:rPr>
        <w:t>nngeo: K-Nearest Neighbor Join for Spatial Data</w:t>
      </w:r>
      <w:r w:rsidRPr="00137F43">
        <w:t xml:space="preserve"> [Dataset]. The R Foundation. https://doi.org/10.32614/cran.package.nngeo</w:t>
      </w:r>
    </w:p>
    <w:p w14:paraId="2457FC67" w14:textId="77777777" w:rsidR="00137F43" w:rsidRPr="00137F43" w:rsidRDefault="00137F43" w:rsidP="00137F43">
      <w:pPr>
        <w:pStyle w:val="Bibliography"/>
      </w:pPr>
      <w:r w:rsidRPr="00137F43">
        <w:t xml:space="preserve">Dunn, R. R., Harris, N. C., Colwell, R. K., Koh, L. P., &amp; Sodhi, N. S. (2009). The sixth mass coextinction: Are most endangered species parasites and mutualists? </w:t>
      </w:r>
      <w:r w:rsidRPr="00137F43">
        <w:rPr>
          <w:i/>
          <w:iCs/>
        </w:rPr>
        <w:t xml:space="preserve">Proceedings of the </w:t>
      </w:r>
      <w:r w:rsidRPr="00137F43">
        <w:rPr>
          <w:i/>
          <w:iCs/>
        </w:rPr>
        <w:lastRenderedPageBreak/>
        <w:t>Royal Society B: Biological Sciences</w:t>
      </w:r>
      <w:r w:rsidRPr="00137F43">
        <w:t xml:space="preserve">, </w:t>
      </w:r>
      <w:r w:rsidRPr="00137F43">
        <w:rPr>
          <w:i/>
          <w:iCs/>
        </w:rPr>
        <w:t>276</w:t>
      </w:r>
      <w:r w:rsidRPr="00137F43">
        <w:t>(1670), 3037–3045. https://doi.org/10.1098/rspb.2009.0413</w:t>
      </w:r>
    </w:p>
    <w:p w14:paraId="5E7AC7C5" w14:textId="77777777" w:rsidR="00137F43" w:rsidRPr="00137F43" w:rsidRDefault="00137F43" w:rsidP="00137F43">
      <w:pPr>
        <w:pStyle w:val="Bibliography"/>
      </w:pPr>
      <w:r w:rsidRPr="00137F43">
        <w:t xml:space="preserve">Elwood, E. C., Lichti, N. I., Fitzsimmons, S. F., &amp; Dalgleish, H. J. (2018). Scatterhoarders drive long‐ and short‐term population dynamics of a nut‐producing tree, while pre‐dispersal seed predators and herbivores have little effect. </w:t>
      </w:r>
      <w:r w:rsidRPr="00137F43">
        <w:rPr>
          <w:i/>
          <w:iCs/>
        </w:rPr>
        <w:t>Journal of Ecology</w:t>
      </w:r>
      <w:r w:rsidRPr="00137F43">
        <w:t xml:space="preserve">, </w:t>
      </w:r>
      <w:r w:rsidRPr="00137F43">
        <w:rPr>
          <w:i/>
          <w:iCs/>
        </w:rPr>
        <w:t>106</w:t>
      </w:r>
      <w:r w:rsidRPr="00137F43">
        <w:t>(3), 1191–1203. https://doi.org/10.1111/1365-2745.12902</w:t>
      </w:r>
    </w:p>
    <w:p w14:paraId="274EADEE" w14:textId="77777777" w:rsidR="00137F43" w:rsidRPr="00137F43" w:rsidRDefault="00137F43" w:rsidP="00137F43">
      <w:pPr>
        <w:pStyle w:val="Bibliography"/>
      </w:pPr>
      <w:r w:rsidRPr="00137F43">
        <w:t xml:space="preserve">Evans, J. S., &amp; Murphy, M. A. (2023). </w:t>
      </w:r>
      <w:r w:rsidRPr="00137F43">
        <w:rPr>
          <w:i/>
          <w:iCs/>
        </w:rPr>
        <w:t>spatialEco</w:t>
      </w:r>
      <w:r w:rsidRPr="00137F43">
        <w:t xml:space="preserve"> (Version 2.0-2) [Computer software].</w:t>
      </w:r>
    </w:p>
    <w:p w14:paraId="10734361" w14:textId="77777777" w:rsidR="00137F43" w:rsidRPr="00137F43" w:rsidRDefault="00137F43" w:rsidP="00137F43">
      <w:pPr>
        <w:pStyle w:val="Bibliography"/>
      </w:pPr>
      <w:r w:rsidRPr="00137F43">
        <w:t xml:space="preserve">Floyd, M. E. (1982). The Interaction of Pinon Pine and Gambel Oak in Plant Succession near Dolores, Colorado. </w:t>
      </w:r>
      <w:r w:rsidRPr="00137F43">
        <w:rPr>
          <w:i/>
          <w:iCs/>
        </w:rPr>
        <w:t>The Southwestern Naturalist</w:t>
      </w:r>
      <w:r w:rsidRPr="00137F43">
        <w:t xml:space="preserve">, </w:t>
      </w:r>
      <w:r w:rsidRPr="00137F43">
        <w:rPr>
          <w:i/>
          <w:iCs/>
        </w:rPr>
        <w:t>27</w:t>
      </w:r>
      <w:r w:rsidRPr="00137F43">
        <w:t>(2), 143. https://doi.org/10.2307/3671138</w:t>
      </w:r>
    </w:p>
    <w:p w14:paraId="30EC9164" w14:textId="77777777" w:rsidR="00137F43" w:rsidRPr="00137F43" w:rsidRDefault="00137F43" w:rsidP="00137F43">
      <w:pPr>
        <w:pStyle w:val="Bibliography"/>
      </w:pPr>
      <w:r w:rsidRPr="00137F43">
        <w:t xml:space="preserve">Forcella, F. (1981). Ovulate Cone Production in Pinyon: Negative Exponential Relationship with Late Summer Temperature. </w:t>
      </w:r>
      <w:r w:rsidRPr="00137F43">
        <w:rPr>
          <w:i/>
          <w:iCs/>
        </w:rPr>
        <w:t>Ecology</w:t>
      </w:r>
      <w:r w:rsidRPr="00137F43">
        <w:t xml:space="preserve">, </w:t>
      </w:r>
      <w:r w:rsidRPr="00137F43">
        <w:rPr>
          <w:i/>
          <w:iCs/>
        </w:rPr>
        <w:t>62</w:t>
      </w:r>
      <w:r w:rsidRPr="00137F43">
        <w:t>(2), 488–491. https://doi.org/10.2307/1936722</w:t>
      </w:r>
    </w:p>
    <w:p w14:paraId="7E928928" w14:textId="77777777" w:rsidR="00137F43" w:rsidRPr="00137F43" w:rsidRDefault="00137F43" w:rsidP="00137F43">
      <w:pPr>
        <w:pStyle w:val="Bibliography"/>
      </w:pPr>
      <w:r w:rsidRPr="00137F43">
        <w:t xml:space="preserve">Gelman, A., &amp; Rubin, D. B. (1992). Inference from Iterative Simulation Using Multiple Sequences. </w:t>
      </w:r>
      <w:r w:rsidRPr="00137F43">
        <w:rPr>
          <w:i/>
          <w:iCs/>
        </w:rPr>
        <w:t>Statistical Science</w:t>
      </w:r>
      <w:r w:rsidRPr="00137F43">
        <w:t xml:space="preserve">, </w:t>
      </w:r>
      <w:r w:rsidRPr="00137F43">
        <w:rPr>
          <w:i/>
          <w:iCs/>
        </w:rPr>
        <w:t>7</w:t>
      </w:r>
      <w:r w:rsidRPr="00137F43">
        <w:t>(4). https://doi.org/10.1214/ss/1177011136</w:t>
      </w:r>
    </w:p>
    <w:p w14:paraId="56A4CFF2" w14:textId="77777777" w:rsidR="00137F43" w:rsidRPr="00137F43" w:rsidRDefault="00137F43" w:rsidP="00137F43">
      <w:pPr>
        <w:pStyle w:val="Bibliography"/>
      </w:pPr>
      <w:r w:rsidRPr="00137F43">
        <w:t xml:space="preserve">Gómez, J. M., Schupp, E. W., &amp; Jordano, P. (2019). Synzoochory: The ecological and evolutionary relevance of a dual interaction. </w:t>
      </w:r>
      <w:r w:rsidRPr="00137F43">
        <w:rPr>
          <w:i/>
          <w:iCs/>
        </w:rPr>
        <w:t>Biological Reviews</w:t>
      </w:r>
      <w:r w:rsidRPr="00137F43">
        <w:t xml:space="preserve">, </w:t>
      </w:r>
      <w:r w:rsidRPr="00137F43">
        <w:rPr>
          <w:i/>
          <w:iCs/>
        </w:rPr>
        <w:t>94</w:t>
      </w:r>
      <w:r w:rsidRPr="00137F43">
        <w:t>(3), 874–902. https://doi.org/10.1111/brv.12481</w:t>
      </w:r>
    </w:p>
    <w:p w14:paraId="0BCA5FE4" w14:textId="77777777" w:rsidR="00137F43" w:rsidRPr="00137F43" w:rsidRDefault="00137F43" w:rsidP="00137F43">
      <w:pPr>
        <w:pStyle w:val="Bibliography"/>
      </w:pPr>
      <w:r w:rsidRPr="00137F43">
        <w:t>Grolemund, G., &amp; Wickham, H. (2011). Dates and Times Made Easy with</w:t>
      </w:r>
      <w:r w:rsidRPr="00137F43">
        <w:rPr>
          <w:b/>
          <w:bCs/>
        </w:rPr>
        <w:t>lubridate</w:t>
      </w:r>
      <w:r w:rsidRPr="00137F43">
        <w:t xml:space="preserve">. </w:t>
      </w:r>
      <w:r w:rsidRPr="00137F43">
        <w:rPr>
          <w:i/>
          <w:iCs/>
        </w:rPr>
        <w:t>Journal of Statistical Software</w:t>
      </w:r>
      <w:r w:rsidRPr="00137F43">
        <w:t xml:space="preserve">, </w:t>
      </w:r>
      <w:r w:rsidRPr="00137F43">
        <w:rPr>
          <w:i/>
          <w:iCs/>
        </w:rPr>
        <w:t>40</w:t>
      </w:r>
      <w:r w:rsidRPr="00137F43">
        <w:t>(3). https://doi.org/10.18637/jss.v040.i03</w:t>
      </w:r>
    </w:p>
    <w:p w14:paraId="6DCD73A9" w14:textId="77777777" w:rsidR="00137F43" w:rsidRPr="00137F43" w:rsidRDefault="00137F43" w:rsidP="00137F43">
      <w:pPr>
        <w:pStyle w:val="Bibliography"/>
      </w:pPr>
      <w:r w:rsidRPr="00137F43">
        <w:t xml:space="preserve">Hart, E., &amp; Bell, K. (2015). </w:t>
      </w:r>
      <w:r w:rsidRPr="00137F43">
        <w:rPr>
          <w:i/>
          <w:iCs/>
        </w:rPr>
        <w:t>prism: Access data from the Oregon State Prism climate project</w:t>
      </w:r>
      <w:r w:rsidRPr="00137F43">
        <w:t xml:space="preserve"> [Computer software]. Zenodo. https://doi.org/10.5281/ZENODO.33663</w:t>
      </w:r>
    </w:p>
    <w:p w14:paraId="7DDAFF52" w14:textId="77777777" w:rsidR="00137F43" w:rsidRPr="00137F43" w:rsidRDefault="00137F43" w:rsidP="00137F43">
      <w:pPr>
        <w:pStyle w:val="Bibliography"/>
      </w:pPr>
      <w:r w:rsidRPr="00137F43">
        <w:t xml:space="preserve">Hijmans, R. J. (2020). </w:t>
      </w:r>
      <w:r w:rsidRPr="00137F43">
        <w:rPr>
          <w:i/>
          <w:iCs/>
        </w:rPr>
        <w:t>terra: Spatial Data Analysis</w:t>
      </w:r>
      <w:r w:rsidRPr="00137F43">
        <w:t xml:space="preserve"> [Dataset]. The R Foundation. https://doi.org/10.32614/cran.package.terra</w:t>
      </w:r>
    </w:p>
    <w:p w14:paraId="5581E067" w14:textId="77777777" w:rsidR="00137F43" w:rsidRPr="00137F43" w:rsidRDefault="00137F43" w:rsidP="00137F43">
      <w:pPr>
        <w:pStyle w:val="Bibliography"/>
      </w:pPr>
      <w:r w:rsidRPr="00137F43">
        <w:lastRenderedPageBreak/>
        <w:t xml:space="preserve">Hochachka, W. M., Ruiz-Gutierrez, V., &amp; Johnston, A. (2023). Considerations for fitting occupancy models to data from eBird and similar volunteer-collected data. </w:t>
      </w:r>
      <w:r w:rsidRPr="00137F43">
        <w:rPr>
          <w:i/>
          <w:iCs/>
        </w:rPr>
        <w:t>Ornithology</w:t>
      </w:r>
      <w:r w:rsidRPr="00137F43">
        <w:t xml:space="preserve">, </w:t>
      </w:r>
      <w:r w:rsidRPr="00137F43">
        <w:rPr>
          <w:i/>
          <w:iCs/>
        </w:rPr>
        <w:t>140</w:t>
      </w:r>
      <w:r w:rsidRPr="00137F43">
        <w:t>(4). https://doi.org/10.1093/ornithology/ukad035</w:t>
      </w:r>
    </w:p>
    <w:p w14:paraId="728AB3BF" w14:textId="77777777" w:rsidR="00137F43" w:rsidRPr="00137F43" w:rsidRDefault="00137F43" w:rsidP="00137F43">
      <w:pPr>
        <w:pStyle w:val="Bibliography"/>
      </w:pPr>
      <w:r w:rsidRPr="00137F43">
        <w:t xml:space="preserve">Hughes, B. B., Beas-Luna, R., Barner, A. K., Brewitt, K., Brumbaugh, D. R., Cerny-Chipman, E. B., Close, S. L., Coblentz, K. E., de Nesnera, K. L., Drobnitch, S. T., Figurski, J. D., Focht, B., Friedman, M., Freiwald, J., Heady, K. K., Heady, W. N., Hettinger, A., Johnson, A., Karr, K. A., … Carr, M. H. (2017). Long-Term Studies Contribute Disproportionately to Ecology and Policy. </w:t>
      </w:r>
      <w:r w:rsidRPr="00137F43">
        <w:rPr>
          <w:i/>
          <w:iCs/>
        </w:rPr>
        <w:t>BioScience</w:t>
      </w:r>
      <w:r w:rsidRPr="00137F43">
        <w:t xml:space="preserve">, </w:t>
      </w:r>
      <w:r w:rsidRPr="00137F43">
        <w:rPr>
          <w:i/>
          <w:iCs/>
        </w:rPr>
        <w:t>67</w:t>
      </w:r>
      <w:r w:rsidRPr="00137F43">
        <w:t>(3), 271–281. https://doi.org/10.1093/biosci/biw185</w:t>
      </w:r>
    </w:p>
    <w:p w14:paraId="4E1E888B" w14:textId="77777777" w:rsidR="00137F43" w:rsidRPr="00137F43" w:rsidRDefault="00137F43" w:rsidP="00137F43">
      <w:pPr>
        <w:pStyle w:val="Bibliography"/>
      </w:pPr>
      <w:r w:rsidRPr="00137F43">
        <w:t xml:space="preserve">Janzen, D. (1970). Herbivores and the number of tree species in tropical forests. </w:t>
      </w:r>
      <w:r w:rsidRPr="00137F43">
        <w:rPr>
          <w:i/>
          <w:iCs/>
        </w:rPr>
        <w:t>The American Naturalist</w:t>
      </w:r>
      <w:r w:rsidRPr="00137F43">
        <w:t xml:space="preserve">, </w:t>
      </w:r>
      <w:r w:rsidRPr="00137F43">
        <w:rPr>
          <w:i/>
          <w:iCs/>
        </w:rPr>
        <w:t>104</w:t>
      </w:r>
      <w:r w:rsidRPr="00137F43">
        <w:t>(940), 501–528.</w:t>
      </w:r>
    </w:p>
    <w:p w14:paraId="04691464" w14:textId="77777777" w:rsidR="00137F43" w:rsidRPr="00137F43" w:rsidRDefault="00137F43" w:rsidP="00137F43">
      <w:pPr>
        <w:pStyle w:val="Bibliography"/>
      </w:pPr>
      <w:r w:rsidRPr="00137F43">
        <w:t xml:space="preserve">Johnson, K., Neville, T. B., Smith, J. W., &amp; Horner, M. W. (2016). Home range- and colony-scale habitat models for Pinyon Jays in piñon-juniper woodlands of New Mexico, USA. </w:t>
      </w:r>
      <w:r w:rsidRPr="00137F43">
        <w:rPr>
          <w:i/>
          <w:iCs/>
        </w:rPr>
        <w:t>Avian Conservation and Ecology</w:t>
      </w:r>
      <w:r w:rsidRPr="00137F43">
        <w:t xml:space="preserve">, </w:t>
      </w:r>
      <w:r w:rsidRPr="00137F43">
        <w:rPr>
          <w:i/>
          <w:iCs/>
        </w:rPr>
        <w:t>11</w:t>
      </w:r>
      <w:r w:rsidRPr="00137F43">
        <w:t>(2). https://doi.org/10.5751/ace-00890-110206</w:t>
      </w:r>
    </w:p>
    <w:p w14:paraId="4E3FF647" w14:textId="77777777" w:rsidR="00137F43" w:rsidRPr="00137F43" w:rsidRDefault="00137F43" w:rsidP="00137F43">
      <w:pPr>
        <w:pStyle w:val="Bibliography"/>
      </w:pPr>
      <w:r w:rsidRPr="00137F43">
        <w:t xml:space="preserve">Kellner, K. (2021). </w:t>
      </w:r>
      <w:r w:rsidRPr="00137F43">
        <w:rPr>
          <w:i/>
          <w:iCs/>
        </w:rPr>
        <w:t>jagsUI: a wrapper around “rjags” to streamline JAGS analyses</w:t>
      </w:r>
      <w:r w:rsidRPr="00137F43">
        <w:t xml:space="preserve"> (Version 1.5.2) [R]. https://CRAN.R-project.org/package=jagsUI</w:t>
      </w:r>
    </w:p>
    <w:p w14:paraId="06D7D33E" w14:textId="77777777" w:rsidR="00137F43" w:rsidRPr="00137F43" w:rsidRDefault="00137F43" w:rsidP="00137F43">
      <w:pPr>
        <w:pStyle w:val="Bibliography"/>
      </w:pPr>
      <w:r w:rsidRPr="00137F43">
        <w:t xml:space="preserve">Ligon, J. D. (1978). Reproductive Interdependence of Pinon Jays and Pinon Pines. </w:t>
      </w:r>
      <w:r w:rsidRPr="00137F43">
        <w:rPr>
          <w:i/>
          <w:iCs/>
        </w:rPr>
        <w:t>Ecological Monographs</w:t>
      </w:r>
      <w:r w:rsidRPr="00137F43">
        <w:t xml:space="preserve">, </w:t>
      </w:r>
      <w:r w:rsidRPr="00137F43">
        <w:rPr>
          <w:i/>
          <w:iCs/>
        </w:rPr>
        <w:t>48</w:t>
      </w:r>
      <w:r w:rsidRPr="00137F43">
        <w:t>(2), 111–126. https://doi.org/10.2307/2937295</w:t>
      </w:r>
    </w:p>
    <w:p w14:paraId="20CFB603" w14:textId="77777777" w:rsidR="00137F43" w:rsidRPr="00137F43" w:rsidRDefault="00137F43" w:rsidP="00137F43">
      <w:pPr>
        <w:pStyle w:val="Bibliography"/>
      </w:pPr>
      <w:r w:rsidRPr="00137F43">
        <w:t xml:space="preserve">Lira, P. K., De Souza Leite, M., &amp; Metzger, J. P. (2019). Temporal Lag in Ecological Responses to Landscape Change: Where Are We Now? </w:t>
      </w:r>
      <w:r w:rsidRPr="00137F43">
        <w:rPr>
          <w:i/>
          <w:iCs/>
        </w:rPr>
        <w:t>Current Landscape Ecology Reports</w:t>
      </w:r>
      <w:r w:rsidRPr="00137F43">
        <w:t xml:space="preserve">, </w:t>
      </w:r>
      <w:r w:rsidRPr="00137F43">
        <w:rPr>
          <w:i/>
          <w:iCs/>
        </w:rPr>
        <w:t>4</w:t>
      </w:r>
      <w:r w:rsidRPr="00137F43">
        <w:t>(3), 70–82. https://doi.org/10.1007/s40823-019-00040-w</w:t>
      </w:r>
    </w:p>
    <w:p w14:paraId="5B864550" w14:textId="77777777" w:rsidR="00137F43" w:rsidRPr="00137F43" w:rsidRDefault="00137F43" w:rsidP="00137F43">
      <w:pPr>
        <w:pStyle w:val="Bibliography"/>
      </w:pPr>
      <w:r w:rsidRPr="00137F43">
        <w:lastRenderedPageBreak/>
        <w:t xml:space="preserve">Liu, O. R., &amp; Gaines, S. D. (2022). Environmental context dependency in species interactions. </w:t>
      </w:r>
      <w:r w:rsidRPr="00137F43">
        <w:rPr>
          <w:i/>
          <w:iCs/>
        </w:rPr>
        <w:t>Proceedings of the National Academy of Sciences</w:t>
      </w:r>
      <w:r w:rsidRPr="00137F43">
        <w:t xml:space="preserve">, </w:t>
      </w:r>
      <w:r w:rsidRPr="00137F43">
        <w:rPr>
          <w:i/>
          <w:iCs/>
        </w:rPr>
        <w:t>119</w:t>
      </w:r>
      <w:r w:rsidRPr="00137F43">
        <w:t>(36), e2118539119. https://doi.org/10.1073/pnas.2118539119</w:t>
      </w:r>
    </w:p>
    <w:p w14:paraId="491DFF0E" w14:textId="77777777" w:rsidR="00137F43" w:rsidRPr="00137F43" w:rsidRDefault="00137F43" w:rsidP="00137F43">
      <w:pPr>
        <w:pStyle w:val="Bibliography"/>
      </w:pPr>
      <w:r w:rsidRPr="00137F43">
        <w:t xml:space="preserve">Magurran, A. E., Baillie, S. R., Buckland, S. T., Dick, J. McP., Elston, D. A., Scott, E. M., Smith, R. I., Somerfield, P. J., &amp; Watt, A. D. (2010). Long-term datasets in biodiversity research and monitoring: Assessing change in ecological communities through time. </w:t>
      </w:r>
      <w:r w:rsidRPr="00137F43">
        <w:rPr>
          <w:i/>
          <w:iCs/>
        </w:rPr>
        <w:t>Trends in Ecology &amp; Evolution</w:t>
      </w:r>
      <w:r w:rsidRPr="00137F43">
        <w:t xml:space="preserve">, </w:t>
      </w:r>
      <w:r w:rsidRPr="00137F43">
        <w:rPr>
          <w:i/>
          <w:iCs/>
        </w:rPr>
        <w:t>25</w:t>
      </w:r>
      <w:r w:rsidRPr="00137F43">
        <w:t>(10), 574–582. https://doi.org/10.1016/j.tree.2010.06.016</w:t>
      </w:r>
    </w:p>
    <w:p w14:paraId="1ECE92A1" w14:textId="77777777" w:rsidR="00137F43" w:rsidRPr="00137F43" w:rsidRDefault="00137F43" w:rsidP="00137F43">
      <w:pPr>
        <w:pStyle w:val="Bibliography"/>
      </w:pPr>
      <w:r w:rsidRPr="00137F43">
        <w:t xml:space="preserve">Marzluff, J. M. (1988). Do pinyon jays alter nest placement based on prior experience? </w:t>
      </w:r>
      <w:r w:rsidRPr="00137F43">
        <w:rPr>
          <w:i/>
          <w:iCs/>
        </w:rPr>
        <w:t>Animal Behaviour</w:t>
      </w:r>
      <w:r w:rsidRPr="00137F43">
        <w:t xml:space="preserve">, </w:t>
      </w:r>
      <w:r w:rsidRPr="00137F43">
        <w:rPr>
          <w:i/>
          <w:iCs/>
        </w:rPr>
        <w:t>36</w:t>
      </w:r>
      <w:r w:rsidRPr="00137F43">
        <w:t>(1), 1–10. https://doi.org/10.1016/s0003-3472(88)80244-6</w:t>
      </w:r>
    </w:p>
    <w:p w14:paraId="75DBFC75" w14:textId="77777777" w:rsidR="00137F43" w:rsidRPr="00137F43" w:rsidRDefault="00137F43" w:rsidP="00137F43">
      <w:pPr>
        <w:pStyle w:val="Bibliography"/>
      </w:pPr>
      <w:r w:rsidRPr="00137F43">
        <w:t xml:space="preserve">Marzluff, J. M., &amp; Balda, R. P. (1988). The Advantages of, and Constraints Forcing, Mate Fidelity in Pinyon Jays. </w:t>
      </w:r>
      <w:r w:rsidRPr="00137F43">
        <w:rPr>
          <w:i/>
          <w:iCs/>
        </w:rPr>
        <w:t>The Auk</w:t>
      </w:r>
      <w:r w:rsidRPr="00137F43">
        <w:t xml:space="preserve">, </w:t>
      </w:r>
      <w:r w:rsidRPr="00137F43">
        <w:rPr>
          <w:i/>
          <w:iCs/>
        </w:rPr>
        <w:t>105</w:t>
      </w:r>
      <w:r w:rsidRPr="00137F43">
        <w:t>(2), 286–295. https://doi.org/10.2307/4087492</w:t>
      </w:r>
    </w:p>
    <w:p w14:paraId="137109C5" w14:textId="77777777" w:rsidR="00137F43" w:rsidRPr="00137F43" w:rsidRDefault="00137F43" w:rsidP="00137F43">
      <w:pPr>
        <w:pStyle w:val="Bibliography"/>
      </w:pPr>
      <w:r w:rsidRPr="00137F43">
        <w:t xml:space="preserve">McDermott, M. E., &amp; DeGroote, L. W. (2016). Long‐term climate impacts on breeding bird phenology in Pennsylvania, </w:t>
      </w:r>
      <w:r w:rsidRPr="00137F43">
        <w:rPr>
          <w:smallCaps/>
        </w:rPr>
        <w:t>USA</w:t>
      </w:r>
      <w:r w:rsidRPr="00137F43">
        <w:t xml:space="preserve">. </w:t>
      </w:r>
      <w:r w:rsidRPr="00137F43">
        <w:rPr>
          <w:i/>
          <w:iCs/>
        </w:rPr>
        <w:t>Global Change Biology</w:t>
      </w:r>
      <w:r w:rsidRPr="00137F43">
        <w:t xml:space="preserve">, </w:t>
      </w:r>
      <w:r w:rsidRPr="00137F43">
        <w:rPr>
          <w:i/>
          <w:iCs/>
        </w:rPr>
        <w:t>22</w:t>
      </w:r>
      <w:r w:rsidRPr="00137F43">
        <w:t>(10), 3304–3319. https://doi.org/10.1111/gcb.13363</w:t>
      </w:r>
    </w:p>
    <w:p w14:paraId="72908861" w14:textId="77777777" w:rsidR="00137F43" w:rsidRPr="00137F43" w:rsidRDefault="00137F43" w:rsidP="00137F43">
      <w:pPr>
        <w:pStyle w:val="Bibliography"/>
      </w:pPr>
      <w:r w:rsidRPr="00137F43">
        <w:t xml:space="preserve">McKinnon, E. A., Kurt Kyser, T., &amp; Stutchbury, B. J. M. (2017). Does the proportion of arthropods versus fruit in the diet influence overwintering condition of an omnivorous songbird? </w:t>
      </w:r>
      <w:r w:rsidRPr="00137F43">
        <w:rPr>
          <w:i/>
          <w:iCs/>
        </w:rPr>
        <w:t>Journal of Field Ornithology</w:t>
      </w:r>
      <w:r w:rsidRPr="00137F43">
        <w:t xml:space="preserve">, </w:t>
      </w:r>
      <w:r w:rsidRPr="00137F43">
        <w:rPr>
          <w:i/>
          <w:iCs/>
        </w:rPr>
        <w:t>88</w:t>
      </w:r>
      <w:r w:rsidRPr="00137F43">
        <w:t>(1), 65–79. https://doi.org/10.1111/jofo.12187</w:t>
      </w:r>
    </w:p>
    <w:p w14:paraId="2DCCEBD3" w14:textId="77777777" w:rsidR="00137F43" w:rsidRPr="00137F43" w:rsidRDefault="00137F43" w:rsidP="00137F43">
      <w:pPr>
        <w:pStyle w:val="Bibliography"/>
      </w:pPr>
      <w:r w:rsidRPr="00137F43">
        <w:t xml:space="preserve">Meddens, A. J. H., Hicke, J. A., Macalady, A. K., Buotte, P. C., Cowles, T. R., &amp; Allen, C. D. (2015). Patterns and causes of observed piñon pine mortality in the southwestern United States. </w:t>
      </w:r>
      <w:r w:rsidRPr="00137F43">
        <w:rPr>
          <w:i/>
          <w:iCs/>
        </w:rPr>
        <w:t>New Phytologist</w:t>
      </w:r>
      <w:r w:rsidRPr="00137F43">
        <w:t xml:space="preserve">, </w:t>
      </w:r>
      <w:r w:rsidRPr="00137F43">
        <w:rPr>
          <w:i/>
          <w:iCs/>
        </w:rPr>
        <w:t>206</w:t>
      </w:r>
      <w:r w:rsidRPr="00137F43">
        <w:t>(1), 91–97. https://doi.org/10.1111/nph.13193</w:t>
      </w:r>
    </w:p>
    <w:p w14:paraId="297FB76C" w14:textId="77777777" w:rsidR="00137F43" w:rsidRPr="00137F43" w:rsidRDefault="00137F43" w:rsidP="00137F43">
      <w:pPr>
        <w:pStyle w:val="Bibliography"/>
      </w:pPr>
      <w:r w:rsidRPr="00137F43">
        <w:t xml:space="preserve">Miller-ter Kuile, A., Apigo, A., Bui, A., Butner, K., Childress, J. N., Copeland, S., DiFiore, B. P., Forbes, E. S., Klope, M., Motta, C. I., Orr, D., Plummer, K. A., Preston, D. L., &amp; </w:t>
      </w:r>
      <w:r w:rsidRPr="00137F43">
        <w:lastRenderedPageBreak/>
        <w:t xml:space="preserve">Young, H. S. (2022). Changes in invertebrate food web structure between high- and low-productivity environments are driven by intermediate but not top-predator diet shifts. </w:t>
      </w:r>
      <w:r w:rsidRPr="00137F43">
        <w:rPr>
          <w:i/>
          <w:iCs/>
        </w:rPr>
        <w:t>Biology Letters</w:t>
      </w:r>
      <w:r w:rsidRPr="00137F43">
        <w:t xml:space="preserve">, </w:t>
      </w:r>
      <w:r w:rsidRPr="00137F43">
        <w:rPr>
          <w:i/>
          <w:iCs/>
        </w:rPr>
        <w:t>18</w:t>
      </w:r>
      <w:r w:rsidRPr="00137F43">
        <w:t>(10). https://doi.org/10.1098/rsbl.2022.0364</w:t>
      </w:r>
    </w:p>
    <w:p w14:paraId="23AC85CC" w14:textId="77777777" w:rsidR="00137F43" w:rsidRPr="00137F43" w:rsidRDefault="00137F43" w:rsidP="00137F43">
      <w:pPr>
        <w:pStyle w:val="Bibliography"/>
      </w:pPr>
      <w:r w:rsidRPr="00137F43">
        <w:t xml:space="preserve">Moore, C. M., &amp; Dittel, J. W. (2020). On mutualism, models, and masting: The effects of seed‐dispersing animals on the plants they disperse. </w:t>
      </w:r>
      <w:r w:rsidRPr="00137F43">
        <w:rPr>
          <w:i/>
          <w:iCs/>
        </w:rPr>
        <w:t>Journal of Ecology</w:t>
      </w:r>
      <w:r w:rsidRPr="00137F43">
        <w:t xml:space="preserve">, </w:t>
      </w:r>
      <w:r w:rsidRPr="00137F43">
        <w:rPr>
          <w:i/>
          <w:iCs/>
        </w:rPr>
        <w:t>108</w:t>
      </w:r>
      <w:r w:rsidRPr="00137F43">
        <w:t>(5), 1775–1783. https://doi.org/10.1111/1365-2745.13414</w:t>
      </w:r>
    </w:p>
    <w:p w14:paraId="2C95BB9A" w14:textId="77777777" w:rsidR="00137F43" w:rsidRPr="00137F43" w:rsidRDefault="00137F43" w:rsidP="00137F43">
      <w:pPr>
        <w:pStyle w:val="Bibliography"/>
      </w:pPr>
      <w:r w:rsidRPr="00137F43">
        <w:t xml:space="preserve">Muller, K. (2020). </w:t>
      </w:r>
      <w:r w:rsidRPr="00137F43">
        <w:rPr>
          <w:i/>
          <w:iCs/>
        </w:rPr>
        <w:t>here: A simpler way to find your files</w:t>
      </w:r>
      <w:r w:rsidRPr="00137F43">
        <w:t xml:space="preserve"> (Version 1.0.1) [R]. https://CRAN.R-project.org/package=here</w:t>
      </w:r>
    </w:p>
    <w:p w14:paraId="074ACA48" w14:textId="77777777" w:rsidR="00137F43" w:rsidRPr="00137F43" w:rsidRDefault="00137F43" w:rsidP="00137F43">
      <w:pPr>
        <w:pStyle w:val="Bibliography"/>
      </w:pPr>
      <w:r w:rsidRPr="00137F43">
        <w:t xml:space="preserve">Neilson, R. P., &amp; Wullstein, L. H. (1983). Biogeography of Two Southwest American Oaks in Relation to Atmospheric Dynamics. </w:t>
      </w:r>
      <w:r w:rsidRPr="00137F43">
        <w:rPr>
          <w:i/>
          <w:iCs/>
        </w:rPr>
        <w:t>Journal of Biogeography</w:t>
      </w:r>
      <w:r w:rsidRPr="00137F43">
        <w:t xml:space="preserve">, </w:t>
      </w:r>
      <w:r w:rsidRPr="00137F43">
        <w:rPr>
          <w:i/>
          <w:iCs/>
        </w:rPr>
        <w:t>10</w:t>
      </w:r>
      <w:r w:rsidRPr="00137F43">
        <w:t>(4), 275. https://doi.org/10.2307/2844738</w:t>
      </w:r>
    </w:p>
    <w:p w14:paraId="5B3EDCA2" w14:textId="77777777" w:rsidR="00137F43" w:rsidRPr="00137F43" w:rsidRDefault="00137F43" w:rsidP="00137F43">
      <w:pPr>
        <w:pStyle w:val="Bibliography"/>
      </w:pPr>
      <w:r w:rsidRPr="00137F43">
        <w:t xml:space="preserve">Ogle, K., Barber, J. J., Barron‐Gafford, G. A., Bentley, L. P., Young, J. M., Huxman, T. E., Loik, M. E., &amp; Tissue, D. T. (2015). Quantifying ecological memory in plant and ecosystem processes. </w:t>
      </w:r>
      <w:r w:rsidRPr="00137F43">
        <w:rPr>
          <w:i/>
          <w:iCs/>
        </w:rPr>
        <w:t>Ecology Letters</w:t>
      </w:r>
      <w:r w:rsidRPr="00137F43">
        <w:t xml:space="preserve">, </w:t>
      </w:r>
      <w:r w:rsidRPr="00137F43">
        <w:rPr>
          <w:i/>
          <w:iCs/>
        </w:rPr>
        <w:t>18</w:t>
      </w:r>
      <w:r w:rsidRPr="00137F43">
        <w:t>(3), 221–235. https://doi.org/10.1111/ele.12399</w:t>
      </w:r>
    </w:p>
    <w:p w14:paraId="15A320B3" w14:textId="77777777" w:rsidR="00137F43" w:rsidRPr="00137F43" w:rsidRDefault="00137F43" w:rsidP="00137F43">
      <w:pPr>
        <w:pStyle w:val="Bibliography"/>
      </w:pPr>
      <w:r w:rsidRPr="00137F43">
        <w:t xml:space="preserve">Ostfeld, R. S., &amp; Keesing, F. (2000). Pulsed resources and community dynamics of consumers in terrestrial ecosystems. </w:t>
      </w:r>
      <w:r w:rsidRPr="00137F43">
        <w:rPr>
          <w:i/>
          <w:iCs/>
        </w:rPr>
        <w:t>Trends in Ecology &amp; Evolution</w:t>
      </w:r>
      <w:r w:rsidRPr="00137F43">
        <w:t xml:space="preserve">, </w:t>
      </w:r>
      <w:r w:rsidRPr="00137F43">
        <w:rPr>
          <w:i/>
          <w:iCs/>
        </w:rPr>
        <w:t>15</w:t>
      </w:r>
      <w:r w:rsidRPr="00137F43">
        <w:t>(6), 232–237. https://doi.org/10.1016/S0169-5347(00)01862-0</w:t>
      </w:r>
    </w:p>
    <w:p w14:paraId="2E2A3172" w14:textId="77777777" w:rsidR="00137F43" w:rsidRPr="00137F43" w:rsidRDefault="00137F43" w:rsidP="00137F43">
      <w:pPr>
        <w:pStyle w:val="Bibliography"/>
      </w:pPr>
      <w:r w:rsidRPr="00137F43">
        <w:t xml:space="preserve">Parmenter, R. R., Zlotin, R. I., Moore, D. I., &amp; Myers, O. B. (2018). Environmental and endogenous drivers of tree mast production and synchrony in piñon–juniper–oak woodlands of New Mexico. </w:t>
      </w:r>
      <w:r w:rsidRPr="00137F43">
        <w:rPr>
          <w:i/>
          <w:iCs/>
        </w:rPr>
        <w:t>Ecosphere</w:t>
      </w:r>
      <w:r w:rsidRPr="00137F43">
        <w:t xml:space="preserve">, </w:t>
      </w:r>
      <w:r w:rsidRPr="00137F43">
        <w:rPr>
          <w:i/>
          <w:iCs/>
        </w:rPr>
        <w:t>9</w:t>
      </w:r>
      <w:r w:rsidRPr="00137F43">
        <w:t>(8), e02360. https://doi.org/10.1002/ecs2.2360</w:t>
      </w:r>
    </w:p>
    <w:p w14:paraId="23B7A1A8" w14:textId="77777777" w:rsidR="00137F43" w:rsidRPr="00137F43" w:rsidRDefault="00137F43" w:rsidP="00137F43">
      <w:pPr>
        <w:pStyle w:val="Bibliography"/>
      </w:pPr>
      <w:r w:rsidRPr="00137F43">
        <w:t xml:space="preserve">Pearse, I. S., Koenig, W. D., &amp; Kelly, D. (2016). Mechanisms of mast seeding: Resources, weather, cues, and selection. </w:t>
      </w:r>
      <w:r w:rsidRPr="00137F43">
        <w:rPr>
          <w:i/>
          <w:iCs/>
        </w:rPr>
        <w:t>New Phytologist</w:t>
      </w:r>
      <w:r w:rsidRPr="00137F43">
        <w:t xml:space="preserve">, </w:t>
      </w:r>
      <w:r w:rsidRPr="00137F43">
        <w:rPr>
          <w:i/>
          <w:iCs/>
        </w:rPr>
        <w:t>212</w:t>
      </w:r>
      <w:r w:rsidRPr="00137F43">
        <w:t>(3), 546–562. https://doi.org/10.1111/nph.14114</w:t>
      </w:r>
    </w:p>
    <w:p w14:paraId="56C16932" w14:textId="77777777" w:rsidR="00137F43" w:rsidRPr="00137F43" w:rsidRDefault="00137F43" w:rsidP="00137F43">
      <w:pPr>
        <w:pStyle w:val="Bibliography"/>
      </w:pPr>
      <w:r w:rsidRPr="00137F43">
        <w:lastRenderedPageBreak/>
        <w:t xml:space="preserve">Pebesma, E., &amp; Bivand, R. (2023). </w:t>
      </w:r>
      <w:r w:rsidRPr="00137F43">
        <w:rPr>
          <w:i/>
          <w:iCs/>
        </w:rPr>
        <w:t>Spatial Data Science: With Applications in R</w:t>
      </w:r>
      <w:r w:rsidRPr="00137F43">
        <w:t xml:space="preserve"> (1st ed.). Chapman and Hall/CRC. https://doi.org/10.1201/9780429459016</w:t>
      </w:r>
    </w:p>
    <w:p w14:paraId="54ED81B9" w14:textId="77777777" w:rsidR="00137F43" w:rsidRPr="00137F43" w:rsidRDefault="00137F43" w:rsidP="00137F43">
      <w:pPr>
        <w:pStyle w:val="Bibliography"/>
      </w:pPr>
      <w:r w:rsidRPr="00137F43">
        <w:t xml:space="preserve">Pesendorfer, M. B., Sillett, T. S., Koenig, W. D., &amp; Morrison, S. A. (2016). Scatter-hoarding corvids as seed dispersers for oaks and pines: A review of a widely distributed mutualism and its utility to habitat restoration. </w:t>
      </w:r>
      <w:r w:rsidRPr="00137F43">
        <w:rPr>
          <w:i/>
          <w:iCs/>
        </w:rPr>
        <w:t>The Condor</w:t>
      </w:r>
      <w:r w:rsidRPr="00137F43">
        <w:t xml:space="preserve">, </w:t>
      </w:r>
      <w:r w:rsidRPr="00137F43">
        <w:rPr>
          <w:i/>
          <w:iCs/>
        </w:rPr>
        <w:t>118</w:t>
      </w:r>
      <w:r w:rsidRPr="00137F43">
        <w:t>(2), 215–237. https://doi.org/10.1650/condor-15-125.1</w:t>
      </w:r>
    </w:p>
    <w:p w14:paraId="369678E3" w14:textId="77777777" w:rsidR="00137F43" w:rsidRPr="00137F43" w:rsidRDefault="00137F43" w:rsidP="00137F43">
      <w:pPr>
        <w:pStyle w:val="Bibliography"/>
      </w:pPr>
      <w:r w:rsidRPr="00137F43">
        <w:t xml:space="preserve">Plummer, M. (2003). JAGS: A program for analysis of Bayesian graphical models using Gibbs sampling. </w:t>
      </w:r>
      <w:r w:rsidRPr="00137F43">
        <w:rPr>
          <w:i/>
          <w:iCs/>
        </w:rPr>
        <w:t>Proceedings of the 3rd International Workshop on Distributed Statistical Computing</w:t>
      </w:r>
      <w:r w:rsidRPr="00137F43">
        <w:t xml:space="preserve">, </w:t>
      </w:r>
      <w:r w:rsidRPr="00137F43">
        <w:rPr>
          <w:i/>
          <w:iCs/>
        </w:rPr>
        <w:t>124</w:t>
      </w:r>
      <w:r w:rsidRPr="00137F43">
        <w:t>(125.10).</w:t>
      </w:r>
    </w:p>
    <w:p w14:paraId="45A87EC5" w14:textId="77777777" w:rsidR="00137F43" w:rsidRPr="00137F43" w:rsidRDefault="00137F43" w:rsidP="00137F43">
      <w:pPr>
        <w:pStyle w:val="Bibliography"/>
      </w:pPr>
      <w:r w:rsidRPr="00137F43">
        <w:t xml:space="preserve">Plummer, M., Best, N., Cowles, K., Vines, K., Sarkar, D., Bates, D., Almond, R., &amp; Magnusson, A. (1999). </w:t>
      </w:r>
      <w:r w:rsidRPr="00137F43">
        <w:rPr>
          <w:i/>
          <w:iCs/>
        </w:rPr>
        <w:t>coda: Output Analysis and Diagnostics for MCMC</w:t>
      </w:r>
      <w:r w:rsidRPr="00137F43">
        <w:t xml:space="preserve"> (p. 0.19-4.1) [Dataset]. https://doi.org/10.32614/CRAN.package.coda</w:t>
      </w:r>
    </w:p>
    <w:p w14:paraId="6C143164" w14:textId="77777777" w:rsidR="00137F43" w:rsidRPr="00137F43" w:rsidRDefault="00137F43" w:rsidP="00137F43">
      <w:pPr>
        <w:pStyle w:val="Bibliography"/>
      </w:pPr>
      <w:r w:rsidRPr="00137F43">
        <w:t xml:space="preserve">Poisot, T., Stouffer, D. B., &amp; Gravel, D. (2015). Beyond species: Why ecological interaction networks vary through space and time. </w:t>
      </w:r>
      <w:r w:rsidRPr="00137F43">
        <w:rPr>
          <w:i/>
          <w:iCs/>
        </w:rPr>
        <w:t>Oikos</w:t>
      </w:r>
      <w:r w:rsidRPr="00137F43">
        <w:t xml:space="preserve">, </w:t>
      </w:r>
      <w:r w:rsidRPr="00137F43">
        <w:rPr>
          <w:i/>
          <w:iCs/>
        </w:rPr>
        <w:t>124</w:t>
      </w:r>
      <w:r w:rsidRPr="00137F43">
        <w:t>(3), 243–251. https://doi.org/10.1111/oik.01719</w:t>
      </w:r>
    </w:p>
    <w:p w14:paraId="5DB7C3C2" w14:textId="77777777" w:rsidR="00137F43" w:rsidRPr="00137F43" w:rsidRDefault="00137F43" w:rsidP="00137F43">
      <w:pPr>
        <w:pStyle w:val="Bibliography"/>
      </w:pPr>
      <w:r w:rsidRPr="00137F43">
        <w:t xml:space="preserve">Polazzo, F., Marina, T. I., Crettaz-Minaglia, M., &amp; Rico, A. (2022). Food web rewiring drives long-term compositional differences and late-disturbance interactions at the community level. </w:t>
      </w:r>
      <w:r w:rsidRPr="00137F43">
        <w:rPr>
          <w:i/>
          <w:iCs/>
        </w:rPr>
        <w:t>Proceedings of the National Academy of Sciences</w:t>
      </w:r>
      <w:r w:rsidRPr="00137F43">
        <w:t xml:space="preserve">, </w:t>
      </w:r>
      <w:r w:rsidRPr="00137F43">
        <w:rPr>
          <w:i/>
          <w:iCs/>
        </w:rPr>
        <w:t>119</w:t>
      </w:r>
      <w:r w:rsidRPr="00137F43">
        <w:t>(17), e2117364119. https://doi.org/10.1073/pnas.2117364119</w:t>
      </w:r>
    </w:p>
    <w:p w14:paraId="6DDDE209" w14:textId="77777777" w:rsidR="00137F43" w:rsidRPr="00137F43" w:rsidRDefault="00137F43" w:rsidP="00137F43">
      <w:pPr>
        <w:pStyle w:val="Bibliography"/>
      </w:pPr>
      <w:r w:rsidRPr="00137F43">
        <w:t xml:space="preserve">Potts, S. G., Biesmeijer, J. C., Kremen, C., Neumann, P., Schweiger, O., &amp; Kunin, W. E. (2010). Global pollinator declines: Trends, impacts and drivers. </w:t>
      </w:r>
      <w:r w:rsidRPr="00137F43">
        <w:rPr>
          <w:i/>
          <w:iCs/>
        </w:rPr>
        <w:t>Trends in Ecology &amp; Evolution</w:t>
      </w:r>
      <w:r w:rsidRPr="00137F43">
        <w:t xml:space="preserve">, </w:t>
      </w:r>
      <w:r w:rsidRPr="00137F43">
        <w:rPr>
          <w:i/>
          <w:iCs/>
        </w:rPr>
        <w:t>25</w:t>
      </w:r>
      <w:r w:rsidRPr="00137F43">
        <w:t>(6), 345–353. https://doi.org/10.1016/j.tree.2010.01.007</w:t>
      </w:r>
    </w:p>
    <w:p w14:paraId="74355712" w14:textId="77777777" w:rsidR="00137F43" w:rsidRPr="00137F43" w:rsidRDefault="00137F43" w:rsidP="00137F43">
      <w:pPr>
        <w:pStyle w:val="Bibliography"/>
      </w:pPr>
      <w:r w:rsidRPr="00137F43">
        <w:t xml:space="preserve">PRISM Climate Group. (2024). </w:t>
      </w:r>
      <w:r w:rsidRPr="00137F43">
        <w:rPr>
          <w:i/>
          <w:iCs/>
        </w:rPr>
        <w:t>PRISM</w:t>
      </w:r>
      <w:r w:rsidRPr="00137F43">
        <w:t xml:space="preserve"> [Computer software]. https://prism.oregonstate.edu</w:t>
      </w:r>
    </w:p>
    <w:p w14:paraId="3D5A4BA5" w14:textId="77777777" w:rsidR="00137F43" w:rsidRPr="00137F43" w:rsidRDefault="00137F43" w:rsidP="00137F43">
      <w:pPr>
        <w:pStyle w:val="Bibliography"/>
      </w:pPr>
      <w:r w:rsidRPr="00137F43">
        <w:lastRenderedPageBreak/>
        <w:t xml:space="preserve">PRISM Climate Group. (2025). </w:t>
      </w:r>
      <w:r w:rsidRPr="00137F43">
        <w:rPr>
          <w:i/>
          <w:iCs/>
        </w:rPr>
        <w:t>PRISM</w:t>
      </w:r>
      <w:r w:rsidRPr="00137F43">
        <w:t xml:space="preserve"> [Computer software]. https://prism.oregonstate.edu</w:t>
      </w:r>
    </w:p>
    <w:p w14:paraId="4C14C764" w14:textId="77777777" w:rsidR="00137F43" w:rsidRPr="00137F43" w:rsidRDefault="00137F43" w:rsidP="00137F43">
      <w:pPr>
        <w:pStyle w:val="Bibliography"/>
      </w:pPr>
      <w:r w:rsidRPr="00137F43">
        <w:t xml:space="preserve">Qiu, T., Aravena, M.-C., Ascoli, D., Bergeron, Y., Bogdziewicz, M., Boivin, T., Bonal, R., Caignard, T., Cailleret, M., Calama, R., Calderon, S. D., Camarero, J. J., Chang-Yang, C.-H., Chave, J., Chianucci, F., Courbaud, B., Cutini, A., Das, A. J., Delpierre, N., … Clark, J. S. (2023). Masting is uncommon in trees that depend on mutualist dispersers in the context of global climate and fertility gradients. </w:t>
      </w:r>
      <w:r w:rsidRPr="00137F43">
        <w:rPr>
          <w:i/>
          <w:iCs/>
        </w:rPr>
        <w:t>Nature Plants</w:t>
      </w:r>
      <w:r w:rsidRPr="00137F43">
        <w:t xml:space="preserve">, </w:t>
      </w:r>
      <w:r w:rsidRPr="00137F43">
        <w:rPr>
          <w:i/>
          <w:iCs/>
        </w:rPr>
        <w:t>9</w:t>
      </w:r>
      <w:r w:rsidRPr="00137F43">
        <w:t>(7), 1044–1056. https://doi.org/10.1038/s41477-023-01446-5</w:t>
      </w:r>
    </w:p>
    <w:p w14:paraId="543227FC" w14:textId="77777777" w:rsidR="00137F43" w:rsidRPr="00137F43" w:rsidRDefault="00137F43" w:rsidP="00137F43">
      <w:pPr>
        <w:pStyle w:val="Bibliography"/>
      </w:pPr>
      <w:r w:rsidRPr="00137F43">
        <w:t xml:space="preserve">R Core Team. (2020). </w:t>
      </w:r>
      <w:r w:rsidRPr="00137F43">
        <w:rPr>
          <w:i/>
          <w:iCs/>
        </w:rPr>
        <w:t>R: A language and environment for statistical computing</w:t>
      </w:r>
      <w:r w:rsidRPr="00137F43">
        <w:t xml:space="preserve"> [Computer software]. R Foundation for Statistical Computing. https://www.R-project.org/</w:t>
      </w:r>
    </w:p>
    <w:p w14:paraId="2334D487" w14:textId="77777777" w:rsidR="00137F43" w:rsidRPr="00137F43" w:rsidRDefault="00137F43" w:rsidP="00137F43">
      <w:pPr>
        <w:pStyle w:val="Bibliography"/>
      </w:pPr>
      <w:r w:rsidRPr="00137F43">
        <w:t xml:space="preserve">Rafferty, N. E., CaraDonna, P. J., &amp; Bronstein, J. L. (2015). Phenological shifts and the fate of mutualisms. </w:t>
      </w:r>
      <w:r w:rsidRPr="00137F43">
        <w:rPr>
          <w:i/>
          <w:iCs/>
        </w:rPr>
        <w:t>Oikos</w:t>
      </w:r>
      <w:r w:rsidRPr="00137F43">
        <w:t xml:space="preserve">, </w:t>
      </w:r>
      <w:r w:rsidRPr="00137F43">
        <w:rPr>
          <w:i/>
          <w:iCs/>
        </w:rPr>
        <w:t>124</w:t>
      </w:r>
      <w:r w:rsidRPr="00137F43">
        <w:t>(1), 14–21. https://doi.org/10.1111/oik.01523</w:t>
      </w:r>
    </w:p>
    <w:p w14:paraId="3CC9FAB0" w14:textId="77777777" w:rsidR="00137F43" w:rsidRPr="00137F43" w:rsidRDefault="00137F43" w:rsidP="00137F43">
      <w:pPr>
        <w:pStyle w:val="Bibliography"/>
      </w:pPr>
      <w:r w:rsidRPr="00137F43">
        <w:t xml:space="preserve">Raftery, A. E., &amp; Lewis, S. M. (1995). The number of iterations, convergence diagnostics and generic Netropolis algorithms. In </w:t>
      </w:r>
      <w:r w:rsidRPr="00137F43">
        <w:rPr>
          <w:i/>
          <w:iCs/>
        </w:rPr>
        <w:t>Practical Markov Chain Monte Carlo</w:t>
      </w:r>
      <w:r w:rsidRPr="00137F43">
        <w:t>. Chapman and Hall.</w:t>
      </w:r>
    </w:p>
    <w:p w14:paraId="2BA2FBE5" w14:textId="77777777" w:rsidR="00137F43" w:rsidRPr="00137F43" w:rsidRDefault="00137F43" w:rsidP="00137F43">
      <w:pPr>
        <w:pStyle w:val="Bibliography"/>
      </w:pPr>
      <w:r w:rsidRPr="00137F43">
        <w:t xml:space="preserve">Redmond, M. D., Forcella, F., &amp; Barger, N. N. (2012). Declines in pinyon pine cone production associated with regional warming. </w:t>
      </w:r>
      <w:r w:rsidRPr="00137F43">
        <w:rPr>
          <w:i/>
          <w:iCs/>
        </w:rPr>
        <w:t>Ecosphere</w:t>
      </w:r>
      <w:r w:rsidRPr="00137F43">
        <w:t xml:space="preserve">, </w:t>
      </w:r>
      <w:r w:rsidRPr="00137F43">
        <w:rPr>
          <w:i/>
          <w:iCs/>
        </w:rPr>
        <w:t>3</w:t>
      </w:r>
      <w:r w:rsidRPr="00137F43">
        <w:t>(12), 1–14. https://doi.org/10.1890/ES12-00306.1</w:t>
      </w:r>
    </w:p>
    <w:p w14:paraId="26A63E62" w14:textId="77777777" w:rsidR="00137F43" w:rsidRPr="00137F43" w:rsidRDefault="00137F43" w:rsidP="00137F43">
      <w:pPr>
        <w:pStyle w:val="Bibliography"/>
      </w:pPr>
      <w:r w:rsidRPr="00137F43">
        <w:t xml:space="preserve">Redmond, M. D., Weisberg, P. J., Cobb, N. S., &amp; Clifford, M. J. (2018). Woodland resilience to regional drought: Dominant controls on tree regeneration following overstorey mortality. </w:t>
      </w:r>
      <w:r w:rsidRPr="00137F43">
        <w:rPr>
          <w:i/>
          <w:iCs/>
        </w:rPr>
        <w:t>Journal of Ecology</w:t>
      </w:r>
      <w:r w:rsidRPr="00137F43">
        <w:t xml:space="preserve">, </w:t>
      </w:r>
      <w:r w:rsidRPr="00137F43">
        <w:rPr>
          <w:i/>
          <w:iCs/>
        </w:rPr>
        <w:t>106</w:t>
      </w:r>
      <w:r w:rsidRPr="00137F43">
        <w:t>(2), 625–639. https://doi.org/10.1111/1365-2745.12880</w:t>
      </w:r>
    </w:p>
    <w:p w14:paraId="52B4064C" w14:textId="77777777" w:rsidR="00137F43" w:rsidRPr="00137F43" w:rsidRDefault="00137F43" w:rsidP="00137F43">
      <w:pPr>
        <w:pStyle w:val="Bibliography"/>
      </w:pPr>
      <w:r w:rsidRPr="00137F43">
        <w:t xml:space="preserve">Reilly, J., Bartomeus, I., Simpson, D., Allen‐Perkins, A., Garibaldi, L., &amp; Winfree, R. (2024). Wild insects and honey bees are equally important to crop yields in a global analysis. </w:t>
      </w:r>
      <w:r w:rsidRPr="00137F43">
        <w:rPr>
          <w:i/>
          <w:iCs/>
        </w:rPr>
        <w:t>Global Ecology and Biogeography</w:t>
      </w:r>
      <w:r w:rsidRPr="00137F43">
        <w:t xml:space="preserve">, </w:t>
      </w:r>
      <w:r w:rsidRPr="00137F43">
        <w:rPr>
          <w:i/>
          <w:iCs/>
        </w:rPr>
        <w:t>33</w:t>
      </w:r>
      <w:r w:rsidRPr="00137F43">
        <w:t>(7), e13843. https://doi.org/10.1111/geb.13843</w:t>
      </w:r>
    </w:p>
    <w:p w14:paraId="5F628380" w14:textId="77777777" w:rsidR="00137F43" w:rsidRPr="00137F43" w:rsidRDefault="00137F43" w:rsidP="00137F43">
      <w:pPr>
        <w:pStyle w:val="Bibliography"/>
      </w:pPr>
      <w:r w:rsidRPr="00137F43">
        <w:lastRenderedPageBreak/>
        <w:t xml:space="preserve">Robinson, O. J., Ruiz-Gutierrez, V., Fink, D., Meese, R. J., Holyoak, M., &amp; Cooch, E. G. (2018). Using citizen science data in integrated population models to inform conservation. </w:t>
      </w:r>
      <w:r w:rsidRPr="00137F43">
        <w:rPr>
          <w:i/>
          <w:iCs/>
        </w:rPr>
        <w:t>Biological Conservation</w:t>
      </w:r>
      <w:r w:rsidRPr="00137F43">
        <w:t xml:space="preserve">, </w:t>
      </w:r>
      <w:r w:rsidRPr="00137F43">
        <w:rPr>
          <w:i/>
          <w:iCs/>
        </w:rPr>
        <w:t>227</w:t>
      </w:r>
      <w:r w:rsidRPr="00137F43">
        <w:t>, 361–368. https://doi.org/10.1016/j.biocon.2018.10.002</w:t>
      </w:r>
    </w:p>
    <w:p w14:paraId="615BA2EF" w14:textId="77777777" w:rsidR="00137F43" w:rsidRPr="00137F43" w:rsidRDefault="00137F43" w:rsidP="00137F43">
      <w:pPr>
        <w:pStyle w:val="Bibliography"/>
      </w:pPr>
      <w:r w:rsidRPr="00137F43">
        <w:t xml:space="preserve">Rouyer, T., Ottersen, G., Durant, J. M., Hidalgo, M., Hjermann, D. Ø., Persson, J., Stige, L. Chr., &amp; Stenseth, N. Chr. (2011). Shifting dynamic forces in fish stock fluctuations triggered by age truncation? </w:t>
      </w:r>
      <w:r w:rsidRPr="00137F43">
        <w:rPr>
          <w:i/>
          <w:iCs/>
        </w:rPr>
        <w:t>Global Change Biology</w:t>
      </w:r>
      <w:r w:rsidRPr="00137F43">
        <w:t xml:space="preserve">, </w:t>
      </w:r>
      <w:r w:rsidRPr="00137F43">
        <w:rPr>
          <w:i/>
          <w:iCs/>
        </w:rPr>
        <w:t>17</w:t>
      </w:r>
      <w:r w:rsidRPr="00137F43">
        <w:t>(10), 3046–3057. https://doi.org/10.1111/j.1365-2486.2011.02443.x</w:t>
      </w:r>
    </w:p>
    <w:p w14:paraId="13869813" w14:textId="77777777" w:rsidR="00137F43" w:rsidRPr="00137F43" w:rsidRDefault="00137F43" w:rsidP="00137F43">
      <w:pPr>
        <w:pStyle w:val="Bibliography"/>
      </w:pPr>
      <w:r w:rsidRPr="00137F43">
        <w:t xml:space="preserve">Royle, J. A. (2004). </w:t>
      </w:r>
      <w:r w:rsidRPr="00137F43">
        <w:rPr>
          <w:i/>
          <w:iCs/>
        </w:rPr>
        <w:t>N</w:t>
      </w:r>
      <w:r w:rsidRPr="00137F43">
        <w:t xml:space="preserve">‐Mixture Models for Estimating Population Size from Spatially Replicated Counts. </w:t>
      </w:r>
      <w:r w:rsidRPr="00137F43">
        <w:rPr>
          <w:i/>
          <w:iCs/>
        </w:rPr>
        <w:t>Biometrics</w:t>
      </w:r>
      <w:r w:rsidRPr="00137F43">
        <w:t xml:space="preserve">, </w:t>
      </w:r>
      <w:r w:rsidRPr="00137F43">
        <w:rPr>
          <w:i/>
          <w:iCs/>
        </w:rPr>
        <w:t>60</w:t>
      </w:r>
      <w:r w:rsidRPr="00137F43">
        <w:t>(1), 108–115. https://doi.org/10.1111/j.0006-341x.2004.00142.x</w:t>
      </w:r>
    </w:p>
    <w:p w14:paraId="2D84BDF0" w14:textId="77777777" w:rsidR="00137F43" w:rsidRPr="00137F43" w:rsidRDefault="00137F43" w:rsidP="00137F43">
      <w:pPr>
        <w:pStyle w:val="Bibliography"/>
      </w:pPr>
      <w:r w:rsidRPr="00137F43">
        <w:t xml:space="preserve">Royle, J. A., Nichols, J. D., &amp; Kéry, M. (2005). Modelling occurrence and abundance of species when detection is imperfect. </w:t>
      </w:r>
      <w:r w:rsidRPr="00137F43">
        <w:rPr>
          <w:i/>
          <w:iCs/>
        </w:rPr>
        <w:t>Oikos</w:t>
      </w:r>
      <w:r w:rsidRPr="00137F43">
        <w:t xml:space="preserve">, </w:t>
      </w:r>
      <w:r w:rsidRPr="00137F43">
        <w:rPr>
          <w:i/>
          <w:iCs/>
        </w:rPr>
        <w:t>110</w:t>
      </w:r>
      <w:r w:rsidRPr="00137F43">
        <w:t>(2), 353–359. https://doi.org/10.1111/j.0030-1299.2005.13534.x</w:t>
      </w:r>
    </w:p>
    <w:p w14:paraId="58775A08" w14:textId="77777777" w:rsidR="00137F43" w:rsidRPr="00137F43" w:rsidRDefault="00137F43" w:rsidP="00137F43">
      <w:pPr>
        <w:pStyle w:val="Bibliography"/>
      </w:pPr>
      <w:r w:rsidRPr="00137F43">
        <w:t xml:space="preserve">Sauer, J., Link, W., &amp; Hines, J. (2020). </w:t>
      </w:r>
      <w:r w:rsidRPr="00137F43">
        <w:rPr>
          <w:i/>
          <w:iCs/>
        </w:rPr>
        <w:t>The North American breeding bird survey, analysis results 1966-2019: US Geological Survey data release</w:t>
      </w:r>
      <w:r w:rsidRPr="00137F43">
        <w:t xml:space="preserve"> [Dataset]. US Geological Survey: Patuxent, MD, USA.</w:t>
      </w:r>
    </w:p>
    <w:p w14:paraId="75C5C76F" w14:textId="77777777" w:rsidR="00137F43" w:rsidRPr="00137F43" w:rsidRDefault="00137F43" w:rsidP="00137F43">
      <w:pPr>
        <w:pStyle w:val="Bibliography"/>
      </w:pPr>
      <w:r w:rsidRPr="00137F43">
        <w:t xml:space="preserve">Sawaya, G. M., Goldberg, A. S., Steele, M. A., &amp; Dalgleish, H. J. (2018). Environmental variation shifts the relationship between trees and scatterhoarders along the continuum from mutualism to antagonism. </w:t>
      </w:r>
      <w:r w:rsidRPr="00137F43">
        <w:rPr>
          <w:i/>
          <w:iCs/>
        </w:rPr>
        <w:t>Integrative Zoology</w:t>
      </w:r>
      <w:r w:rsidRPr="00137F43">
        <w:t xml:space="preserve">, </w:t>
      </w:r>
      <w:r w:rsidRPr="00137F43">
        <w:rPr>
          <w:i/>
          <w:iCs/>
        </w:rPr>
        <w:t>13</w:t>
      </w:r>
      <w:r w:rsidRPr="00137F43">
        <w:t>(3), 319–330. https://doi.org/10.1111/1749-4877.12311</w:t>
      </w:r>
    </w:p>
    <w:p w14:paraId="3F80E80F" w14:textId="77777777" w:rsidR="00137F43" w:rsidRPr="00137F43" w:rsidRDefault="00137F43" w:rsidP="00137F43">
      <w:pPr>
        <w:pStyle w:val="Bibliography"/>
      </w:pPr>
      <w:r w:rsidRPr="00137F43">
        <w:t xml:space="preserve">Schnurr, J. L., Ostfeld, R. S., &amp; Canham, C. D. (2002). Direct and indirect effects of masting on rodent populations and tree seed survival. </w:t>
      </w:r>
      <w:r w:rsidRPr="00137F43">
        <w:rPr>
          <w:i/>
          <w:iCs/>
        </w:rPr>
        <w:t>Oikos</w:t>
      </w:r>
      <w:r w:rsidRPr="00137F43">
        <w:t xml:space="preserve">, </w:t>
      </w:r>
      <w:r w:rsidRPr="00137F43">
        <w:rPr>
          <w:i/>
          <w:iCs/>
        </w:rPr>
        <w:t>96</w:t>
      </w:r>
      <w:r w:rsidRPr="00137F43">
        <w:t>(3), 402–410. https://doi.org/10.1034/j.1600-0706.2002.960302.x</w:t>
      </w:r>
    </w:p>
    <w:p w14:paraId="4F534F28" w14:textId="77777777" w:rsidR="00137F43" w:rsidRPr="00137F43" w:rsidRDefault="00137F43" w:rsidP="00137F43">
      <w:pPr>
        <w:pStyle w:val="Bibliography"/>
      </w:pPr>
      <w:r w:rsidRPr="00137F43">
        <w:lastRenderedPageBreak/>
        <w:t xml:space="preserve">Shaw, J. D., Steed, B. E., &amp; DeBlander, L. T. (2005). Forest Inventory and Analysis (FIA) Annual Inventory Answers the Question: What Is Happening to Pinyon-Juniper Woodlands? </w:t>
      </w:r>
      <w:r w:rsidRPr="00137F43">
        <w:rPr>
          <w:i/>
          <w:iCs/>
        </w:rPr>
        <w:t>Journal of Forestry</w:t>
      </w:r>
      <w:r w:rsidRPr="00137F43">
        <w:t xml:space="preserve">, </w:t>
      </w:r>
      <w:r w:rsidRPr="00137F43">
        <w:rPr>
          <w:i/>
          <w:iCs/>
        </w:rPr>
        <w:t>103</w:t>
      </w:r>
      <w:r w:rsidRPr="00137F43">
        <w:t>(6), 280–285. https://doi.org/10.1093/jof/103.6.280</w:t>
      </w:r>
    </w:p>
    <w:p w14:paraId="4A1084DA" w14:textId="77777777" w:rsidR="00137F43" w:rsidRPr="00137F43" w:rsidRDefault="00137F43" w:rsidP="00137F43">
      <w:pPr>
        <w:pStyle w:val="Bibliography"/>
      </w:pPr>
      <w:r w:rsidRPr="00137F43">
        <w:t xml:space="preserve">Shepperd, W. D., Edminster, C. B., &amp; Mata, S. A. (2006). Long-Term Seedfall, Establishment, Survival, and Growth of Natural and Planted Ponderosa Pine in the Colorado Front Range. </w:t>
      </w:r>
      <w:r w:rsidRPr="00137F43">
        <w:rPr>
          <w:i/>
          <w:iCs/>
        </w:rPr>
        <w:t>Western Journal of Applied Forestry</w:t>
      </w:r>
      <w:r w:rsidRPr="00137F43">
        <w:t xml:space="preserve">, </w:t>
      </w:r>
      <w:r w:rsidRPr="00137F43">
        <w:rPr>
          <w:i/>
          <w:iCs/>
        </w:rPr>
        <w:t>21</w:t>
      </w:r>
      <w:r w:rsidRPr="00137F43">
        <w:t>(1), 19–26. https://doi.org/10.1093/wjaf/21.1.19</w:t>
      </w:r>
    </w:p>
    <w:p w14:paraId="76C5786F" w14:textId="77777777" w:rsidR="00137F43" w:rsidRPr="00137F43" w:rsidRDefault="00137F43" w:rsidP="00137F43">
      <w:pPr>
        <w:pStyle w:val="Bibliography"/>
      </w:pPr>
      <w:r w:rsidRPr="00137F43">
        <w:t xml:space="preserve">Simon, O. G., Manu, S. A., Nwaogu, C. J., &amp; Omotoriogun, T. C. (2023). Supplementing a grain diet with insects instead of fruits sustains the body condition of an omnivorous bird. </w:t>
      </w:r>
      <w:r w:rsidRPr="00137F43">
        <w:rPr>
          <w:i/>
          <w:iCs/>
        </w:rPr>
        <w:t>Ecology and Evolution</w:t>
      </w:r>
      <w:r w:rsidRPr="00137F43">
        <w:t xml:space="preserve">, </w:t>
      </w:r>
      <w:r w:rsidRPr="00137F43">
        <w:rPr>
          <w:i/>
          <w:iCs/>
        </w:rPr>
        <w:t>13</w:t>
      </w:r>
      <w:r w:rsidRPr="00137F43">
        <w:t>(5). https://doi.org/10.1002/ece3.10141</w:t>
      </w:r>
    </w:p>
    <w:p w14:paraId="10AA20FB" w14:textId="77777777" w:rsidR="00137F43" w:rsidRPr="00137F43" w:rsidRDefault="00137F43" w:rsidP="00137F43">
      <w:pPr>
        <w:pStyle w:val="Bibliography"/>
      </w:pPr>
      <w:r w:rsidRPr="00137F43">
        <w:t xml:space="preserve">Skagen, S. K., &amp; Adams, A. A. Y. (2012). Weather effects on avian breeding performance and implications of climate change. </w:t>
      </w:r>
      <w:r w:rsidRPr="00137F43">
        <w:rPr>
          <w:i/>
          <w:iCs/>
        </w:rPr>
        <w:t>Ecological Applications</w:t>
      </w:r>
      <w:r w:rsidRPr="00137F43">
        <w:t xml:space="preserve">, </w:t>
      </w:r>
      <w:r w:rsidRPr="00137F43">
        <w:rPr>
          <w:i/>
          <w:iCs/>
        </w:rPr>
        <w:t>22</w:t>
      </w:r>
      <w:r w:rsidRPr="00137F43">
        <w:t>(4), 1131–1145. https://doi.org/10.1890/11-0291.1</w:t>
      </w:r>
    </w:p>
    <w:p w14:paraId="69BFEAD0" w14:textId="77777777" w:rsidR="00137F43" w:rsidRPr="00137F43" w:rsidRDefault="00137F43" w:rsidP="00137F43">
      <w:pPr>
        <w:pStyle w:val="Bibliography"/>
      </w:pPr>
      <w:r w:rsidRPr="00137F43">
        <w:t xml:space="preserve">Stotz, N. G., &amp; Balda, R. P. (1995). Cache and recovery behavior of wild pinyon jays in northern Arizona. </w:t>
      </w:r>
      <w:r w:rsidRPr="00137F43">
        <w:rPr>
          <w:i/>
          <w:iCs/>
        </w:rPr>
        <w:t>The Southwestern Naturalist</w:t>
      </w:r>
      <w:r w:rsidRPr="00137F43">
        <w:t xml:space="preserve">, </w:t>
      </w:r>
      <w:r w:rsidRPr="00137F43">
        <w:rPr>
          <w:i/>
          <w:iCs/>
        </w:rPr>
        <w:t>40</w:t>
      </w:r>
      <w:r w:rsidRPr="00137F43">
        <w:t>(2), 180–184.</w:t>
      </w:r>
    </w:p>
    <w:p w14:paraId="02A01F28" w14:textId="77777777" w:rsidR="00137F43" w:rsidRPr="00137F43" w:rsidRDefault="00137F43" w:rsidP="00137F43">
      <w:pPr>
        <w:pStyle w:val="Bibliography"/>
      </w:pPr>
      <w:r w:rsidRPr="00137F43">
        <w:t xml:space="preserve">Strimas-Mackey, M., Hochachka, W. M., Ruiz-Gutierrez, V., Robinson, O. J., Miller, E. T., Auer, T., Kelling, S., Fink, D., &amp; Johnston, A. (2023). </w:t>
      </w:r>
      <w:r w:rsidRPr="00137F43">
        <w:rPr>
          <w:i/>
          <w:iCs/>
        </w:rPr>
        <w:t>Best Practices for Using eBird Data: Vol. Version 2.0</w:t>
      </w:r>
      <w:r w:rsidRPr="00137F43">
        <w:t>. Cornell Lab of Ornithology. https://doi.org/10.5281/zenodo.3620739</w:t>
      </w:r>
    </w:p>
    <w:p w14:paraId="53D80318" w14:textId="77777777" w:rsidR="00137F43" w:rsidRPr="00137F43" w:rsidRDefault="00137F43" w:rsidP="00137F43">
      <w:pPr>
        <w:pStyle w:val="Bibliography"/>
      </w:pPr>
      <w:r w:rsidRPr="00137F43">
        <w:t xml:space="preserve">Strimas-Mackey, M., Miller, E., &amp; Hochachka, W. (2017). </w:t>
      </w:r>
      <w:r w:rsidRPr="00137F43">
        <w:rPr>
          <w:i/>
          <w:iCs/>
        </w:rPr>
        <w:t>auk: eBird Data Extraction and Processing in R</w:t>
      </w:r>
      <w:r w:rsidRPr="00137F43">
        <w:t xml:space="preserve"> [Dataset]. The R Foundation. https://doi.org/10.32614/cran.package.auk</w:t>
      </w:r>
    </w:p>
    <w:p w14:paraId="20FB8717" w14:textId="77777777" w:rsidR="00137F43" w:rsidRPr="00137F43" w:rsidRDefault="00137F43" w:rsidP="00137F43">
      <w:pPr>
        <w:pStyle w:val="Bibliography"/>
      </w:pPr>
      <w:r w:rsidRPr="00137F43">
        <w:lastRenderedPageBreak/>
        <w:t xml:space="preserve">Strong, C., Zuckerberg, B., Betancourt, J. L., &amp; Koenig, W. D. (2015). Climatic dipoles drive two principal modes of North American boreal bird irruption. </w:t>
      </w:r>
      <w:r w:rsidRPr="00137F43">
        <w:rPr>
          <w:i/>
          <w:iCs/>
        </w:rPr>
        <w:t>Proceedings of the National Academy of Sciences</w:t>
      </w:r>
      <w:r w:rsidRPr="00137F43">
        <w:t xml:space="preserve">, </w:t>
      </w:r>
      <w:r w:rsidRPr="00137F43">
        <w:rPr>
          <w:i/>
          <w:iCs/>
        </w:rPr>
        <w:t>112</w:t>
      </w:r>
      <w:r w:rsidRPr="00137F43">
        <w:t>(21). https://doi.org/10.1073/pnas.1418414112</w:t>
      </w:r>
    </w:p>
    <w:p w14:paraId="6C7A3FE4" w14:textId="77777777" w:rsidR="00137F43" w:rsidRPr="00137F43" w:rsidRDefault="00137F43" w:rsidP="00137F43">
      <w:pPr>
        <w:pStyle w:val="Bibliography"/>
      </w:pPr>
      <w:r w:rsidRPr="00137F43">
        <w:t xml:space="preserve">Sullivan, B. L., Wood, C. L., Iliff, M. J., Bonney, R. E., Fink, D., &amp; Kelling, S. (2009). eBird: A citizen-based bird observation network in the biological sciences. </w:t>
      </w:r>
      <w:r w:rsidRPr="00137F43">
        <w:rPr>
          <w:i/>
          <w:iCs/>
        </w:rPr>
        <w:t>Biological Conservation</w:t>
      </w:r>
      <w:r w:rsidRPr="00137F43">
        <w:t xml:space="preserve">, </w:t>
      </w:r>
      <w:r w:rsidRPr="00137F43">
        <w:rPr>
          <w:i/>
          <w:iCs/>
        </w:rPr>
        <w:t>142</w:t>
      </w:r>
      <w:r w:rsidRPr="00137F43">
        <w:t>(10), 2282–2292. https://doi.org/10.1016/j.biocon.2009.05.006</w:t>
      </w:r>
    </w:p>
    <w:p w14:paraId="28F1F30F" w14:textId="77777777" w:rsidR="00137F43" w:rsidRPr="00137F43" w:rsidRDefault="00137F43" w:rsidP="00137F43">
      <w:pPr>
        <w:pStyle w:val="Bibliography"/>
      </w:pPr>
      <w:r w:rsidRPr="00137F43">
        <w:t xml:space="preserve">Tylianakis, J. M., Didham, R. K., Bascompte, J., &amp; Wardle, D. A. (2008). Global change and species interactions in terrestrial ecosystems. </w:t>
      </w:r>
      <w:r w:rsidRPr="00137F43">
        <w:rPr>
          <w:i/>
          <w:iCs/>
        </w:rPr>
        <w:t>Ecology Letters</w:t>
      </w:r>
      <w:r w:rsidRPr="00137F43">
        <w:t xml:space="preserve">, </w:t>
      </w:r>
      <w:r w:rsidRPr="00137F43">
        <w:rPr>
          <w:i/>
          <w:iCs/>
        </w:rPr>
        <w:t>11</w:t>
      </w:r>
      <w:r w:rsidRPr="00137F43">
        <w:t>(12), 1351–1363. https://doi.org/10.1111/j.1461-0248.2008.01250.x</w:t>
      </w:r>
    </w:p>
    <w:p w14:paraId="65064935" w14:textId="77777777" w:rsidR="00137F43" w:rsidRPr="00137F43" w:rsidRDefault="00137F43" w:rsidP="00137F43">
      <w:pPr>
        <w:pStyle w:val="Bibliography"/>
      </w:pPr>
      <w:r w:rsidRPr="00137F43">
        <w:t xml:space="preserve">Valiente‐Banuet, A., Aizen, M. A., Alcántara, J. M., Arroyo, J., Cocucci, A., Galetti, M., García, M. B., García, D., Gómez, J. M., Jordano, P., Medel, R., Navarro, L., Obeso, J. R., Oviedo, R., Ramírez, N., Rey, P. J., Traveset, A., Verdú, M., &amp; Zamora, R. (2015). Beyond species loss: The extinction of ecological interactions in a changing world. </w:t>
      </w:r>
      <w:r w:rsidRPr="00137F43">
        <w:rPr>
          <w:i/>
          <w:iCs/>
        </w:rPr>
        <w:t>Functional Ecology</w:t>
      </w:r>
      <w:r w:rsidRPr="00137F43">
        <w:t xml:space="preserve">, </w:t>
      </w:r>
      <w:r w:rsidRPr="00137F43">
        <w:rPr>
          <w:i/>
          <w:iCs/>
        </w:rPr>
        <w:t>29</w:t>
      </w:r>
      <w:r w:rsidRPr="00137F43">
        <w:t>(3), 299–307. https://doi.org/10.1111/1365-2435.12356</w:t>
      </w:r>
    </w:p>
    <w:p w14:paraId="3D337063" w14:textId="77777777" w:rsidR="00137F43" w:rsidRPr="00137F43" w:rsidRDefault="00137F43" w:rsidP="00137F43">
      <w:pPr>
        <w:pStyle w:val="Bibliography"/>
      </w:pPr>
      <w:r w:rsidRPr="00137F43">
        <w:t xml:space="preserve">Van Lanen, N. J., Monroe, A. P., &amp; Aldridge, C. L. (2023). A hidden cost of single species management: Habitat-relationships reveal potential negative effects of conifer removal on a non-target species. </w:t>
      </w:r>
      <w:r w:rsidRPr="00137F43">
        <w:rPr>
          <w:i/>
          <w:iCs/>
        </w:rPr>
        <w:t>Biological Conservation</w:t>
      </w:r>
      <w:r w:rsidRPr="00137F43">
        <w:t xml:space="preserve">, </w:t>
      </w:r>
      <w:r w:rsidRPr="00137F43">
        <w:rPr>
          <w:i/>
          <w:iCs/>
        </w:rPr>
        <w:t>280</w:t>
      </w:r>
      <w:r w:rsidRPr="00137F43">
        <w:t>, 109959. https://doi.org/10.1016/j.biocon.2023.109959</w:t>
      </w:r>
    </w:p>
    <w:p w14:paraId="796B62A6" w14:textId="77777777" w:rsidR="00137F43" w:rsidRPr="00137F43" w:rsidRDefault="00137F43" w:rsidP="00137F43">
      <w:pPr>
        <w:pStyle w:val="Bibliography"/>
      </w:pPr>
      <w:r w:rsidRPr="00137F43">
        <w:t xml:space="preserve">Vander Wall, S. B. (2002). MASTING IN ANIMAL-DISPERSED PINES FACILITATES SEED DISPERSAL. </w:t>
      </w:r>
      <w:r w:rsidRPr="00137F43">
        <w:rPr>
          <w:i/>
          <w:iCs/>
        </w:rPr>
        <w:t>Ecology</w:t>
      </w:r>
      <w:r w:rsidRPr="00137F43">
        <w:t xml:space="preserve">, </w:t>
      </w:r>
      <w:r w:rsidRPr="00137F43">
        <w:rPr>
          <w:i/>
          <w:iCs/>
        </w:rPr>
        <w:t>83</w:t>
      </w:r>
      <w:r w:rsidRPr="00137F43">
        <w:t>(12), 3508–3516. https://doi.org/10.1890/0012-9658(2002)083%255B3508:miadpf%255D2.0.co;2</w:t>
      </w:r>
    </w:p>
    <w:p w14:paraId="27B46E98" w14:textId="77777777" w:rsidR="00137F43" w:rsidRPr="00137F43" w:rsidRDefault="00137F43" w:rsidP="00137F43">
      <w:pPr>
        <w:pStyle w:val="Bibliography"/>
      </w:pPr>
      <w:r w:rsidRPr="00137F43">
        <w:t xml:space="preserve">Vander Wall, S. B. (2003). Reciprocal pilferage and the evolution of food-hoarding behavior. </w:t>
      </w:r>
      <w:r w:rsidRPr="00137F43">
        <w:rPr>
          <w:i/>
          <w:iCs/>
        </w:rPr>
        <w:t>Behavioral Ecology</w:t>
      </w:r>
      <w:r w:rsidRPr="00137F43">
        <w:t xml:space="preserve">, </w:t>
      </w:r>
      <w:r w:rsidRPr="00137F43">
        <w:rPr>
          <w:i/>
          <w:iCs/>
        </w:rPr>
        <w:t>14</w:t>
      </w:r>
      <w:r w:rsidRPr="00137F43">
        <w:t>(5), 656–667. https://doi.org/10.1093/beheco/arg064</w:t>
      </w:r>
    </w:p>
    <w:p w14:paraId="50039376" w14:textId="77777777" w:rsidR="00137F43" w:rsidRPr="00137F43" w:rsidRDefault="00137F43" w:rsidP="00137F43">
      <w:pPr>
        <w:pStyle w:val="Bibliography"/>
      </w:pPr>
      <w:r w:rsidRPr="00137F43">
        <w:lastRenderedPageBreak/>
        <w:t xml:space="preserve">Vander Wall, S. B. (2023). Seed Dispersal in Pines (Pinus). </w:t>
      </w:r>
      <w:r w:rsidRPr="00137F43">
        <w:rPr>
          <w:i/>
          <w:iCs/>
        </w:rPr>
        <w:t>The Botanical Review</w:t>
      </w:r>
      <w:r w:rsidRPr="00137F43">
        <w:t xml:space="preserve">, </w:t>
      </w:r>
      <w:r w:rsidRPr="00137F43">
        <w:rPr>
          <w:i/>
          <w:iCs/>
        </w:rPr>
        <w:t>89</w:t>
      </w:r>
      <w:r w:rsidRPr="00137F43">
        <w:t>(3), 275–307. https://doi.org/10.1007/s12229-023-09288-8</w:t>
      </w:r>
    </w:p>
    <w:p w14:paraId="343CF254" w14:textId="77777777" w:rsidR="00137F43" w:rsidRPr="00137F43" w:rsidRDefault="00137F43" w:rsidP="00137F43">
      <w:pPr>
        <w:pStyle w:val="Bibliography"/>
      </w:pPr>
      <w:r w:rsidRPr="00137F43">
        <w:t xml:space="preserve">Wickham, H., Averick, M., Bryan, J., Chang, W., McGowan, L., François, R., Grolemund, G., Hayes, A., Henry, L., Hester, J., Kuhn, M., Pedersen, T., Miller, E., Bache, S., Müller, K., Ooms, J., Robinson, D., Seidel, D., Spinu, V., … Yutani, H. (2019). Welcome to the Tidyverse. </w:t>
      </w:r>
      <w:r w:rsidRPr="00137F43">
        <w:rPr>
          <w:i/>
          <w:iCs/>
        </w:rPr>
        <w:t>Journal of Open Source Software</w:t>
      </w:r>
      <w:r w:rsidRPr="00137F43">
        <w:t xml:space="preserve">, </w:t>
      </w:r>
      <w:r w:rsidRPr="00137F43">
        <w:rPr>
          <w:i/>
          <w:iCs/>
        </w:rPr>
        <w:t>4</w:t>
      </w:r>
      <w:r w:rsidRPr="00137F43">
        <w:t>(43), 1686. https://doi.org/10.21105/joss.01686</w:t>
      </w:r>
    </w:p>
    <w:p w14:paraId="21295FE7" w14:textId="77777777" w:rsidR="00137F43" w:rsidRPr="00137F43" w:rsidRDefault="00137F43" w:rsidP="00137F43">
      <w:pPr>
        <w:pStyle w:val="Bibliography"/>
      </w:pPr>
      <w:r w:rsidRPr="00137F43">
        <w:t xml:space="preserve">Wickham, H., &amp; Bryan, J. (2015). </w:t>
      </w:r>
      <w:r w:rsidRPr="00137F43">
        <w:rPr>
          <w:i/>
          <w:iCs/>
        </w:rPr>
        <w:t>readxl: Read Excel Files</w:t>
      </w:r>
      <w:r w:rsidRPr="00137F43">
        <w:t xml:space="preserve"> (p. 1.4.3) [Dataset]. https://doi.org/10.32614/CRAN.package.readxl</w:t>
      </w:r>
    </w:p>
    <w:p w14:paraId="4B50DD29" w14:textId="77777777" w:rsidR="00137F43" w:rsidRPr="00137F43" w:rsidRDefault="00137F43" w:rsidP="00137F43">
      <w:pPr>
        <w:pStyle w:val="Bibliography"/>
      </w:pPr>
      <w:r w:rsidRPr="00137F43">
        <w:t xml:space="preserve">Wiggins, D. A. (2005). </w:t>
      </w:r>
      <w:r w:rsidRPr="00137F43">
        <w:rPr>
          <w:i/>
          <w:iCs/>
        </w:rPr>
        <w:t>Pinyon Jay (Gymnorhinus cyanocephalus): A technical conservation assessment.</w:t>
      </w:r>
      <w:r w:rsidRPr="00137F43">
        <w:t xml:space="preserve"> USDA Forest Service, Rocky Mountain Region. http://www.fs.fed.us/r2/projects/scp/assessments/pinyonjay.pdf</w:t>
      </w:r>
    </w:p>
    <w:p w14:paraId="7841493B" w14:textId="77777777" w:rsidR="00137F43" w:rsidRPr="00137F43" w:rsidRDefault="00137F43" w:rsidP="00137F43">
      <w:pPr>
        <w:pStyle w:val="Bibliography"/>
      </w:pPr>
      <w:r w:rsidRPr="00137F43">
        <w:t xml:space="preserve">Wilson, B. T., Lister, A. J., Riemann, R. I., &amp; Griffith, D. M. (2013). </w:t>
      </w:r>
      <w:r w:rsidRPr="00137F43">
        <w:rPr>
          <w:i/>
          <w:iCs/>
        </w:rPr>
        <w:t>Live tree species basal area of the contiguous United States (2000-2009)</w:t>
      </w:r>
      <w:r w:rsidRPr="00137F43">
        <w:t xml:space="preserve"> [Dataset]. Forest Service Research Data Archive. https://doi.org/10.2737/RDS-2013-0013</w:t>
      </w:r>
    </w:p>
    <w:p w14:paraId="7BA34661" w14:textId="77777777" w:rsidR="00137F43" w:rsidRPr="00137F43" w:rsidRDefault="00137F43" w:rsidP="00137F43">
      <w:pPr>
        <w:pStyle w:val="Bibliography"/>
      </w:pPr>
      <w:r w:rsidRPr="00137F43">
        <w:t xml:space="preserve">Wion, A. P., Pearse, I. S., Broxson, M., &amp; Redmond, M. D. (2025). Mast hindcasts reveal pervasive effects of extreme drought on a foundational conifer species. </w:t>
      </w:r>
      <w:r w:rsidRPr="00137F43">
        <w:rPr>
          <w:i/>
          <w:iCs/>
        </w:rPr>
        <w:t>New Phytologist</w:t>
      </w:r>
      <w:r w:rsidRPr="00137F43">
        <w:t xml:space="preserve">, </w:t>
      </w:r>
      <w:r w:rsidRPr="00137F43">
        <w:rPr>
          <w:i/>
          <w:iCs/>
        </w:rPr>
        <w:t>246</w:t>
      </w:r>
      <w:r w:rsidRPr="00137F43">
        <w:t>(2), 450–460. https://doi.org/10.1111/nph.20321</w:t>
      </w:r>
    </w:p>
    <w:p w14:paraId="41CFF14C" w14:textId="77777777" w:rsidR="00137F43" w:rsidRPr="00137F43" w:rsidRDefault="00137F43" w:rsidP="00137F43">
      <w:pPr>
        <w:pStyle w:val="Bibliography"/>
      </w:pPr>
      <w:r w:rsidRPr="00137F43">
        <w:t xml:space="preserve">Yang, Y., Foster, K. R., Coyte, K. Z., &amp; Li, A. (2023). Time delays modulate the stability of complex ecosystems. </w:t>
      </w:r>
      <w:r w:rsidRPr="00137F43">
        <w:rPr>
          <w:i/>
          <w:iCs/>
        </w:rPr>
        <w:t>Nature Ecology &amp; Evolution</w:t>
      </w:r>
      <w:r w:rsidRPr="00137F43">
        <w:t xml:space="preserve">, </w:t>
      </w:r>
      <w:r w:rsidRPr="00137F43">
        <w:rPr>
          <w:i/>
          <w:iCs/>
        </w:rPr>
        <w:t>7</w:t>
      </w:r>
      <w:r w:rsidRPr="00137F43">
        <w:t>(10), 1610–1619. https://doi.org/10.1038/s41559-023-02158-x</w:t>
      </w:r>
    </w:p>
    <w:p w14:paraId="63350F03" w14:textId="6168C667" w:rsidR="00482FFC" w:rsidRPr="00482FFC" w:rsidRDefault="0019106D" w:rsidP="00137F43">
      <w:pPr>
        <w:pStyle w:val="Bibliography"/>
        <w:rPr>
          <w:b/>
          <w:bCs/>
        </w:rPr>
      </w:pPr>
      <w:r>
        <w:rPr>
          <w:b/>
          <w:bCs/>
        </w:rPr>
        <w:fldChar w:fldCharType="end"/>
      </w:r>
    </w:p>
    <w:sectPr w:rsidR="00482FFC" w:rsidRPr="00482FFC" w:rsidSect="00167C71">
      <w:footerReference w:type="even" r:id="rId15"/>
      <w:footerReference w:type="default" r:id="rId16"/>
      <w:pgSz w:w="12240" w:h="15840"/>
      <w:pgMar w:top="1440" w:right="1440" w:bottom="1440" w:left="1440" w:header="720" w:footer="720" w:gutter="0"/>
      <w:lnNumType w:countBy="1" w:restart="continuous"/>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Ana Teresa Miller ter Kuile" w:date="2025-05-14T15:30:00Z" w:initials="AK">
    <w:p w14:paraId="249DF32B" w14:textId="0359D8A0" w:rsidR="00A63129" w:rsidRDefault="00A63129" w:rsidP="00A63129">
      <w:r>
        <w:annotationRef/>
      </w:r>
      <w:r w:rsidRPr="33602D50">
        <w:t>will be generating this prior to submission</w:t>
      </w:r>
    </w:p>
  </w:comment>
  <w:comment w:id="11" w:author="Kyle Christopher Rodman" w:date="2025-08-11T12:02:00Z" w:initials="KR">
    <w:p w14:paraId="692C415B" w14:textId="22167837" w:rsidR="00363179" w:rsidRDefault="00000000">
      <w:pPr>
        <w:pStyle w:val="CommentText"/>
      </w:pPr>
      <w:r>
        <w:rPr>
          <w:rStyle w:val="CommentReference"/>
        </w:rPr>
        <w:annotationRef/>
      </w:r>
      <w:r w:rsidRPr="36228D75">
        <w:t>You could probably shorten this to just a couple of sentences and make it an appendix section</w:t>
      </w:r>
    </w:p>
  </w:comment>
  <w:comment w:id="12" w:author="Kyle Christopher Rodman" w:date="2025-08-11T11:57:00Z" w:initials="KR">
    <w:p w14:paraId="6A67D02A" w14:textId="17957BCE" w:rsidR="00363179" w:rsidRDefault="00000000">
      <w:pPr>
        <w:pStyle w:val="CommentText"/>
      </w:pPr>
      <w:r>
        <w:rPr>
          <w:rStyle w:val="CommentReference"/>
        </w:rPr>
        <w:annotationRef/>
      </w:r>
      <w:r w:rsidRPr="168721EA">
        <w:t>It's possible that we may need to put a couple of photos of example locations which show declines or increases in tree cover since the early 2000s.</w:t>
      </w:r>
    </w:p>
  </w:comment>
  <w:comment w:id="15" w:author="Kyle Christopher Rodman" w:date="2025-08-11T12:39:00Z" w:initials="KR">
    <w:p w14:paraId="5824833F" w14:textId="2586D22F" w:rsidR="00363179" w:rsidRDefault="00000000">
      <w:pPr>
        <w:pStyle w:val="CommentText"/>
      </w:pPr>
      <w:r>
        <w:rPr>
          <w:rStyle w:val="CommentReference"/>
        </w:rPr>
        <w:annotationRef/>
      </w:r>
      <w:r w:rsidRPr="3945B27F">
        <w:t>This first section is pretty general and easy to follow. The subsections on the observation model (2.4.1 mostly the part after the line beginning with " eBird observed count data for checklist...") and the biological process model (2.4.2) get pretty dense, and I get a little lost myself. Perhaps you could move the equations and more technical model details to a supplement and keep the more general section 2.4 stuff in here (probably reduced to one paragraph in mostly layterms), then have two short paragraphs explaining each component of the model to replace sections 2.4.1 and 2.4.2 in the main text? Depends on journal you target and others may feel differently</w:t>
      </w:r>
    </w:p>
  </w:comment>
  <w:comment w:id="16" w:author="jamie.l.sanderlin@usda.gov" w:date="2025-08-11T14:56:00Z" w:initials="ja">
    <w:p w14:paraId="06BDC7B7" w14:textId="5FF7EE0A" w:rsidR="00363179" w:rsidRDefault="00000000">
      <w:pPr>
        <w:pStyle w:val="CommentText"/>
      </w:pPr>
      <w:r>
        <w:rPr>
          <w:rStyle w:val="CommentReference"/>
        </w:rPr>
        <w:annotationRef/>
      </w:r>
      <w:r w:rsidRPr="7BB49820">
        <w:t>perhaps if you are limited on space, the details can be in the appendix. or wait to see what reviewers say?</w:t>
      </w:r>
    </w:p>
  </w:comment>
  <w:comment w:id="17" w:author="Kyle Christopher Rodman" w:date="2025-08-11T12:25:00Z" w:initials="KR">
    <w:p w14:paraId="5D20A00C" w14:textId="3CB84F4C" w:rsidR="00363179" w:rsidRDefault="00000000">
      <w:pPr>
        <w:pStyle w:val="CommentText"/>
      </w:pPr>
      <w:r>
        <w:rPr>
          <w:rStyle w:val="CommentReference"/>
        </w:rPr>
        <w:annotationRef/>
      </w:r>
      <w:r w:rsidRPr="3210BD77">
        <w:t>Suggest a supplementary figure. Maybe some density plots or histograms of all covariate values vs. those extracted to bird data?</w:t>
      </w:r>
    </w:p>
  </w:comment>
  <w:comment w:id="23" w:author="Ana Miller-ter Kuile" w:date="2025-07-16T14:12:00Z" w:initials="AM">
    <w:p w14:paraId="068D4C88" w14:textId="77777777" w:rsidR="008A1F18" w:rsidRDefault="008A1F18" w:rsidP="008A1F18">
      <w:r>
        <w:rPr>
          <w:rStyle w:val="CommentReference"/>
        </w:rPr>
        <w:annotationRef/>
      </w:r>
      <w:r>
        <w:rPr>
          <w:sz w:val="20"/>
          <w:szCs w:val="20"/>
        </w:rPr>
        <w:t>Only suggestions would be to possibly multiply predictions so they are birds/ha so you don’t have the scientific notation and then add units in parentheses to the axes. (maybe also change axis ticks to be on the unscaled scale vs as it is now scaled)</w:t>
      </w:r>
    </w:p>
  </w:comment>
  <w:comment w:id="24" w:author="Kyle Christopher Rodman" w:date="2025-08-11T12:52:00Z" w:initials="KR">
    <w:p w14:paraId="4141C679" w14:textId="1B8CBFC9" w:rsidR="00363179" w:rsidRDefault="00000000">
      <w:pPr>
        <w:pStyle w:val="CommentText"/>
      </w:pPr>
      <w:r>
        <w:rPr>
          <w:rStyle w:val="CommentReference"/>
        </w:rPr>
        <w:annotationRef/>
      </w:r>
      <w:r w:rsidRPr="66595CF2">
        <w:t>I think I still feel this way, looking at it again. With so many points, it might also be nice to use a subset of them or bump up the transparency. But I'm open to whatever you decide!</w:t>
      </w:r>
    </w:p>
  </w:comment>
  <w:comment w:id="25" w:author="Kyle Christopher Rodman" w:date="2025-08-11T13:14:00Z" w:initials="KR">
    <w:p w14:paraId="6C68DD2B" w14:textId="7E0CE3B4" w:rsidR="00363179" w:rsidRDefault="00000000">
      <w:pPr>
        <w:pStyle w:val="CommentText"/>
      </w:pPr>
      <w:r>
        <w:rPr>
          <w:rStyle w:val="CommentReference"/>
        </w:rPr>
        <w:annotationRef/>
      </w:r>
      <w:r w:rsidRPr="472DF5B8">
        <w:t>Do you have this for the out-of-sample stuff as well? Right now it looks like you present in-sample R-squared, and in-sample + out-of-sample RMSE</w:t>
      </w:r>
    </w:p>
  </w:comment>
  <w:comment w:id="26" w:author="Ana Miller-ter Kuile" w:date="2025-08-18T14:49:00Z" w:initials="AM">
    <w:p w14:paraId="1F190560" w14:textId="77777777" w:rsidR="008A3B61" w:rsidRDefault="008A3B61" w:rsidP="008A3B61">
      <w:r>
        <w:rPr>
          <w:rStyle w:val="CommentReference"/>
        </w:rPr>
        <w:annotationRef/>
      </w:r>
      <w:r>
        <w:rPr>
          <w:sz w:val="20"/>
          <w:szCs w:val="20"/>
        </w:rPr>
        <w:t>RUN THIS AGAIN AND GENERATE!!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49DF32B" w15:done="0"/>
  <w15:commentEx w15:paraId="692C415B" w15:done="0"/>
  <w15:commentEx w15:paraId="6A67D02A" w15:done="0"/>
  <w15:commentEx w15:paraId="5824833F" w15:done="0"/>
  <w15:commentEx w15:paraId="06BDC7B7" w15:paraIdParent="5824833F" w15:done="0"/>
  <w15:commentEx w15:paraId="5D20A00C" w15:done="0"/>
  <w15:commentEx w15:paraId="068D4C88" w15:done="0"/>
  <w15:commentEx w15:paraId="4141C679" w15:paraIdParent="068D4C88" w15:done="0"/>
  <w15:commentEx w15:paraId="6C68DD2B" w15:done="0"/>
  <w15:commentEx w15:paraId="1F190560" w15:paraIdParent="6C68DD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8E235D0" w16cex:dateUtc="2025-05-14T22:30:00Z"/>
  <w16cex:commentExtensible w16cex:durableId="65A94FC0" w16cex:dateUtc="2025-08-11T19:02:00Z"/>
  <w16cex:commentExtensible w16cex:durableId="08493D9A" w16cex:dateUtc="2025-08-11T18:57:00Z"/>
  <w16cex:commentExtensible w16cex:durableId="02C194A8" w16cex:dateUtc="2025-08-11T19:39:00Z"/>
  <w16cex:commentExtensible w16cex:durableId="6D68FC85" w16cex:dateUtc="2025-08-11T21:56:00Z"/>
  <w16cex:commentExtensible w16cex:durableId="5462DEC0" w16cex:dateUtc="2025-08-11T19:25:00Z">
    <w16cex:extLst>
      <w16:ext w16:uri="{CE6994B0-6A32-4C9F-8C6B-6E91EDA988CE}">
        <cr:reactions xmlns:cr="http://schemas.microsoft.com/office/comments/2020/reactions">
          <cr:reaction reactionType="1">
            <cr:reactionInfo dateUtc="2025-08-11T21:57:05Z">
              <cr:user userId="S::urn:spo:guest#jamie.l.sanderlin@usda.gov::" userProvider="AD" userName="jamie.l.sanderlin@usda.gov"/>
            </cr:reactionInfo>
          </cr:reaction>
        </cr:reactions>
      </w16:ext>
    </w16cex:extLst>
  </w16cex:commentExtensible>
  <w16cex:commentExtensible w16cex:durableId="12F30DF0" w16cex:dateUtc="2025-07-16T21:12:00Z"/>
  <w16cex:commentExtensible w16cex:durableId="748E7FED" w16cex:dateUtc="2025-08-11T19:52:00Z"/>
  <w16cex:commentExtensible w16cex:durableId="776A4C3C" w16cex:dateUtc="2025-08-11T20:14:00Z"/>
  <w16cex:commentExtensible w16cex:durableId="715DA146" w16cex:dateUtc="2025-08-18T21: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49DF32B" w16cid:durableId="58E235D0"/>
  <w16cid:commentId w16cid:paraId="692C415B" w16cid:durableId="65A94FC0"/>
  <w16cid:commentId w16cid:paraId="6A67D02A" w16cid:durableId="08493D9A"/>
  <w16cid:commentId w16cid:paraId="5824833F" w16cid:durableId="02C194A8"/>
  <w16cid:commentId w16cid:paraId="06BDC7B7" w16cid:durableId="6D68FC85"/>
  <w16cid:commentId w16cid:paraId="5D20A00C" w16cid:durableId="5462DEC0"/>
  <w16cid:commentId w16cid:paraId="068D4C88" w16cid:durableId="12F30DF0"/>
  <w16cid:commentId w16cid:paraId="4141C679" w16cid:durableId="748E7FED"/>
  <w16cid:commentId w16cid:paraId="6C68DD2B" w16cid:durableId="776A4C3C"/>
  <w16cid:commentId w16cid:paraId="1F190560" w16cid:durableId="715DA1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14D1B4" w14:textId="77777777" w:rsidR="008F4B4E" w:rsidRDefault="008F4B4E">
      <w:pPr>
        <w:spacing w:after="0"/>
      </w:pPr>
      <w:r>
        <w:separator/>
      </w:r>
    </w:p>
  </w:endnote>
  <w:endnote w:type="continuationSeparator" w:id="0">
    <w:p w14:paraId="014DCB91" w14:textId="77777777" w:rsidR="008F4B4E" w:rsidRDefault="008F4B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43343738"/>
      <w:docPartObj>
        <w:docPartGallery w:val="Page Numbers (Bottom of Page)"/>
        <w:docPartUnique/>
      </w:docPartObj>
    </w:sdtPr>
    <w:sdtContent>
      <w:p w14:paraId="1ADB0209" w14:textId="77777777" w:rsidR="00167C71" w:rsidRDefault="00167C71" w:rsidP="001A425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E9DEDF" w14:textId="77777777" w:rsidR="00167C71" w:rsidRDefault="00167C71" w:rsidP="00167C71">
    <w:pPr>
      <w:pStyle w:val="Footer"/>
      <w:ind w:right="360"/>
    </w:pPr>
  </w:p>
  <w:p w14:paraId="4D17F56A" w14:textId="77777777" w:rsidR="00ED4EEA" w:rsidRDefault="00ED4EE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99240881"/>
      <w:docPartObj>
        <w:docPartGallery w:val="Page Numbers (Bottom of Page)"/>
        <w:docPartUnique/>
      </w:docPartObj>
    </w:sdtPr>
    <w:sdtContent>
      <w:p w14:paraId="3D6D369F" w14:textId="77777777" w:rsidR="00167C71" w:rsidRDefault="00167C71" w:rsidP="001A425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1D54E73" w14:textId="77777777" w:rsidR="00167C71" w:rsidRDefault="00167C71" w:rsidP="00167C71">
    <w:pPr>
      <w:pStyle w:val="Footer"/>
      <w:ind w:right="360"/>
    </w:pPr>
  </w:p>
  <w:p w14:paraId="0F2F5FB5" w14:textId="77777777" w:rsidR="00ED4EEA" w:rsidRDefault="00ED4E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B556A2" w14:textId="77777777" w:rsidR="008F4B4E" w:rsidRDefault="008F4B4E">
      <w:pPr>
        <w:spacing w:after="0"/>
      </w:pPr>
      <w:r>
        <w:separator/>
      </w:r>
    </w:p>
  </w:footnote>
  <w:footnote w:type="continuationSeparator" w:id="0">
    <w:p w14:paraId="75152E14" w14:textId="77777777" w:rsidR="008F4B4E" w:rsidRDefault="008F4B4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9F7CE98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A99411"/>
    <w:multiLevelType w:val="multilevel"/>
    <w:tmpl w:val="D888554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170CD2DE"/>
    <w:multiLevelType w:val="multilevel"/>
    <w:tmpl w:val="FBAE0E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651514795">
    <w:abstractNumId w:val="2"/>
  </w:num>
  <w:num w:numId="2" w16cid:durableId="1441146044">
    <w:abstractNumId w:val="0"/>
  </w:num>
  <w:num w:numId="3" w16cid:durableId="1950507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a Teresa Miller ter Kuile">
    <w15:presenceInfo w15:providerId="AD" w15:userId="S::ana.miller-ter-kuile@nau.edu::f05f7ea4-c99a-402b-8c05-7689738ab6c0"/>
  </w15:person>
  <w15:person w15:author="Kyle Christopher Rodman">
    <w15:presenceInfo w15:providerId="AD" w15:userId="S::Kyle.Rodman@nau.edu::eb4c0d42-db71-4cbe-95f9-6192ec5d81d2"/>
  </w15:person>
  <w15:person w15:author="jamie.l.sanderlin@usda.gov">
    <w15:presenceInfo w15:providerId="AD" w15:userId="S::urn:spo:guest#jamie.l.sanderlin@usda.gov::"/>
  </w15:person>
  <w15:person w15:author="Ana Miller-ter Kuile">
    <w15:presenceInfo w15:providerId="AD" w15:userId="S::Ana.Miller-ter-Kuile@nau.edu::f05f7ea4-c99a-402b-8c05-7689738ab6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0D8"/>
    <w:rsid w:val="0003608C"/>
    <w:rsid w:val="00052BC7"/>
    <w:rsid w:val="0008670E"/>
    <w:rsid w:val="000C6F45"/>
    <w:rsid w:val="000E0454"/>
    <w:rsid w:val="000F105A"/>
    <w:rsid w:val="00114B4D"/>
    <w:rsid w:val="001278B6"/>
    <w:rsid w:val="00132C63"/>
    <w:rsid w:val="00137F43"/>
    <w:rsid w:val="00144A45"/>
    <w:rsid w:val="001539DD"/>
    <w:rsid w:val="00164807"/>
    <w:rsid w:val="00167C71"/>
    <w:rsid w:val="00167D56"/>
    <w:rsid w:val="00186ED6"/>
    <w:rsid w:val="0019106D"/>
    <w:rsid w:val="001D6AB7"/>
    <w:rsid w:val="001F33F2"/>
    <w:rsid w:val="00207146"/>
    <w:rsid w:val="002271A6"/>
    <w:rsid w:val="00275582"/>
    <w:rsid w:val="002C0AB4"/>
    <w:rsid w:val="002D0660"/>
    <w:rsid w:val="002E0719"/>
    <w:rsid w:val="0030190A"/>
    <w:rsid w:val="003215D9"/>
    <w:rsid w:val="00347BE8"/>
    <w:rsid w:val="00363179"/>
    <w:rsid w:val="003971A1"/>
    <w:rsid w:val="003B444C"/>
    <w:rsid w:val="003B53B7"/>
    <w:rsid w:val="00410872"/>
    <w:rsid w:val="00447F19"/>
    <w:rsid w:val="00456A3F"/>
    <w:rsid w:val="00482FFC"/>
    <w:rsid w:val="004B3824"/>
    <w:rsid w:val="004D072B"/>
    <w:rsid w:val="004D074E"/>
    <w:rsid w:val="004D1644"/>
    <w:rsid w:val="004D4B7B"/>
    <w:rsid w:val="00501471"/>
    <w:rsid w:val="00514659"/>
    <w:rsid w:val="005236F7"/>
    <w:rsid w:val="005D5F13"/>
    <w:rsid w:val="005D7B77"/>
    <w:rsid w:val="005E2AEB"/>
    <w:rsid w:val="00626A70"/>
    <w:rsid w:val="0063252F"/>
    <w:rsid w:val="00653D9D"/>
    <w:rsid w:val="006561E7"/>
    <w:rsid w:val="00660EB4"/>
    <w:rsid w:val="00666031"/>
    <w:rsid w:val="006941F9"/>
    <w:rsid w:val="006B3C02"/>
    <w:rsid w:val="006B595D"/>
    <w:rsid w:val="006C0909"/>
    <w:rsid w:val="006F4C84"/>
    <w:rsid w:val="007055F9"/>
    <w:rsid w:val="00711C3E"/>
    <w:rsid w:val="00727370"/>
    <w:rsid w:val="00728D59"/>
    <w:rsid w:val="007545A8"/>
    <w:rsid w:val="00771E0C"/>
    <w:rsid w:val="00785258"/>
    <w:rsid w:val="007B1138"/>
    <w:rsid w:val="007E3278"/>
    <w:rsid w:val="007F0677"/>
    <w:rsid w:val="008160B6"/>
    <w:rsid w:val="0084104D"/>
    <w:rsid w:val="00870758"/>
    <w:rsid w:val="008A1F18"/>
    <w:rsid w:val="008A3B61"/>
    <w:rsid w:val="008A4CAE"/>
    <w:rsid w:val="008B6542"/>
    <w:rsid w:val="008F4B4E"/>
    <w:rsid w:val="008F6A89"/>
    <w:rsid w:val="00925D18"/>
    <w:rsid w:val="00975F2C"/>
    <w:rsid w:val="009A0E39"/>
    <w:rsid w:val="009A62EA"/>
    <w:rsid w:val="009C1F31"/>
    <w:rsid w:val="009C4515"/>
    <w:rsid w:val="009D37C7"/>
    <w:rsid w:val="009E7BA9"/>
    <w:rsid w:val="009F4C17"/>
    <w:rsid w:val="00A17E2A"/>
    <w:rsid w:val="00A2792A"/>
    <w:rsid w:val="00A63129"/>
    <w:rsid w:val="00A95DE3"/>
    <w:rsid w:val="00AA6B58"/>
    <w:rsid w:val="00AC0442"/>
    <w:rsid w:val="00AD2B50"/>
    <w:rsid w:val="00AF6F1D"/>
    <w:rsid w:val="00B07713"/>
    <w:rsid w:val="00B11DD0"/>
    <w:rsid w:val="00B20A83"/>
    <w:rsid w:val="00B336AD"/>
    <w:rsid w:val="00B47A0F"/>
    <w:rsid w:val="00B4B2EF"/>
    <w:rsid w:val="00B51F5B"/>
    <w:rsid w:val="00BA3FBE"/>
    <w:rsid w:val="00BA739E"/>
    <w:rsid w:val="00BB019C"/>
    <w:rsid w:val="00BB28EF"/>
    <w:rsid w:val="00BF533E"/>
    <w:rsid w:val="00C37DC0"/>
    <w:rsid w:val="00C82930"/>
    <w:rsid w:val="00CE2CA1"/>
    <w:rsid w:val="00CE5DE4"/>
    <w:rsid w:val="00D35F65"/>
    <w:rsid w:val="00D373F1"/>
    <w:rsid w:val="00D431E9"/>
    <w:rsid w:val="00D52D77"/>
    <w:rsid w:val="00D67E4C"/>
    <w:rsid w:val="00D753EE"/>
    <w:rsid w:val="00D85BFC"/>
    <w:rsid w:val="00DB2382"/>
    <w:rsid w:val="00DD05C3"/>
    <w:rsid w:val="00DF16ED"/>
    <w:rsid w:val="00DF2B03"/>
    <w:rsid w:val="00E360F7"/>
    <w:rsid w:val="00EA0863"/>
    <w:rsid w:val="00EB453B"/>
    <w:rsid w:val="00EC50D8"/>
    <w:rsid w:val="00EC5970"/>
    <w:rsid w:val="00ED29E7"/>
    <w:rsid w:val="00ED4EEA"/>
    <w:rsid w:val="00EE2B01"/>
    <w:rsid w:val="00F2608D"/>
    <w:rsid w:val="00F51C32"/>
    <w:rsid w:val="00F57066"/>
    <w:rsid w:val="00F713D7"/>
    <w:rsid w:val="00F718C9"/>
    <w:rsid w:val="00F83DDB"/>
    <w:rsid w:val="00F927A3"/>
    <w:rsid w:val="00F928DF"/>
    <w:rsid w:val="00FA047F"/>
    <w:rsid w:val="00FA0A13"/>
    <w:rsid w:val="00FB2CF6"/>
    <w:rsid w:val="00FC7A8E"/>
    <w:rsid w:val="00FD5B80"/>
    <w:rsid w:val="00FE1E5C"/>
    <w:rsid w:val="00FE6ED2"/>
    <w:rsid w:val="00FF43A5"/>
    <w:rsid w:val="011B9681"/>
    <w:rsid w:val="011DF35B"/>
    <w:rsid w:val="01534AE2"/>
    <w:rsid w:val="01750C90"/>
    <w:rsid w:val="01EE6DEC"/>
    <w:rsid w:val="021B69B9"/>
    <w:rsid w:val="02334A24"/>
    <w:rsid w:val="0249B656"/>
    <w:rsid w:val="0283F876"/>
    <w:rsid w:val="028F4835"/>
    <w:rsid w:val="02FA75EF"/>
    <w:rsid w:val="033B1713"/>
    <w:rsid w:val="03AC169D"/>
    <w:rsid w:val="03C17446"/>
    <w:rsid w:val="04216C11"/>
    <w:rsid w:val="0463804B"/>
    <w:rsid w:val="04B50E02"/>
    <w:rsid w:val="04E856A3"/>
    <w:rsid w:val="04F54D80"/>
    <w:rsid w:val="04F57F86"/>
    <w:rsid w:val="05058B66"/>
    <w:rsid w:val="052D2290"/>
    <w:rsid w:val="055E953A"/>
    <w:rsid w:val="05B370CC"/>
    <w:rsid w:val="05C25FED"/>
    <w:rsid w:val="05DC8B97"/>
    <w:rsid w:val="05F66445"/>
    <w:rsid w:val="05F7CAC8"/>
    <w:rsid w:val="061640D3"/>
    <w:rsid w:val="0651C8FD"/>
    <w:rsid w:val="066B7AA5"/>
    <w:rsid w:val="066F26CE"/>
    <w:rsid w:val="068F1032"/>
    <w:rsid w:val="069E344B"/>
    <w:rsid w:val="06E0FB0B"/>
    <w:rsid w:val="071F5F81"/>
    <w:rsid w:val="07BAC33C"/>
    <w:rsid w:val="07C0FDA9"/>
    <w:rsid w:val="07F2A787"/>
    <w:rsid w:val="081D73F4"/>
    <w:rsid w:val="0824FA74"/>
    <w:rsid w:val="0858DE93"/>
    <w:rsid w:val="0896811C"/>
    <w:rsid w:val="08EAAA6B"/>
    <w:rsid w:val="09018331"/>
    <w:rsid w:val="09463A85"/>
    <w:rsid w:val="09C84172"/>
    <w:rsid w:val="09CC910C"/>
    <w:rsid w:val="09E5952F"/>
    <w:rsid w:val="0A0F496A"/>
    <w:rsid w:val="0A30C1E0"/>
    <w:rsid w:val="0AB545A8"/>
    <w:rsid w:val="0B4DF6EF"/>
    <w:rsid w:val="0B65BD00"/>
    <w:rsid w:val="0B74DD29"/>
    <w:rsid w:val="0B953EC0"/>
    <w:rsid w:val="0BA742EC"/>
    <w:rsid w:val="0BB141C9"/>
    <w:rsid w:val="0BDEC906"/>
    <w:rsid w:val="0BF1CB5E"/>
    <w:rsid w:val="0C16686A"/>
    <w:rsid w:val="0C2A2C72"/>
    <w:rsid w:val="0C8050E2"/>
    <w:rsid w:val="0CAB81E3"/>
    <w:rsid w:val="0CC2A338"/>
    <w:rsid w:val="0CC47B1B"/>
    <w:rsid w:val="0CEF9BBD"/>
    <w:rsid w:val="0CF9A552"/>
    <w:rsid w:val="0D5338AA"/>
    <w:rsid w:val="0D719BAA"/>
    <w:rsid w:val="0D735083"/>
    <w:rsid w:val="0D74EAE6"/>
    <w:rsid w:val="0DDE7CC8"/>
    <w:rsid w:val="0DFE6E6F"/>
    <w:rsid w:val="0E3A00AF"/>
    <w:rsid w:val="0E3F13CD"/>
    <w:rsid w:val="0E4F0EA4"/>
    <w:rsid w:val="0E660FDD"/>
    <w:rsid w:val="0EACE5FB"/>
    <w:rsid w:val="0EB1698C"/>
    <w:rsid w:val="0ED8F597"/>
    <w:rsid w:val="0EE6C68C"/>
    <w:rsid w:val="0F418DD1"/>
    <w:rsid w:val="0F5C0030"/>
    <w:rsid w:val="0FABB77E"/>
    <w:rsid w:val="0FB70235"/>
    <w:rsid w:val="0FE66D6F"/>
    <w:rsid w:val="1065DB86"/>
    <w:rsid w:val="1078407B"/>
    <w:rsid w:val="10B0FCBA"/>
    <w:rsid w:val="10E973BE"/>
    <w:rsid w:val="10F02EB4"/>
    <w:rsid w:val="11388CD6"/>
    <w:rsid w:val="116CC9DF"/>
    <w:rsid w:val="116D5C04"/>
    <w:rsid w:val="11808E79"/>
    <w:rsid w:val="119B8280"/>
    <w:rsid w:val="11C3C8DB"/>
    <w:rsid w:val="11F31B1A"/>
    <w:rsid w:val="12129A1A"/>
    <w:rsid w:val="1266553E"/>
    <w:rsid w:val="127BB6E1"/>
    <w:rsid w:val="128946BC"/>
    <w:rsid w:val="129E162E"/>
    <w:rsid w:val="12CFC61E"/>
    <w:rsid w:val="12DBCD4F"/>
    <w:rsid w:val="12E3BE45"/>
    <w:rsid w:val="13138513"/>
    <w:rsid w:val="13325465"/>
    <w:rsid w:val="133EE712"/>
    <w:rsid w:val="137D77E5"/>
    <w:rsid w:val="1387A59F"/>
    <w:rsid w:val="1392FCAD"/>
    <w:rsid w:val="139E9E81"/>
    <w:rsid w:val="13A217E7"/>
    <w:rsid w:val="13B92F72"/>
    <w:rsid w:val="14067614"/>
    <w:rsid w:val="1466A940"/>
    <w:rsid w:val="1487F245"/>
    <w:rsid w:val="14BCC7C4"/>
    <w:rsid w:val="14C69298"/>
    <w:rsid w:val="14DAF68D"/>
    <w:rsid w:val="14F1C26D"/>
    <w:rsid w:val="15092E0B"/>
    <w:rsid w:val="156FB46F"/>
    <w:rsid w:val="1574EA7C"/>
    <w:rsid w:val="1591F426"/>
    <w:rsid w:val="15BBE611"/>
    <w:rsid w:val="15C84DCA"/>
    <w:rsid w:val="15D27CD2"/>
    <w:rsid w:val="15D6AE8E"/>
    <w:rsid w:val="15E295D7"/>
    <w:rsid w:val="15E3BB94"/>
    <w:rsid w:val="1615C51E"/>
    <w:rsid w:val="1616AD3D"/>
    <w:rsid w:val="1635E2D6"/>
    <w:rsid w:val="16F23538"/>
    <w:rsid w:val="17062877"/>
    <w:rsid w:val="1728EFB5"/>
    <w:rsid w:val="17462607"/>
    <w:rsid w:val="178AA79A"/>
    <w:rsid w:val="17A1C123"/>
    <w:rsid w:val="17A855A4"/>
    <w:rsid w:val="17C3DD55"/>
    <w:rsid w:val="180E4F50"/>
    <w:rsid w:val="18108420"/>
    <w:rsid w:val="1826A334"/>
    <w:rsid w:val="182F7D84"/>
    <w:rsid w:val="1866CA7F"/>
    <w:rsid w:val="1880E555"/>
    <w:rsid w:val="18C82296"/>
    <w:rsid w:val="19278AAD"/>
    <w:rsid w:val="192DD42C"/>
    <w:rsid w:val="19C5C24D"/>
    <w:rsid w:val="1A08E77C"/>
    <w:rsid w:val="1A3A4EB0"/>
    <w:rsid w:val="1A8D7631"/>
    <w:rsid w:val="1AAA5791"/>
    <w:rsid w:val="1AC5323C"/>
    <w:rsid w:val="1B1FF79B"/>
    <w:rsid w:val="1B2E6539"/>
    <w:rsid w:val="1B33017B"/>
    <w:rsid w:val="1B4E9CA3"/>
    <w:rsid w:val="1B6BD2D4"/>
    <w:rsid w:val="1B911208"/>
    <w:rsid w:val="1C3B3470"/>
    <w:rsid w:val="1C5EDD34"/>
    <w:rsid w:val="1C8057D5"/>
    <w:rsid w:val="1C9E7F9B"/>
    <w:rsid w:val="1D15F187"/>
    <w:rsid w:val="1DB91D08"/>
    <w:rsid w:val="1DEA6B8A"/>
    <w:rsid w:val="1E226E6F"/>
    <w:rsid w:val="1E2F72F7"/>
    <w:rsid w:val="1E41F5A7"/>
    <w:rsid w:val="1E6D3695"/>
    <w:rsid w:val="1E71E91B"/>
    <w:rsid w:val="1E9E0E05"/>
    <w:rsid w:val="1EB94AE4"/>
    <w:rsid w:val="1EE8AAA1"/>
    <w:rsid w:val="1EE8BE88"/>
    <w:rsid w:val="1F018223"/>
    <w:rsid w:val="2066B97E"/>
    <w:rsid w:val="20ED4694"/>
    <w:rsid w:val="20F6F878"/>
    <w:rsid w:val="212E806D"/>
    <w:rsid w:val="21DAA2AE"/>
    <w:rsid w:val="220BA848"/>
    <w:rsid w:val="223D30B8"/>
    <w:rsid w:val="22845A93"/>
    <w:rsid w:val="2299E4CD"/>
    <w:rsid w:val="22A4B8EF"/>
    <w:rsid w:val="22AFF10A"/>
    <w:rsid w:val="22C0DCFE"/>
    <w:rsid w:val="22C27CAA"/>
    <w:rsid w:val="22C8FFB0"/>
    <w:rsid w:val="22CEEA43"/>
    <w:rsid w:val="22F5AB4F"/>
    <w:rsid w:val="22F86B52"/>
    <w:rsid w:val="23137373"/>
    <w:rsid w:val="2314EAA7"/>
    <w:rsid w:val="2319C116"/>
    <w:rsid w:val="234F8A55"/>
    <w:rsid w:val="2362D4C3"/>
    <w:rsid w:val="2376D911"/>
    <w:rsid w:val="23914E88"/>
    <w:rsid w:val="23A24965"/>
    <w:rsid w:val="23D4AEFE"/>
    <w:rsid w:val="23D7BB77"/>
    <w:rsid w:val="246CE7E6"/>
    <w:rsid w:val="24C191E6"/>
    <w:rsid w:val="250F45A9"/>
    <w:rsid w:val="2539B669"/>
    <w:rsid w:val="256174FF"/>
    <w:rsid w:val="257881E1"/>
    <w:rsid w:val="25C4A19B"/>
    <w:rsid w:val="25EE13DA"/>
    <w:rsid w:val="261A005D"/>
    <w:rsid w:val="263ED7DA"/>
    <w:rsid w:val="264A19B5"/>
    <w:rsid w:val="264C8ED1"/>
    <w:rsid w:val="265422B9"/>
    <w:rsid w:val="2676DBE6"/>
    <w:rsid w:val="2680B88A"/>
    <w:rsid w:val="2687FEE7"/>
    <w:rsid w:val="26AE1157"/>
    <w:rsid w:val="26D30C65"/>
    <w:rsid w:val="26F58731"/>
    <w:rsid w:val="27117E49"/>
    <w:rsid w:val="27839AD7"/>
    <w:rsid w:val="2799B3B7"/>
    <w:rsid w:val="279A0052"/>
    <w:rsid w:val="27B2B975"/>
    <w:rsid w:val="27C4739B"/>
    <w:rsid w:val="27CE8AC0"/>
    <w:rsid w:val="27F3F69D"/>
    <w:rsid w:val="2825E5D0"/>
    <w:rsid w:val="28394B37"/>
    <w:rsid w:val="283D17D6"/>
    <w:rsid w:val="284CBFED"/>
    <w:rsid w:val="28A051BE"/>
    <w:rsid w:val="28FE5E49"/>
    <w:rsid w:val="29047E5F"/>
    <w:rsid w:val="29071713"/>
    <w:rsid w:val="2908B305"/>
    <w:rsid w:val="2944D350"/>
    <w:rsid w:val="299160E9"/>
    <w:rsid w:val="2999678E"/>
    <w:rsid w:val="2A0095A0"/>
    <w:rsid w:val="2A36A4CF"/>
    <w:rsid w:val="2A5CBB92"/>
    <w:rsid w:val="2A90D567"/>
    <w:rsid w:val="2AE78EBC"/>
    <w:rsid w:val="2AFC5B34"/>
    <w:rsid w:val="2B0F5BA8"/>
    <w:rsid w:val="2B1ECFF3"/>
    <w:rsid w:val="2B8656C0"/>
    <w:rsid w:val="2B9138DA"/>
    <w:rsid w:val="2BA6D9EB"/>
    <w:rsid w:val="2BC177C5"/>
    <w:rsid w:val="2BC24F6F"/>
    <w:rsid w:val="2BCBB6F3"/>
    <w:rsid w:val="2BD1D0EB"/>
    <w:rsid w:val="2C368314"/>
    <w:rsid w:val="2C53BDED"/>
    <w:rsid w:val="2C576FEF"/>
    <w:rsid w:val="2CA20DF3"/>
    <w:rsid w:val="2CAB24C0"/>
    <w:rsid w:val="2CF1F1F0"/>
    <w:rsid w:val="2D2A713A"/>
    <w:rsid w:val="2D2D8A65"/>
    <w:rsid w:val="2D3B7943"/>
    <w:rsid w:val="2D50C699"/>
    <w:rsid w:val="2D5B1416"/>
    <w:rsid w:val="2D97E3CF"/>
    <w:rsid w:val="2DABFDC3"/>
    <w:rsid w:val="2E2948EC"/>
    <w:rsid w:val="2E769A83"/>
    <w:rsid w:val="2E9D8CDE"/>
    <w:rsid w:val="2EA66092"/>
    <w:rsid w:val="2EBC56C8"/>
    <w:rsid w:val="2F617F86"/>
    <w:rsid w:val="2F7B8CAB"/>
    <w:rsid w:val="2F9265D3"/>
    <w:rsid w:val="2FD303EC"/>
    <w:rsid w:val="2FE9775D"/>
    <w:rsid w:val="30075FFB"/>
    <w:rsid w:val="3069D7A3"/>
    <w:rsid w:val="309A165A"/>
    <w:rsid w:val="30F0D39A"/>
    <w:rsid w:val="31072A96"/>
    <w:rsid w:val="311BCDC6"/>
    <w:rsid w:val="3188DE55"/>
    <w:rsid w:val="31AD4171"/>
    <w:rsid w:val="31DB902C"/>
    <w:rsid w:val="32072A4D"/>
    <w:rsid w:val="3246CAA5"/>
    <w:rsid w:val="32920DF8"/>
    <w:rsid w:val="32CAA183"/>
    <w:rsid w:val="32D68A1A"/>
    <w:rsid w:val="3304AC89"/>
    <w:rsid w:val="33376391"/>
    <w:rsid w:val="33C0E12C"/>
    <w:rsid w:val="33D73AC1"/>
    <w:rsid w:val="33FE8562"/>
    <w:rsid w:val="342603DF"/>
    <w:rsid w:val="3435A0C4"/>
    <w:rsid w:val="34527CBF"/>
    <w:rsid w:val="346B7366"/>
    <w:rsid w:val="349939B4"/>
    <w:rsid w:val="351C2C8A"/>
    <w:rsid w:val="35288D87"/>
    <w:rsid w:val="3563B9F8"/>
    <w:rsid w:val="3589F104"/>
    <w:rsid w:val="35923F62"/>
    <w:rsid w:val="35AE7912"/>
    <w:rsid w:val="35B4A7BA"/>
    <w:rsid w:val="35CBAC4D"/>
    <w:rsid w:val="35F176B9"/>
    <w:rsid w:val="360FD129"/>
    <w:rsid w:val="36136C62"/>
    <w:rsid w:val="3614FFDB"/>
    <w:rsid w:val="36243BF4"/>
    <w:rsid w:val="366715B8"/>
    <w:rsid w:val="369D506F"/>
    <w:rsid w:val="36D71A88"/>
    <w:rsid w:val="36DAF809"/>
    <w:rsid w:val="37147833"/>
    <w:rsid w:val="3738837C"/>
    <w:rsid w:val="375BDF4D"/>
    <w:rsid w:val="376E9E0A"/>
    <w:rsid w:val="37A95E8A"/>
    <w:rsid w:val="37F1756C"/>
    <w:rsid w:val="380EC41B"/>
    <w:rsid w:val="380F6759"/>
    <w:rsid w:val="380F78C5"/>
    <w:rsid w:val="38317865"/>
    <w:rsid w:val="3839CADC"/>
    <w:rsid w:val="388A739E"/>
    <w:rsid w:val="389C9FE3"/>
    <w:rsid w:val="38AA084F"/>
    <w:rsid w:val="38FBB8AA"/>
    <w:rsid w:val="3922E82D"/>
    <w:rsid w:val="397542FA"/>
    <w:rsid w:val="397C3238"/>
    <w:rsid w:val="39811E15"/>
    <w:rsid w:val="3A04190B"/>
    <w:rsid w:val="3A882BF3"/>
    <w:rsid w:val="3ACFCDFD"/>
    <w:rsid w:val="3AFD18C3"/>
    <w:rsid w:val="3B25F5D8"/>
    <w:rsid w:val="3B382D4E"/>
    <w:rsid w:val="3B886A12"/>
    <w:rsid w:val="3B895A23"/>
    <w:rsid w:val="3BB054E0"/>
    <w:rsid w:val="3C359A61"/>
    <w:rsid w:val="3D236EDC"/>
    <w:rsid w:val="3D26B65D"/>
    <w:rsid w:val="3D2A4B62"/>
    <w:rsid w:val="3D3C45AA"/>
    <w:rsid w:val="3D454AAF"/>
    <w:rsid w:val="3E91EC61"/>
    <w:rsid w:val="3ECA0B4A"/>
    <w:rsid w:val="3ECCEAE4"/>
    <w:rsid w:val="3EF48364"/>
    <w:rsid w:val="3F014CB4"/>
    <w:rsid w:val="3F3EC6C7"/>
    <w:rsid w:val="3F4C29D2"/>
    <w:rsid w:val="3FC2F738"/>
    <w:rsid w:val="3FE8E96C"/>
    <w:rsid w:val="3FED516A"/>
    <w:rsid w:val="40286402"/>
    <w:rsid w:val="40346C63"/>
    <w:rsid w:val="4079079C"/>
    <w:rsid w:val="407DE1D2"/>
    <w:rsid w:val="407ED1B3"/>
    <w:rsid w:val="408EE308"/>
    <w:rsid w:val="408FD636"/>
    <w:rsid w:val="40F55427"/>
    <w:rsid w:val="410FCE3C"/>
    <w:rsid w:val="41252DCD"/>
    <w:rsid w:val="412A22F2"/>
    <w:rsid w:val="4140DD89"/>
    <w:rsid w:val="414CD4EC"/>
    <w:rsid w:val="41701838"/>
    <w:rsid w:val="41706A1C"/>
    <w:rsid w:val="419BD524"/>
    <w:rsid w:val="419DCCCC"/>
    <w:rsid w:val="422C792A"/>
    <w:rsid w:val="423F66BE"/>
    <w:rsid w:val="426436E8"/>
    <w:rsid w:val="42BA7302"/>
    <w:rsid w:val="431714F8"/>
    <w:rsid w:val="43326006"/>
    <w:rsid w:val="438F4676"/>
    <w:rsid w:val="43C025C2"/>
    <w:rsid w:val="43F37965"/>
    <w:rsid w:val="4430EEBF"/>
    <w:rsid w:val="4454539C"/>
    <w:rsid w:val="4476D18A"/>
    <w:rsid w:val="44C800CB"/>
    <w:rsid w:val="44DCD889"/>
    <w:rsid w:val="451C9B32"/>
    <w:rsid w:val="456DF470"/>
    <w:rsid w:val="45A1D270"/>
    <w:rsid w:val="45C31BCB"/>
    <w:rsid w:val="45D1019E"/>
    <w:rsid w:val="45D5BD19"/>
    <w:rsid w:val="4606809B"/>
    <w:rsid w:val="466AEA2D"/>
    <w:rsid w:val="46894E8D"/>
    <w:rsid w:val="46AE285C"/>
    <w:rsid w:val="46BC3CEB"/>
    <w:rsid w:val="47637259"/>
    <w:rsid w:val="48041076"/>
    <w:rsid w:val="482D2FF8"/>
    <w:rsid w:val="48A68C04"/>
    <w:rsid w:val="48FC16DD"/>
    <w:rsid w:val="49AB28F7"/>
    <w:rsid w:val="49B9E889"/>
    <w:rsid w:val="49E4C305"/>
    <w:rsid w:val="49FFB9C2"/>
    <w:rsid w:val="4A01E089"/>
    <w:rsid w:val="4A11FA0B"/>
    <w:rsid w:val="4A3EC7F8"/>
    <w:rsid w:val="4AE070FA"/>
    <w:rsid w:val="4B06B96B"/>
    <w:rsid w:val="4B19F3E3"/>
    <w:rsid w:val="4B333BFE"/>
    <w:rsid w:val="4B563CBE"/>
    <w:rsid w:val="4B7C0520"/>
    <w:rsid w:val="4BC2E7E3"/>
    <w:rsid w:val="4BD4CD7B"/>
    <w:rsid w:val="4C1F8866"/>
    <w:rsid w:val="4C38B663"/>
    <w:rsid w:val="4CB7EC17"/>
    <w:rsid w:val="4D105C0C"/>
    <w:rsid w:val="4D1E5384"/>
    <w:rsid w:val="4D3665DC"/>
    <w:rsid w:val="4D71E382"/>
    <w:rsid w:val="4D830106"/>
    <w:rsid w:val="4D9393BF"/>
    <w:rsid w:val="4DB080DE"/>
    <w:rsid w:val="4DB6BC9A"/>
    <w:rsid w:val="4E3CBCDA"/>
    <w:rsid w:val="4E4E3961"/>
    <w:rsid w:val="4E634468"/>
    <w:rsid w:val="4EB9E9A9"/>
    <w:rsid w:val="4F861EF3"/>
    <w:rsid w:val="4FE6CA8F"/>
    <w:rsid w:val="50976A2E"/>
    <w:rsid w:val="5133BEEE"/>
    <w:rsid w:val="51371C7D"/>
    <w:rsid w:val="514358F6"/>
    <w:rsid w:val="51F2E445"/>
    <w:rsid w:val="5237C3F0"/>
    <w:rsid w:val="525B0663"/>
    <w:rsid w:val="5261738A"/>
    <w:rsid w:val="52907739"/>
    <w:rsid w:val="52BD2B80"/>
    <w:rsid w:val="52C4C418"/>
    <w:rsid w:val="52C5BE30"/>
    <w:rsid w:val="52CBC753"/>
    <w:rsid w:val="530DAE47"/>
    <w:rsid w:val="5336F6C9"/>
    <w:rsid w:val="53389330"/>
    <w:rsid w:val="53511C8A"/>
    <w:rsid w:val="5391CBCF"/>
    <w:rsid w:val="53C50215"/>
    <w:rsid w:val="544B7E78"/>
    <w:rsid w:val="545916F4"/>
    <w:rsid w:val="547A3B2A"/>
    <w:rsid w:val="549DCFEB"/>
    <w:rsid w:val="549E417F"/>
    <w:rsid w:val="54A15079"/>
    <w:rsid w:val="54AA492B"/>
    <w:rsid w:val="54D3246C"/>
    <w:rsid w:val="5570FF86"/>
    <w:rsid w:val="559EF4C4"/>
    <w:rsid w:val="55CE73D0"/>
    <w:rsid w:val="55EA88CC"/>
    <w:rsid w:val="55F6DE95"/>
    <w:rsid w:val="55FF0A2E"/>
    <w:rsid w:val="562649F8"/>
    <w:rsid w:val="566BCED8"/>
    <w:rsid w:val="5671B83F"/>
    <w:rsid w:val="5692DE91"/>
    <w:rsid w:val="56D5B4EA"/>
    <w:rsid w:val="56E7644F"/>
    <w:rsid w:val="56F257CF"/>
    <w:rsid w:val="571F4BFB"/>
    <w:rsid w:val="57425503"/>
    <w:rsid w:val="57624310"/>
    <w:rsid w:val="57FE482E"/>
    <w:rsid w:val="58024BE2"/>
    <w:rsid w:val="5802D821"/>
    <w:rsid w:val="58218242"/>
    <w:rsid w:val="585B4B85"/>
    <w:rsid w:val="5872359D"/>
    <w:rsid w:val="5874D55F"/>
    <w:rsid w:val="587C263A"/>
    <w:rsid w:val="59735182"/>
    <w:rsid w:val="59BBE99D"/>
    <w:rsid w:val="5A325375"/>
    <w:rsid w:val="5A81981B"/>
    <w:rsid w:val="5A83A434"/>
    <w:rsid w:val="5A88D2BA"/>
    <w:rsid w:val="5AB90AA4"/>
    <w:rsid w:val="5B12D144"/>
    <w:rsid w:val="5B2A7D73"/>
    <w:rsid w:val="5BA37B46"/>
    <w:rsid w:val="5BBE6A6D"/>
    <w:rsid w:val="5BDB13BA"/>
    <w:rsid w:val="5BEDA87A"/>
    <w:rsid w:val="5C054DE9"/>
    <w:rsid w:val="5C0EB055"/>
    <w:rsid w:val="5C2BBF51"/>
    <w:rsid w:val="5C37680A"/>
    <w:rsid w:val="5C4BEBCD"/>
    <w:rsid w:val="5C60BAC1"/>
    <w:rsid w:val="5CC4F5F6"/>
    <w:rsid w:val="5CCF4D0C"/>
    <w:rsid w:val="5D03202D"/>
    <w:rsid w:val="5D1E1A99"/>
    <w:rsid w:val="5D2E2CFA"/>
    <w:rsid w:val="5D443D8A"/>
    <w:rsid w:val="5D4E838E"/>
    <w:rsid w:val="5D5DF1FC"/>
    <w:rsid w:val="5DAAC3A1"/>
    <w:rsid w:val="5E2613AE"/>
    <w:rsid w:val="5E40DC16"/>
    <w:rsid w:val="5E652563"/>
    <w:rsid w:val="5E6BBD69"/>
    <w:rsid w:val="5E85B51C"/>
    <w:rsid w:val="5ECCD064"/>
    <w:rsid w:val="5ED0CAA8"/>
    <w:rsid w:val="5EDDA96B"/>
    <w:rsid w:val="5F4A25EB"/>
    <w:rsid w:val="5F945E32"/>
    <w:rsid w:val="5F95CBBC"/>
    <w:rsid w:val="5FCC4C16"/>
    <w:rsid w:val="600759E7"/>
    <w:rsid w:val="60416D3E"/>
    <w:rsid w:val="604A520F"/>
    <w:rsid w:val="60F9B4CF"/>
    <w:rsid w:val="611D64B6"/>
    <w:rsid w:val="6122F03A"/>
    <w:rsid w:val="614BAECB"/>
    <w:rsid w:val="6197D69E"/>
    <w:rsid w:val="61B58936"/>
    <w:rsid w:val="61C299D9"/>
    <w:rsid w:val="6230EC71"/>
    <w:rsid w:val="625E13F5"/>
    <w:rsid w:val="625F26E6"/>
    <w:rsid w:val="62ACF42D"/>
    <w:rsid w:val="62C67FB6"/>
    <w:rsid w:val="62D908E8"/>
    <w:rsid w:val="62E97BA5"/>
    <w:rsid w:val="62FD9848"/>
    <w:rsid w:val="63292764"/>
    <w:rsid w:val="633BA385"/>
    <w:rsid w:val="6357FDCA"/>
    <w:rsid w:val="6450F5E1"/>
    <w:rsid w:val="6451A163"/>
    <w:rsid w:val="64604529"/>
    <w:rsid w:val="646F6187"/>
    <w:rsid w:val="647AFD1A"/>
    <w:rsid w:val="64804D53"/>
    <w:rsid w:val="64BE4776"/>
    <w:rsid w:val="64ECA29E"/>
    <w:rsid w:val="64F86084"/>
    <w:rsid w:val="65423D22"/>
    <w:rsid w:val="659EA5E7"/>
    <w:rsid w:val="65E139C4"/>
    <w:rsid w:val="65E2BC79"/>
    <w:rsid w:val="6615DE47"/>
    <w:rsid w:val="661D6A8B"/>
    <w:rsid w:val="66362F58"/>
    <w:rsid w:val="665C07C9"/>
    <w:rsid w:val="665C6142"/>
    <w:rsid w:val="66B35D6D"/>
    <w:rsid w:val="66D9B208"/>
    <w:rsid w:val="66EBFFE8"/>
    <w:rsid w:val="66EC2264"/>
    <w:rsid w:val="66F6E6FD"/>
    <w:rsid w:val="66FC61B9"/>
    <w:rsid w:val="675C56FC"/>
    <w:rsid w:val="67899E65"/>
    <w:rsid w:val="67AA313D"/>
    <w:rsid w:val="67AB6589"/>
    <w:rsid w:val="67B3ACD6"/>
    <w:rsid w:val="67E2D569"/>
    <w:rsid w:val="6853D861"/>
    <w:rsid w:val="68540275"/>
    <w:rsid w:val="688A4D6A"/>
    <w:rsid w:val="68C25214"/>
    <w:rsid w:val="68C4DDB0"/>
    <w:rsid w:val="68CDFDF8"/>
    <w:rsid w:val="68DCF641"/>
    <w:rsid w:val="69426112"/>
    <w:rsid w:val="694E680E"/>
    <w:rsid w:val="6954B276"/>
    <w:rsid w:val="69906047"/>
    <w:rsid w:val="699DE01C"/>
    <w:rsid w:val="69A3B5FA"/>
    <w:rsid w:val="69FD31E9"/>
    <w:rsid w:val="6A23DA35"/>
    <w:rsid w:val="6A24BE3F"/>
    <w:rsid w:val="6A3888F4"/>
    <w:rsid w:val="6B3E213C"/>
    <w:rsid w:val="6B3ECA19"/>
    <w:rsid w:val="6B69974F"/>
    <w:rsid w:val="6B8F75BD"/>
    <w:rsid w:val="6BF55E17"/>
    <w:rsid w:val="6C10DEED"/>
    <w:rsid w:val="6C3BE2AD"/>
    <w:rsid w:val="6C69BA9A"/>
    <w:rsid w:val="6C9281F6"/>
    <w:rsid w:val="6D037B3A"/>
    <w:rsid w:val="6D6AE9FE"/>
    <w:rsid w:val="6D6E5E67"/>
    <w:rsid w:val="6DB3B361"/>
    <w:rsid w:val="6DC8B73F"/>
    <w:rsid w:val="6DE92C4C"/>
    <w:rsid w:val="6E81516E"/>
    <w:rsid w:val="6E925A42"/>
    <w:rsid w:val="6EB86744"/>
    <w:rsid w:val="6F19DD0B"/>
    <w:rsid w:val="6F4B68DC"/>
    <w:rsid w:val="6F647C5E"/>
    <w:rsid w:val="6F782C10"/>
    <w:rsid w:val="6F792EEC"/>
    <w:rsid w:val="6F7C75FF"/>
    <w:rsid w:val="6FCAEF03"/>
    <w:rsid w:val="7000E0CD"/>
    <w:rsid w:val="70060E41"/>
    <w:rsid w:val="70198720"/>
    <w:rsid w:val="7091F930"/>
    <w:rsid w:val="70BB7F0E"/>
    <w:rsid w:val="70D3B9D1"/>
    <w:rsid w:val="70E1B07F"/>
    <w:rsid w:val="70E5CC7D"/>
    <w:rsid w:val="717B8113"/>
    <w:rsid w:val="7199E1AA"/>
    <w:rsid w:val="72110EB3"/>
    <w:rsid w:val="722DEF5B"/>
    <w:rsid w:val="72908C70"/>
    <w:rsid w:val="72A2A232"/>
    <w:rsid w:val="733A448E"/>
    <w:rsid w:val="73482FE0"/>
    <w:rsid w:val="7351E9B7"/>
    <w:rsid w:val="736080A4"/>
    <w:rsid w:val="73A2E1C9"/>
    <w:rsid w:val="74504A46"/>
    <w:rsid w:val="745354F0"/>
    <w:rsid w:val="7479B1FC"/>
    <w:rsid w:val="7479CB93"/>
    <w:rsid w:val="74D65892"/>
    <w:rsid w:val="74F5BE68"/>
    <w:rsid w:val="7553A4FB"/>
    <w:rsid w:val="75958139"/>
    <w:rsid w:val="75F7CC7D"/>
    <w:rsid w:val="760B3A66"/>
    <w:rsid w:val="76122337"/>
    <w:rsid w:val="7622A1EE"/>
    <w:rsid w:val="764AA710"/>
    <w:rsid w:val="7665ACAE"/>
    <w:rsid w:val="76999233"/>
    <w:rsid w:val="76A6E536"/>
    <w:rsid w:val="76F92F19"/>
    <w:rsid w:val="7736A25C"/>
    <w:rsid w:val="7750638C"/>
    <w:rsid w:val="7758EA16"/>
    <w:rsid w:val="776C2C60"/>
    <w:rsid w:val="77818C08"/>
    <w:rsid w:val="77CDFE10"/>
    <w:rsid w:val="77EFB612"/>
    <w:rsid w:val="780BD701"/>
    <w:rsid w:val="78A178E0"/>
    <w:rsid w:val="78E96CAE"/>
    <w:rsid w:val="78FF64AF"/>
    <w:rsid w:val="79451897"/>
    <w:rsid w:val="79577DAA"/>
    <w:rsid w:val="79FC9A16"/>
    <w:rsid w:val="7A2D0057"/>
    <w:rsid w:val="7A326ED4"/>
    <w:rsid w:val="7AB497B3"/>
    <w:rsid w:val="7AF4B5B5"/>
    <w:rsid w:val="7B6492E7"/>
    <w:rsid w:val="7B8B4635"/>
    <w:rsid w:val="7B913FB1"/>
    <w:rsid w:val="7B9DC150"/>
    <w:rsid w:val="7BDDEFB1"/>
    <w:rsid w:val="7C0B7AE2"/>
    <w:rsid w:val="7C0F6815"/>
    <w:rsid w:val="7C29C934"/>
    <w:rsid w:val="7C2EC806"/>
    <w:rsid w:val="7C6715EC"/>
    <w:rsid w:val="7C718A92"/>
    <w:rsid w:val="7CE31ED8"/>
    <w:rsid w:val="7D2D6B83"/>
    <w:rsid w:val="7D4DD9CF"/>
    <w:rsid w:val="7D6450AC"/>
    <w:rsid w:val="7D6ABCF5"/>
    <w:rsid w:val="7D705E21"/>
    <w:rsid w:val="7D85F278"/>
    <w:rsid w:val="7DC0A3AA"/>
    <w:rsid w:val="7DDEA03C"/>
    <w:rsid w:val="7E263E90"/>
    <w:rsid w:val="7E832A71"/>
    <w:rsid w:val="7EB9EEA7"/>
    <w:rsid w:val="7F442BE0"/>
    <w:rsid w:val="7F4F7747"/>
    <w:rsid w:val="7F77728F"/>
    <w:rsid w:val="7F857A47"/>
    <w:rsid w:val="7F9D294E"/>
    <w:rsid w:val="7FA0DE8B"/>
    <w:rsid w:val="7FB6D2B9"/>
    <w:rsid w:val="7FBB9BDB"/>
    <w:rsid w:val="7FBF45A1"/>
    <w:rsid w:val="7FF6F3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1F906"/>
  <w15:docId w15:val="{579E4777-7185-4046-B38E-B8FE5890D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F533E"/>
  </w:style>
  <w:style w:type="paragraph" w:styleId="Heading1">
    <w:name w:val="heading 1"/>
    <w:basedOn w:val="Normal"/>
    <w:next w:val="BodyText"/>
    <w:uiPriority w:val="9"/>
    <w:qFormat/>
    <w:rsid w:val="00167C71"/>
    <w:pPr>
      <w:keepNext/>
      <w:keepLines/>
      <w:spacing w:before="480" w:after="0" w:line="480" w:lineRule="auto"/>
      <w:outlineLvl w:val="0"/>
    </w:pPr>
    <w:rPr>
      <w:rFonts w:ascii="Times New Roman" w:eastAsiaTheme="majorEastAsia" w:hAnsi="Times New Roman" w:cstheme="majorBidi"/>
      <w:b/>
      <w:bCs/>
      <w:color w:val="000000" w:themeColor="text1"/>
      <w:szCs w:val="32"/>
    </w:rPr>
  </w:style>
  <w:style w:type="paragraph" w:styleId="Heading2">
    <w:name w:val="heading 2"/>
    <w:basedOn w:val="Normal"/>
    <w:next w:val="BodyText"/>
    <w:uiPriority w:val="9"/>
    <w:unhideWhenUsed/>
    <w:qFormat/>
    <w:rsid w:val="00F927A3"/>
    <w:pPr>
      <w:keepNext/>
      <w:keepLines/>
      <w:spacing w:before="200" w:after="0" w:line="480" w:lineRule="auto"/>
      <w:outlineLvl w:val="1"/>
    </w:pPr>
    <w:rPr>
      <w:rFonts w:ascii="Times New Roman" w:eastAsiaTheme="majorEastAsia" w:hAnsi="Times New Roman" w:cstheme="majorBidi"/>
      <w:b/>
      <w:bCs/>
      <w:color w:val="000000" w:themeColor="text1"/>
      <w:szCs w:val="28"/>
    </w:rPr>
  </w:style>
  <w:style w:type="paragraph" w:styleId="Heading3">
    <w:name w:val="heading 3"/>
    <w:basedOn w:val="Normal"/>
    <w:next w:val="BodyText"/>
    <w:uiPriority w:val="9"/>
    <w:unhideWhenUsed/>
    <w:qFormat/>
    <w:rsid w:val="00FE1E5C"/>
    <w:pPr>
      <w:keepNext/>
      <w:keepLines/>
      <w:spacing w:before="200" w:after="0"/>
      <w:outlineLvl w:val="2"/>
    </w:pPr>
    <w:rPr>
      <w:rFonts w:ascii="Times New Roman" w:eastAsiaTheme="majorEastAsia" w:hAnsi="Times New Roman" w:cstheme="majorBidi"/>
      <w:bCs/>
      <w:i/>
      <w:color w:val="000000" w:themeColor="tex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67C71"/>
    <w:pPr>
      <w:spacing w:before="180" w:after="180" w:line="480" w:lineRule="auto"/>
    </w:pPr>
    <w:rPr>
      <w:rFonts w:ascii="Times New Roman" w:hAnsi="Times New Roman"/>
    </w:rPr>
  </w:style>
  <w:style w:type="paragraph" w:customStyle="1" w:styleId="FirstParagraph">
    <w:name w:val="First Paragraph"/>
    <w:basedOn w:val="BodyText"/>
    <w:next w:val="BodyText"/>
    <w:qFormat/>
    <w:rsid w:val="00167C71"/>
  </w:style>
  <w:style w:type="paragraph" w:customStyle="1" w:styleId="Compact">
    <w:name w:val="Compact"/>
    <w:basedOn w:val="BodyText"/>
    <w:qFormat/>
    <w:pPr>
      <w:spacing w:before="36" w:after="36"/>
    </w:pPr>
  </w:style>
  <w:style w:type="paragraph" w:styleId="Title">
    <w:name w:val="Title"/>
    <w:basedOn w:val="Normal"/>
    <w:next w:val="BodyText"/>
    <w:qFormat/>
    <w:rsid w:val="00167C71"/>
    <w:pPr>
      <w:keepNext/>
      <w:keepLines/>
      <w:spacing w:before="360" w:after="120"/>
    </w:pPr>
    <w:rPr>
      <w:rFonts w:ascii="Times New Roman" w:eastAsiaTheme="majorEastAsia" w:hAnsi="Times New Roman" w:cstheme="majorBidi"/>
      <w:bCs/>
      <w:color w:val="000000" w:themeColor="text1"/>
      <w:szCs w:val="36"/>
    </w:rPr>
  </w:style>
  <w:style w:type="paragraph" w:styleId="Subtitle">
    <w:name w:val="Subtitle"/>
    <w:basedOn w:val="Title"/>
    <w:next w:val="BodyText"/>
    <w:qFormat/>
    <w:rsid w:val="00167C71"/>
    <w:pPr>
      <w:spacing w:before="120"/>
    </w:pPr>
    <w:rPr>
      <w:szCs w:val="30"/>
    </w:rPr>
  </w:style>
  <w:style w:type="paragraph" w:customStyle="1" w:styleId="Author">
    <w:name w:val="Author"/>
    <w:next w:val="BodyText"/>
    <w:qFormat/>
    <w:rsid w:val="00167C71"/>
    <w:pPr>
      <w:keepNext/>
      <w:keepLines/>
      <w:spacing w:after="80"/>
    </w:pPr>
    <w:rPr>
      <w:rFonts w:ascii="Times New Roman" w:hAnsi="Times New Roman"/>
    </w:rPr>
  </w:style>
  <w:style w:type="paragraph" w:styleId="Date">
    <w:name w:val="Date"/>
    <w:next w:val="BodyText"/>
    <w:qFormat/>
    <w:rsid w:val="00167C71"/>
    <w:pPr>
      <w:keepNext/>
      <w:keepLines/>
      <w:spacing w:after="80"/>
    </w:pPr>
    <w:rPr>
      <w:rFonts w:ascii="Times New Roman" w:hAnsi="Times New Roman"/>
    </w:rPr>
  </w:style>
  <w:style w:type="paragraph" w:customStyle="1" w:styleId="Abstract">
    <w:name w:val="Abstract"/>
    <w:basedOn w:val="Normal"/>
    <w:next w:val="BodyText"/>
    <w:qFormat/>
    <w:rsid w:val="00167C71"/>
    <w:pPr>
      <w:keepNext/>
      <w:keepLines/>
      <w:spacing w:after="0" w:line="480" w:lineRule="auto"/>
    </w:pPr>
    <w:rPr>
      <w:rFonts w:ascii="Times New Roman" w:hAnsi="Times New Roman"/>
      <w:szCs w:val="20"/>
    </w:rPr>
  </w:style>
  <w:style w:type="paragraph" w:styleId="Bibliography">
    <w:name w:val="Bibliography"/>
    <w:basedOn w:val="Normal"/>
    <w:qFormat/>
    <w:rsid w:val="0030190A"/>
    <w:pPr>
      <w:spacing w:after="0" w:line="480" w:lineRule="auto"/>
      <w:ind w:left="720" w:hanging="720"/>
    </w:pPr>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08670E"/>
    <w:rPr>
      <w:rFonts w:ascii="Times New Roman" w:hAnsi="Times New Roman"/>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7545A8"/>
    <w:pPr>
      <w:keepNext/>
      <w:keepLines/>
      <w:spacing w:after="0"/>
    </w:pPr>
    <w:rPr>
      <w:rFonts w:ascii="Times New Roman" w:hAnsi="Times New Roman"/>
      <w:b/>
    </w:rPr>
  </w:style>
  <w:style w:type="paragraph" w:customStyle="1" w:styleId="Definition">
    <w:name w:val="Definition"/>
    <w:basedOn w:val="Normal"/>
    <w:rsid w:val="007545A8"/>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167C71"/>
    <w:pPr>
      <w:keepNext/>
    </w:pPr>
    <w:rPr>
      <w:rFonts w:ascii="Times New Roman" w:hAnsi="Times New Roman"/>
      <w:i w:val="0"/>
    </w:rPr>
  </w:style>
  <w:style w:type="paragraph" w:customStyle="1" w:styleId="ImageCaption">
    <w:name w:val="Image Caption"/>
    <w:basedOn w:val="Caption"/>
    <w:rsid w:val="00167C71"/>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Pr>
      <w:rFonts w:ascii="Times New Roman" w:hAnsi="Times New Roman"/>
      <w:sz w:val="24"/>
    </w:rPr>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rPr>
      <w:rFonts w:ascii="Times New Roman" w:hAnsi="Times New Roman"/>
      <w:sz w:val="24"/>
    </w:rPr>
  </w:style>
  <w:style w:type="character" w:styleId="FootnoteReference">
    <w:name w:val="footnote reference"/>
    <w:basedOn w:val="CaptionChar"/>
    <w:rsid w:val="007545A8"/>
    <w:rPr>
      <w:rFonts w:ascii="Times New Roman" w:hAnsi="Times New Roman"/>
      <w:sz w:val="24"/>
      <w:vertAlign w:val="superscript"/>
    </w:rPr>
  </w:style>
  <w:style w:type="character" w:styleId="Hyperlink">
    <w:name w:val="Hyperlink"/>
    <w:basedOn w:val="CaptionChar"/>
    <w:rPr>
      <w:rFonts w:ascii="Times New Roman" w:hAnsi="Times New Roman"/>
      <w:color w:val="4F81BD" w:themeColor="accent1"/>
      <w:sz w:val="24"/>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styleId="Footer">
    <w:name w:val="footer"/>
    <w:basedOn w:val="Normal"/>
    <w:link w:val="FooterChar"/>
    <w:rsid w:val="00167C71"/>
    <w:pPr>
      <w:tabs>
        <w:tab w:val="center" w:pos="4680"/>
        <w:tab w:val="right" w:pos="9360"/>
      </w:tabs>
      <w:spacing w:after="0"/>
    </w:pPr>
  </w:style>
  <w:style w:type="character" w:customStyle="1" w:styleId="FooterChar">
    <w:name w:val="Footer Char"/>
    <w:basedOn w:val="DefaultParagraphFont"/>
    <w:link w:val="Footer"/>
    <w:rsid w:val="00167C71"/>
    <w:rPr>
      <w:rFonts w:ascii="Times New Roman" w:hAnsi="Times New Roman"/>
      <w:sz w:val="24"/>
    </w:rPr>
  </w:style>
  <w:style w:type="character" w:styleId="PageNumber">
    <w:name w:val="page number"/>
    <w:basedOn w:val="DefaultParagraphFont"/>
    <w:rsid w:val="00167C71"/>
    <w:rPr>
      <w:rFonts w:ascii="Times New Roman" w:hAnsi="Times New Roman"/>
      <w:sz w:val="24"/>
    </w:rPr>
  </w:style>
  <w:style w:type="character" w:styleId="LineNumber">
    <w:name w:val="line number"/>
    <w:basedOn w:val="DefaultParagraphFont"/>
    <w:rsid w:val="00167C71"/>
    <w:rPr>
      <w:rFonts w:ascii="Times New Roman" w:hAnsi="Times New Roman"/>
      <w:sz w:val="24"/>
    </w:rPr>
  </w:style>
  <w:style w:type="paragraph" w:styleId="TableofAuthorities">
    <w:name w:val="table of authorities"/>
    <w:basedOn w:val="Normal"/>
    <w:next w:val="Normal"/>
    <w:rsid w:val="007545A8"/>
    <w:pPr>
      <w:spacing w:after="0"/>
      <w:ind w:left="240" w:hanging="240"/>
    </w:pPr>
    <w:rPr>
      <w:rFonts w:ascii="Times New Roman" w:hAnsi="Times New Roman"/>
    </w:rPr>
  </w:style>
  <w:style w:type="paragraph" w:styleId="BodyText2">
    <w:name w:val="Body Text 2"/>
    <w:basedOn w:val="Normal"/>
    <w:link w:val="BodyText2Char"/>
    <w:rsid w:val="00FA047F"/>
    <w:pPr>
      <w:spacing w:after="120" w:line="480" w:lineRule="auto"/>
    </w:pPr>
    <w:rPr>
      <w:rFonts w:ascii="Times New Roman" w:hAnsi="Times New Roman"/>
    </w:rPr>
  </w:style>
  <w:style w:type="character" w:customStyle="1" w:styleId="BodyText2Char">
    <w:name w:val="Body Text 2 Char"/>
    <w:basedOn w:val="DefaultParagraphFont"/>
    <w:link w:val="BodyText2"/>
    <w:rsid w:val="00FA047F"/>
    <w:rPr>
      <w:rFonts w:ascii="Times New Roman" w:hAnsi="Times New Roman"/>
    </w:rPr>
  </w:style>
  <w:style w:type="character" w:styleId="EndnoteReference">
    <w:name w:val="endnote reference"/>
    <w:basedOn w:val="DefaultParagraphFont"/>
    <w:rsid w:val="0030190A"/>
    <w:rPr>
      <w:rFonts w:ascii="Times New Roman" w:hAnsi="Times New Roman"/>
      <w:sz w:val="24"/>
      <w:vertAlign w:val="superscript"/>
    </w:rPr>
  </w:style>
  <w:style w:type="character" w:styleId="PlaceholderText">
    <w:name w:val="Placeholder Text"/>
    <w:basedOn w:val="DefaultParagraphFont"/>
    <w:rsid w:val="00D373F1"/>
    <w:rPr>
      <w:color w:val="666666"/>
    </w:rPr>
  </w:style>
  <w:style w:type="paragraph" w:customStyle="1" w:styleId="Equation">
    <w:name w:val="Equation"/>
    <w:basedOn w:val="Normal"/>
    <w:qFormat/>
    <w:rsid w:val="00FA047F"/>
    <w:rPr>
      <w:rFonts w:ascii="Times New Roman" w:hAnsi="Times New Roman"/>
      <w:i/>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CommentReference">
    <w:name w:val="annotation reference"/>
    <w:basedOn w:val="DefaultParagraphFont"/>
    <w:rsid w:val="00B20A83"/>
    <w:rPr>
      <w:sz w:val="16"/>
      <w:szCs w:val="16"/>
    </w:rPr>
  </w:style>
  <w:style w:type="paragraph" w:styleId="CommentText">
    <w:name w:val="annotation text"/>
    <w:basedOn w:val="Normal"/>
    <w:link w:val="CommentTextChar"/>
    <w:rsid w:val="00B20A83"/>
    <w:rPr>
      <w:sz w:val="20"/>
      <w:szCs w:val="20"/>
    </w:rPr>
  </w:style>
  <w:style w:type="character" w:customStyle="1" w:styleId="CommentTextChar">
    <w:name w:val="Comment Text Char"/>
    <w:basedOn w:val="DefaultParagraphFont"/>
    <w:link w:val="CommentText"/>
    <w:rsid w:val="00B20A83"/>
    <w:rPr>
      <w:sz w:val="20"/>
      <w:szCs w:val="20"/>
    </w:rPr>
  </w:style>
  <w:style w:type="paragraph" w:styleId="CommentSubject">
    <w:name w:val="annotation subject"/>
    <w:basedOn w:val="CommentText"/>
    <w:next w:val="CommentText"/>
    <w:link w:val="CommentSubjectChar"/>
    <w:rsid w:val="00B20A83"/>
    <w:rPr>
      <w:b/>
      <w:bCs/>
    </w:rPr>
  </w:style>
  <w:style w:type="character" w:customStyle="1" w:styleId="CommentSubjectChar">
    <w:name w:val="Comment Subject Char"/>
    <w:basedOn w:val="CommentTextChar"/>
    <w:link w:val="CommentSubject"/>
    <w:rsid w:val="00B20A83"/>
    <w:rPr>
      <w:b/>
      <w:bCs/>
      <w:sz w:val="20"/>
      <w:szCs w:val="20"/>
    </w:rPr>
  </w:style>
  <w:style w:type="paragraph" w:styleId="Revision">
    <w:name w:val="Revision"/>
    <w:hidden/>
    <w:rsid w:val="006B595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5" Type="http://schemas.openxmlformats.org/officeDocument/2006/relationships/footer" Target="footer1.xml"/><Relationship Id="rId10" Type="http://schemas.microsoft.com/office/2018/08/relationships/commentsExtensible" Target="commentsExtensible.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275</TotalTime>
  <Pages>38</Pages>
  <Words>45535</Words>
  <Characters>259550</Characters>
  <Application>Microsoft Office Word</Application>
  <DocSecurity>0</DocSecurity>
  <Lines>2162</Lines>
  <Paragraphs>608</Paragraphs>
  <ScaleCrop>false</ScaleCrop>
  <HeadingPairs>
    <vt:vector size="2" baseType="variant">
      <vt:variant>
        <vt:lpstr>Title</vt:lpstr>
      </vt:variant>
      <vt:variant>
        <vt:i4>1</vt:i4>
      </vt:variant>
    </vt:vector>
  </HeadingPairs>
  <TitlesOfParts>
    <vt:vector size="1" baseType="lpstr">
      <vt:lpstr>Title: The relationship between an avian seed disperser and seed availability in the Southwest USA is lagged and dependent on climate and habitat context</vt:lpstr>
    </vt:vector>
  </TitlesOfParts>
  <Company/>
  <LinksUpToDate>false</LinksUpToDate>
  <CharactersWithSpaces>304477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The relationship between an avian seed disperser and seed availability in the Southwest USA is lagged and dependent on climate and habitat context</dc:title>
  <dc:creator>Ana Miller-ter Kuile</dc:creator>
  <cp:keywords/>
  <cp:lastModifiedBy>Ana Miller-ter Kuile</cp:lastModifiedBy>
  <cp:revision>25</cp:revision>
  <dcterms:created xsi:type="dcterms:W3CDTF">2025-08-14T16:19:00Z</dcterms:created>
  <dcterms:modified xsi:type="dcterms:W3CDTF">2025-08-19T22:44:00Z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journal-of-animal-ecology.csl</vt:lpwstr>
  </property>
  <property fmtid="{D5CDD505-2E9C-101B-9397-08002B2CF9AE}" pid="5" name="editor">
    <vt:lpwstr>visual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y fmtid="{D5CDD505-2E9C-101B-9397-08002B2CF9AE}" pid="11" name="ZOTERO_PREF_1">
    <vt:lpwstr>&lt;data data-version="3" zotero-version="7.0.24"&gt;&lt;session id="YG4pxwae"/&gt;&lt;style id="http://www.zotero.org/styles/journal-of-animal-ecology" hasBibliography="1" bibliographyStyleHasBeenSet="1"/&gt;&lt;prefs&gt;&lt;pref name="fieldType" value="Field"/&gt;&lt;/prefs&gt;&lt;/data&gt;</vt:lpwstr>
  </property>
</Properties>
</file>