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9A0E9" w14:textId="4D9E615D" w:rsidR="009714DB" w:rsidRDefault="2E9D8CDE" w:rsidP="00EC0CE3">
      <w:pPr>
        <w:pStyle w:val="Title"/>
      </w:pPr>
      <w:bookmarkStart w:id="0" w:name="materials-and-methods"/>
      <w:r w:rsidRPr="008F3C99">
        <w:rPr>
          <w:rFonts w:cs="Times New Roman"/>
          <w:b/>
        </w:rPr>
        <w:t>Title:</w:t>
      </w:r>
      <w:r w:rsidRPr="008F3C99">
        <w:rPr>
          <w:rFonts w:cs="Times New Roman"/>
        </w:rPr>
        <w:t xml:space="preserve"> </w:t>
      </w:r>
      <w:r w:rsidR="46AE285C" w:rsidRPr="008F3C99">
        <w:rPr>
          <w:rFonts w:cs="Times New Roman"/>
          <w:bCs w:val="0"/>
          <w:szCs w:val="24"/>
        </w:rPr>
        <w:t xml:space="preserve"> </w:t>
      </w:r>
      <w:r w:rsidR="009714DB">
        <w:t xml:space="preserve">Caching in: A seed dispersal mutualism </w:t>
      </w:r>
      <w:r w:rsidR="007E7371">
        <w:t>signals the decline of a songbird-pine system</w:t>
      </w:r>
    </w:p>
    <w:p w14:paraId="62630378" w14:textId="77777777" w:rsidR="007E7371" w:rsidRPr="007E7371" w:rsidRDefault="007E7371" w:rsidP="007E7371">
      <w:pPr>
        <w:pStyle w:val="BodyText"/>
      </w:pPr>
    </w:p>
    <w:p w14:paraId="12ECABA7" w14:textId="185B6AB7" w:rsidR="00A63129" w:rsidRPr="008F3C99" w:rsidRDefault="2E9D8CDE" w:rsidP="002F4A30">
      <w:pPr>
        <w:rPr>
          <w:rFonts w:ascii="Times New Roman" w:hAnsi="Times New Roman" w:cs="Times New Roman"/>
        </w:rPr>
      </w:pPr>
      <w:r w:rsidRPr="008F3C99">
        <w:rPr>
          <w:rFonts w:ascii="Times New Roman" w:hAnsi="Times New Roman" w:cs="Times New Roman"/>
          <w:b/>
          <w:bCs/>
        </w:rPr>
        <w:t xml:space="preserve">Author </w:t>
      </w:r>
      <w:r w:rsidR="7C2EC806" w:rsidRPr="008F3C99">
        <w:rPr>
          <w:rFonts w:ascii="Times New Roman" w:hAnsi="Times New Roman" w:cs="Times New Roman"/>
          <w:b/>
          <w:bCs/>
        </w:rPr>
        <w:t>L</w:t>
      </w:r>
      <w:r w:rsidRPr="008F3C99">
        <w:rPr>
          <w:rFonts w:ascii="Times New Roman" w:hAnsi="Times New Roman" w:cs="Times New Roman"/>
          <w:b/>
          <w:bCs/>
        </w:rPr>
        <w:t>ist</w:t>
      </w:r>
      <w:r w:rsidRPr="008F3C99">
        <w:rPr>
          <w:rFonts w:ascii="Times New Roman" w:hAnsi="Times New Roman" w:cs="Times New Roman"/>
        </w:rPr>
        <w:t>: Ana Miller-ter Kuile</w:t>
      </w:r>
      <w:r w:rsidRPr="008F3C99">
        <w:rPr>
          <w:rFonts w:ascii="Times New Roman" w:hAnsi="Times New Roman" w:cs="Times New Roman"/>
          <w:vertAlign w:val="superscript"/>
        </w:rPr>
        <w:t>1,2</w:t>
      </w:r>
      <w:r w:rsidRPr="008F3C99">
        <w:rPr>
          <w:rFonts w:ascii="Times New Roman" w:hAnsi="Times New Roman" w:cs="Times New Roman"/>
        </w:rPr>
        <w:t>, Andreas</w:t>
      </w:r>
      <w:r w:rsidR="0AB545A8" w:rsidRPr="008F3C99">
        <w:rPr>
          <w:rFonts w:ascii="Times New Roman" w:hAnsi="Times New Roman" w:cs="Times New Roman"/>
        </w:rPr>
        <w:t xml:space="preserve"> P.</w:t>
      </w:r>
      <w:r w:rsidRPr="008F3C99">
        <w:rPr>
          <w:rFonts w:ascii="Times New Roman" w:hAnsi="Times New Roman" w:cs="Times New Roman"/>
        </w:rPr>
        <w:t xml:space="preserve"> Wion</w:t>
      </w:r>
      <w:r w:rsidRPr="008F3C99">
        <w:rPr>
          <w:rFonts w:ascii="Times New Roman" w:hAnsi="Times New Roman" w:cs="Times New Roman"/>
          <w:vertAlign w:val="superscript"/>
        </w:rPr>
        <w:t>3</w:t>
      </w:r>
      <w:r w:rsidRPr="008F3C99">
        <w:rPr>
          <w:rFonts w:ascii="Times New Roman" w:hAnsi="Times New Roman" w:cs="Times New Roman"/>
        </w:rPr>
        <w:t xml:space="preserve">, Kyle </w:t>
      </w:r>
      <w:r w:rsidR="64ECA29E" w:rsidRPr="008F3C99">
        <w:rPr>
          <w:rFonts w:ascii="Times New Roman" w:hAnsi="Times New Roman" w:cs="Times New Roman"/>
        </w:rPr>
        <w:t xml:space="preserve">C. </w:t>
      </w:r>
      <w:r w:rsidRPr="008F3C99">
        <w:rPr>
          <w:rFonts w:ascii="Times New Roman" w:hAnsi="Times New Roman" w:cs="Times New Roman"/>
        </w:rPr>
        <w:t>Rodman</w:t>
      </w:r>
      <w:r w:rsidRPr="008F3C99">
        <w:rPr>
          <w:rFonts w:ascii="Times New Roman" w:hAnsi="Times New Roman" w:cs="Times New Roman"/>
          <w:vertAlign w:val="superscript"/>
        </w:rPr>
        <w:t>4</w:t>
      </w:r>
      <w:r w:rsidRPr="008F3C99">
        <w:rPr>
          <w:rFonts w:ascii="Times New Roman" w:hAnsi="Times New Roman" w:cs="Times New Roman"/>
        </w:rPr>
        <w:t>, Jamie S. Sanderlin</w:t>
      </w:r>
      <w:r w:rsidRPr="008F3C99">
        <w:rPr>
          <w:rFonts w:ascii="Times New Roman" w:hAnsi="Times New Roman" w:cs="Times New Roman"/>
          <w:vertAlign w:val="superscript"/>
        </w:rPr>
        <w:t>2</w:t>
      </w:r>
      <w:r w:rsidR="00F44FB3" w:rsidRPr="008F3C99">
        <w:rPr>
          <w:rFonts w:ascii="Times New Roman" w:hAnsi="Times New Roman" w:cs="Times New Roman"/>
        </w:rPr>
        <w:t>, Kiona Ogle</w:t>
      </w:r>
      <w:r w:rsidR="00F44FB3" w:rsidRPr="008F3C99">
        <w:rPr>
          <w:rFonts w:ascii="Times New Roman" w:hAnsi="Times New Roman" w:cs="Times New Roman"/>
          <w:vertAlign w:val="superscript"/>
        </w:rPr>
        <w:t>1</w:t>
      </w:r>
    </w:p>
    <w:p w14:paraId="1C81DFAA" w14:textId="6DCE129C" w:rsidR="00A63129" w:rsidRPr="008F3C99" w:rsidRDefault="2E9D8CDE" w:rsidP="00A63129">
      <w:pPr>
        <w:pStyle w:val="BodyText"/>
        <w:rPr>
          <w:rFonts w:cs="Times New Roman"/>
        </w:rPr>
      </w:pPr>
      <w:r w:rsidRPr="008F3C99">
        <w:rPr>
          <w:rFonts w:cs="Times New Roman"/>
          <w:b/>
          <w:bCs/>
        </w:rPr>
        <w:t xml:space="preserve">Author </w:t>
      </w:r>
      <w:r w:rsidR="64604529" w:rsidRPr="008F3C99">
        <w:rPr>
          <w:rFonts w:cs="Times New Roman"/>
          <w:b/>
          <w:bCs/>
        </w:rPr>
        <w:t>A</w:t>
      </w:r>
      <w:r w:rsidRPr="008F3C99">
        <w:rPr>
          <w:rFonts w:cs="Times New Roman"/>
          <w:b/>
          <w:bCs/>
        </w:rPr>
        <w:t>ffiliations</w:t>
      </w:r>
      <w:r w:rsidRPr="008F3C99">
        <w:rPr>
          <w:rFonts w:cs="Times New Roman"/>
        </w:rPr>
        <w:t>:</w:t>
      </w:r>
    </w:p>
    <w:p w14:paraId="3D6E46DD" w14:textId="3875B64B" w:rsidR="00A63129" w:rsidRPr="008F3C99" w:rsidRDefault="2E9D8CDE" w:rsidP="00A63129">
      <w:pPr>
        <w:pStyle w:val="BodyText"/>
        <w:rPr>
          <w:rFonts w:cs="Times New Roman"/>
        </w:rPr>
      </w:pPr>
      <w:r w:rsidRPr="008F3C99">
        <w:rPr>
          <w:rFonts w:cs="Times New Roman"/>
          <w:vertAlign w:val="superscript"/>
        </w:rPr>
        <w:t>1</w:t>
      </w:r>
      <w:r w:rsidRPr="008F3C99">
        <w:rPr>
          <w:rFonts w:cs="Times New Roman"/>
        </w:rPr>
        <w:t xml:space="preserve"> School of Informatics, Computing, and Cyber Systems, </w:t>
      </w:r>
      <w:r w:rsidR="00562D45" w:rsidRPr="008F3C99">
        <w:rPr>
          <w:rFonts w:cs="Times New Roman"/>
        </w:rPr>
        <w:t xml:space="preserve">Northern Arizona University, </w:t>
      </w:r>
      <w:r w:rsidRPr="008F3C99">
        <w:rPr>
          <w:rFonts w:cs="Times New Roman"/>
        </w:rPr>
        <w:t>Flagstaff, Arizona, USA</w:t>
      </w:r>
    </w:p>
    <w:p w14:paraId="4AA15869" w14:textId="07176A4D" w:rsidR="00A63129" w:rsidRDefault="2E9D8CDE" w:rsidP="00A63129">
      <w:pPr>
        <w:pStyle w:val="BodyText"/>
      </w:pPr>
      <w:r w:rsidRPr="008F3C99">
        <w:rPr>
          <w:rFonts w:cs="Times New Roman"/>
          <w:vertAlign w:val="superscript"/>
        </w:rPr>
        <w:t>2</w:t>
      </w:r>
      <w:r w:rsidRPr="008F3C99">
        <w:rPr>
          <w:rFonts w:cs="Times New Roman"/>
        </w:rPr>
        <w:t xml:space="preserve"> USDA Forest Service</w:t>
      </w:r>
      <w:r w:rsidR="00562D45" w:rsidRPr="008F3C99">
        <w:rPr>
          <w:rFonts w:cs="Times New Roman"/>
        </w:rPr>
        <w:t>,</w:t>
      </w:r>
      <w:r w:rsidRPr="008F3C99">
        <w:rPr>
          <w:rFonts w:cs="Times New Roman"/>
        </w:rPr>
        <w:t xml:space="preserve"> Rocky Mountain Research</w:t>
      </w:r>
      <w:r>
        <w:t xml:space="preserve"> Station, Flagstaff, Arizona, USA</w:t>
      </w:r>
    </w:p>
    <w:p w14:paraId="2AC9A2F7" w14:textId="15ACCA95" w:rsidR="00A63129" w:rsidRDefault="2E9D8CDE" w:rsidP="00A63129">
      <w:pPr>
        <w:pStyle w:val="BodyText"/>
      </w:pPr>
      <w:r w:rsidRPr="001F33F2">
        <w:rPr>
          <w:vertAlign w:val="superscript"/>
        </w:rPr>
        <w:t>3</w:t>
      </w:r>
      <w:r>
        <w:t xml:space="preserve"> </w:t>
      </w:r>
      <w:r w:rsidR="2F7B8CAB">
        <w:t>Forest Stewards Guild, Santa Fe, New Mexico, USA</w:t>
      </w:r>
    </w:p>
    <w:p w14:paraId="147DAA03" w14:textId="77777777" w:rsidR="00A63129" w:rsidRDefault="2E9D8CDE" w:rsidP="00A63129">
      <w:pPr>
        <w:pStyle w:val="BodyText"/>
      </w:pPr>
      <w:r w:rsidRPr="001F33F2">
        <w:rPr>
          <w:vertAlign w:val="superscript"/>
        </w:rPr>
        <w:t>4</w:t>
      </w:r>
      <w:r>
        <w:t xml:space="preserve"> Ecological Restoration Institute, Northern Arizona University, Flagstaff, Arizona, USA</w:t>
      </w:r>
    </w:p>
    <w:p w14:paraId="33EFE51F" w14:textId="77777777" w:rsidR="00A63129" w:rsidRDefault="00A63129" w:rsidP="00A63129">
      <w:pPr>
        <w:pStyle w:val="BodyText"/>
      </w:pPr>
      <w:r>
        <w:rPr>
          <w:b/>
          <w:bCs/>
        </w:rPr>
        <w:t>Corresponding author:</w:t>
      </w:r>
      <w:r>
        <w:t xml:space="preserve"> Ana Miller-ter Kuile, ana.miller-ter-kuile@nau.edu, Northern Arizona University School of Informatics, Computing, and Cyber Systems, 1295 Knoles Drive, Flagstaff, Arizona 86011</w:t>
      </w:r>
    </w:p>
    <w:p w14:paraId="15359A4D" w14:textId="74846ED3" w:rsidR="00A63129" w:rsidRPr="00EC0CE3" w:rsidRDefault="00A63129" w:rsidP="00EC0CE3">
      <w:pPr>
        <w:pStyle w:val="BodyText"/>
        <w:rPr>
          <w:b/>
          <w:bCs/>
          <w:i/>
          <w:iCs/>
        </w:rPr>
      </w:pPr>
      <w:bookmarkStart w:id="1" w:name="conflict-of-interest"/>
      <w:r w:rsidRPr="00EC0CE3">
        <w:rPr>
          <w:b/>
          <w:bCs/>
        </w:rPr>
        <w:t>Conflict of Interest</w:t>
      </w:r>
    </w:p>
    <w:p w14:paraId="5F7ECC74" w14:textId="77777777" w:rsidR="00EC0CE3" w:rsidRDefault="00A63129" w:rsidP="00EC0CE3">
      <w:pPr>
        <w:pStyle w:val="FirstParagraph"/>
      </w:pPr>
      <w:r>
        <w:t>The authors declare no conflicts of interest.</w:t>
      </w:r>
      <w:bookmarkStart w:id="2" w:name="author-contributions"/>
      <w:bookmarkEnd w:id="1"/>
    </w:p>
    <w:p w14:paraId="2B5AA51B" w14:textId="31F001B8" w:rsidR="00A63129" w:rsidRPr="00EC0CE3" w:rsidRDefault="00A63129" w:rsidP="00EC0CE3">
      <w:pPr>
        <w:pStyle w:val="FirstParagraph"/>
        <w:rPr>
          <w:b/>
          <w:bCs/>
        </w:rPr>
      </w:pPr>
      <w:r w:rsidRPr="00EC0CE3">
        <w:rPr>
          <w:b/>
          <w:bCs/>
        </w:rPr>
        <w:t>Autho</w:t>
      </w:r>
      <w:r w:rsidR="00EC0CE3" w:rsidRPr="00EC0CE3">
        <w:rPr>
          <w:b/>
          <w:bCs/>
        </w:rPr>
        <w:t>r</w:t>
      </w:r>
      <w:r w:rsidRPr="00EC0CE3">
        <w:rPr>
          <w:b/>
          <w:bCs/>
        </w:rPr>
        <w:t xml:space="preserve"> Contributions</w:t>
      </w:r>
    </w:p>
    <w:p w14:paraId="009A3C9E" w14:textId="0F5A5250" w:rsidR="00A63129" w:rsidRDefault="36D71A88" w:rsidP="00A63129">
      <w:pPr>
        <w:pStyle w:val="FirstParagraph"/>
      </w:pPr>
      <w:r>
        <w:t>AM</w:t>
      </w:r>
      <w:r w:rsidR="001F33F2">
        <w:t>-</w:t>
      </w:r>
      <w:proofErr w:type="spellStart"/>
      <w:r w:rsidR="001F33F2">
        <w:t>tK</w:t>
      </w:r>
      <w:proofErr w:type="spellEnd"/>
      <w:r w:rsidR="2E9D8CDE">
        <w:t xml:space="preserve">, </w:t>
      </w:r>
      <w:r w:rsidR="1E2F72F7">
        <w:t>APW</w:t>
      </w:r>
      <w:r w:rsidR="2E9D8CDE">
        <w:t xml:space="preserve">, and </w:t>
      </w:r>
      <w:r w:rsidR="6B69974F">
        <w:t>KCR</w:t>
      </w:r>
      <w:r w:rsidR="2E9D8CDE">
        <w:t xml:space="preserve"> conceived the ideas; </w:t>
      </w:r>
      <w:r w:rsidR="223D30B8">
        <w:t>A</w:t>
      </w:r>
      <w:r w:rsidR="001F33F2">
        <w:t>M-</w:t>
      </w:r>
      <w:proofErr w:type="spellStart"/>
      <w:r w:rsidR="001F33F2">
        <w:t>tK</w:t>
      </w:r>
      <w:proofErr w:type="spellEnd"/>
      <w:r w:rsidR="2E9D8CDE">
        <w:t xml:space="preserve">, </w:t>
      </w:r>
      <w:r w:rsidR="57FE482E">
        <w:t>KO</w:t>
      </w:r>
      <w:r w:rsidR="2E9D8CDE">
        <w:t xml:space="preserve">, and </w:t>
      </w:r>
      <w:r w:rsidR="69906047">
        <w:t>JSS</w:t>
      </w:r>
      <w:r w:rsidR="2E9D8CDE">
        <w:t xml:space="preserve"> developed statistical methods; </w:t>
      </w:r>
      <w:r w:rsidR="0B65BD00">
        <w:t>A</w:t>
      </w:r>
      <w:r w:rsidR="001F33F2">
        <w:t>M-</w:t>
      </w:r>
      <w:proofErr w:type="spellStart"/>
      <w:r w:rsidR="001F33F2">
        <w:t>tK</w:t>
      </w:r>
      <w:proofErr w:type="spellEnd"/>
      <w:r w:rsidR="2E9D8CDE">
        <w:t xml:space="preserve"> and </w:t>
      </w:r>
      <w:r w:rsidR="600759E7">
        <w:t>KCR</w:t>
      </w:r>
      <w:r w:rsidR="2E9D8CDE">
        <w:t xml:space="preserve"> developed novel data layers and ran statistical models; </w:t>
      </w:r>
      <w:r w:rsidR="14F1C26D">
        <w:t>AM</w:t>
      </w:r>
      <w:r w:rsidR="001F33F2">
        <w:t>-</w:t>
      </w:r>
      <w:proofErr w:type="spellStart"/>
      <w:r w:rsidR="001F33F2">
        <w:t>tK</w:t>
      </w:r>
      <w:proofErr w:type="spellEnd"/>
      <w:r w:rsidR="2E9D8CDE">
        <w:t xml:space="preserve"> led the writing of the manuscript with support from </w:t>
      </w:r>
      <w:r w:rsidR="6DB3B361">
        <w:t>APW</w:t>
      </w:r>
      <w:r w:rsidR="00785908">
        <w:t xml:space="preserve">, </w:t>
      </w:r>
      <w:r w:rsidR="7CE31ED8">
        <w:t>KCR</w:t>
      </w:r>
      <w:r w:rsidR="00785908">
        <w:t>, and KO</w:t>
      </w:r>
      <w:r w:rsidR="2E9D8CDE">
        <w:t xml:space="preserve">. All authors contributed to the drafts and gave final approval for publication. </w:t>
      </w:r>
    </w:p>
    <w:p w14:paraId="026EB98D" w14:textId="26D558F8" w:rsidR="00A63129" w:rsidRDefault="2E9D8CDE" w:rsidP="00A63129">
      <w:pPr>
        <w:pStyle w:val="Heading1"/>
      </w:pPr>
      <w:bookmarkStart w:id="3" w:name="data-availability"/>
      <w:bookmarkEnd w:id="2"/>
      <w:r>
        <w:lastRenderedPageBreak/>
        <w:t xml:space="preserve">Data </w:t>
      </w:r>
      <w:r w:rsidR="1635E2D6">
        <w:t>A</w:t>
      </w:r>
      <w:r>
        <w:t>vailability</w:t>
      </w:r>
    </w:p>
    <w:p w14:paraId="2A11EDD7" w14:textId="649ADBF8" w:rsidR="00A63129" w:rsidRDefault="00A63129" w:rsidP="000E6782">
      <w:pPr>
        <w:pStyle w:val="FirstParagraph"/>
      </w:pPr>
      <w:r>
        <w:t xml:space="preserve">Data and code for this paper are available on </w:t>
      </w:r>
      <w:proofErr w:type="spellStart"/>
      <w:r>
        <w:t>Zenodo</w:t>
      </w:r>
      <w:proofErr w:type="spellEnd"/>
      <w:r>
        <w:t xml:space="preserve"> (</w:t>
      </w:r>
      <w:commentRangeStart w:id="4"/>
      <w:r>
        <w:t>get up there!</w:t>
      </w:r>
      <w:commentRangeEnd w:id="4"/>
      <w:r>
        <w:rPr>
          <w:rStyle w:val="CommentReference"/>
          <w:sz w:val="24"/>
          <w:szCs w:val="24"/>
        </w:rPr>
        <w:commentReference w:id="4"/>
      </w:r>
      <w:r>
        <w:t>)</w:t>
      </w:r>
      <w:r>
        <w:br w:type="page"/>
      </w:r>
    </w:p>
    <w:p w14:paraId="0CDE2BD9" w14:textId="50821FFA" w:rsidR="00A63129" w:rsidRDefault="00A63129" w:rsidP="00A63129">
      <w:pPr>
        <w:pStyle w:val="Heading1"/>
      </w:pPr>
      <w:bookmarkStart w:id="5" w:name="abstract"/>
      <w:bookmarkEnd w:id="3"/>
      <w:r>
        <w:lastRenderedPageBreak/>
        <w:t>Abstract</w:t>
      </w:r>
    </w:p>
    <w:p w14:paraId="5BC6D4B2" w14:textId="3006FC14" w:rsidR="00A63129" w:rsidRDefault="41753102" w:rsidP="00C957C2">
      <w:pPr>
        <w:pStyle w:val="Compact"/>
      </w:pPr>
      <w:r>
        <w:t xml:space="preserve">Global </w:t>
      </w:r>
      <w:r w:rsidR="30EE95B4">
        <w:t xml:space="preserve">environmental </w:t>
      </w:r>
      <w:r>
        <w:t xml:space="preserve">change </w:t>
      </w:r>
      <w:r w:rsidR="0988FDF9">
        <w:t>is driving</w:t>
      </w:r>
      <w:r>
        <w:t xml:space="preserve"> </w:t>
      </w:r>
      <w:r w:rsidR="713E2268">
        <w:t>declines</w:t>
      </w:r>
      <w:r w:rsidR="454B9F55">
        <w:t xml:space="preserve"> in the populations</w:t>
      </w:r>
      <w:r w:rsidR="713E2268">
        <w:t xml:space="preserve"> </w:t>
      </w:r>
      <w:r w:rsidR="33FF1BE8">
        <w:t>o</w:t>
      </w:r>
      <w:r w:rsidR="27F8E785">
        <w:t>f</w:t>
      </w:r>
      <w:r w:rsidR="713E2268">
        <w:t xml:space="preserve"> species</w:t>
      </w:r>
      <w:r w:rsidR="0BD1522D">
        <w:t xml:space="preserve"> across the </w:t>
      </w:r>
      <w:r w:rsidR="4B604804">
        <w:t>Earth</w:t>
      </w:r>
      <w:r w:rsidR="0BD1522D">
        <w:t xml:space="preserve">. </w:t>
      </w:r>
      <w:r w:rsidR="75EDF0EA">
        <w:t xml:space="preserve">While habitat </w:t>
      </w:r>
      <w:r w:rsidR="33E07692">
        <w:t>loss</w:t>
      </w:r>
      <w:r w:rsidR="56B4F3FE">
        <w:t xml:space="preserve"> and </w:t>
      </w:r>
      <w:r w:rsidR="2E7D275E">
        <w:t xml:space="preserve">an </w:t>
      </w:r>
      <w:r w:rsidR="56B4F3FE">
        <w:t>altered climate</w:t>
      </w:r>
      <w:r w:rsidR="67AED48F">
        <w:t xml:space="preserve"> </w:t>
      </w:r>
      <w:r w:rsidR="47CD7258">
        <w:t>are</w:t>
      </w:r>
      <w:r w:rsidR="67AED48F">
        <w:t xml:space="preserve"> </w:t>
      </w:r>
      <w:r w:rsidR="4B6C9AC3">
        <w:t>the</w:t>
      </w:r>
      <w:r w:rsidR="67AED48F">
        <w:t xml:space="preserve"> </w:t>
      </w:r>
      <w:r w:rsidR="16036FFD">
        <w:t>primary driver</w:t>
      </w:r>
      <w:r w:rsidR="64E1849D">
        <w:t>s</w:t>
      </w:r>
      <w:r w:rsidR="16036FFD">
        <w:t xml:space="preserve"> of such trends</w:t>
      </w:r>
      <w:r w:rsidR="75EDF0EA">
        <w:t xml:space="preserve">, species may also be impacted by changes in their biotic interactions </w:t>
      </w:r>
      <w:r w:rsidR="4B6C9AC3">
        <w:t>and declines in</w:t>
      </w:r>
      <w:r w:rsidR="75EDF0EA">
        <w:t xml:space="preserve"> their interaction partners</w:t>
      </w:r>
      <w:r w:rsidR="74DC0A15">
        <w:t xml:space="preserve">, factors that are </w:t>
      </w:r>
      <w:r w:rsidR="7913EFE9">
        <w:t>rarely</w:t>
      </w:r>
      <w:r w:rsidR="4B6C9AC3">
        <w:t xml:space="preserve"> </w:t>
      </w:r>
      <w:r w:rsidR="00F16A82">
        <w:t xml:space="preserve">considered </w:t>
      </w:r>
      <w:r w:rsidR="75BFD3F3">
        <w:t>when</w:t>
      </w:r>
      <w:r w:rsidR="6876C78A">
        <w:t xml:space="preserve"> </w:t>
      </w:r>
      <w:r w:rsidR="3A52DA15">
        <w:t>evaluat</w:t>
      </w:r>
      <w:r w:rsidR="2F42CBDF">
        <w:t>ing</w:t>
      </w:r>
      <w:r w:rsidR="3A52DA15">
        <w:t xml:space="preserve"> </w:t>
      </w:r>
      <w:r w:rsidR="279A21C2">
        <w:t>population trends</w:t>
      </w:r>
      <w:r w:rsidR="75EDF0EA">
        <w:t>.</w:t>
      </w:r>
      <w:r w:rsidR="67AED48F">
        <w:t xml:space="preserve"> </w:t>
      </w:r>
      <w:r w:rsidR="47996B26">
        <w:t>Here</w:t>
      </w:r>
      <w:r w:rsidR="20B05964">
        <w:t xml:space="preserve">, we </w:t>
      </w:r>
      <w:r w:rsidR="4B6C9AC3">
        <w:t>explored</w:t>
      </w:r>
      <w:r w:rsidR="20B05964">
        <w:t xml:space="preserve"> </w:t>
      </w:r>
      <w:r w:rsidR="2EDFA207">
        <w:t>interactions</w:t>
      </w:r>
      <w:r w:rsidR="20B05964">
        <w:t xml:space="preserve"> between a </w:t>
      </w:r>
      <w:r w:rsidR="19861C89">
        <w:t>declining</w:t>
      </w:r>
      <w:r w:rsidR="20B05964">
        <w:t xml:space="preserve"> seed disperser (pinyon jay; </w:t>
      </w:r>
      <w:proofErr w:type="spellStart"/>
      <w:r w:rsidR="20B05964" w:rsidRPr="0F72CF47">
        <w:rPr>
          <w:i/>
          <w:iCs/>
        </w:rPr>
        <w:t>Gymnorhinus</w:t>
      </w:r>
      <w:proofErr w:type="spellEnd"/>
      <w:r w:rsidR="20B05964" w:rsidRPr="0F72CF47">
        <w:rPr>
          <w:i/>
          <w:iCs/>
        </w:rPr>
        <w:t xml:space="preserve"> </w:t>
      </w:r>
      <w:proofErr w:type="spellStart"/>
      <w:r w:rsidR="20B05964" w:rsidRPr="0F72CF47">
        <w:rPr>
          <w:i/>
          <w:iCs/>
        </w:rPr>
        <w:t>cyanocephalus</w:t>
      </w:r>
      <w:proofErr w:type="spellEnd"/>
      <w:r w:rsidR="20B05964">
        <w:t>) and</w:t>
      </w:r>
      <w:r w:rsidR="56D613C5">
        <w:t xml:space="preserve"> </w:t>
      </w:r>
      <w:r w:rsidR="00DA2B50">
        <w:t>a</w:t>
      </w:r>
      <w:r w:rsidR="00F16A82">
        <w:t xml:space="preserve"> favored </w:t>
      </w:r>
      <w:r w:rsidR="20B05964">
        <w:t xml:space="preserve">tree species (two-needle pinyon pine; </w:t>
      </w:r>
      <w:r w:rsidR="20B05964" w:rsidRPr="0F72CF47">
        <w:rPr>
          <w:i/>
          <w:iCs/>
        </w:rPr>
        <w:t>Pinus edulis</w:t>
      </w:r>
      <w:r w:rsidR="20B05964">
        <w:t xml:space="preserve">) in the </w:t>
      </w:r>
      <w:r w:rsidR="47996B26">
        <w:t xml:space="preserve">southwestern </w:t>
      </w:r>
      <w:r w:rsidR="20B05964">
        <w:t>USA. We leveraged</w:t>
      </w:r>
      <w:r w:rsidR="0BD1522D">
        <w:t xml:space="preserve"> </w:t>
      </w:r>
      <w:r w:rsidR="341088D1">
        <w:t>broad</w:t>
      </w:r>
      <w:r w:rsidR="0BD1522D">
        <w:t xml:space="preserve">-scale </w:t>
      </w:r>
      <w:r w:rsidR="00F16A82">
        <w:t xml:space="preserve">observations (n &gt; </w:t>
      </w:r>
      <w:r w:rsidR="0BD1522D">
        <w:t>800,000</w:t>
      </w:r>
      <w:r w:rsidR="00F16A82">
        <w:t xml:space="preserve">, spanning over </w:t>
      </w:r>
      <w:r w:rsidR="0BD1522D">
        <w:t>55% of the pinyon jay</w:t>
      </w:r>
      <w:r w:rsidR="00C957C2">
        <w:t xml:space="preserve"> and 100% of the pinyon pine ranges</w:t>
      </w:r>
      <w:r w:rsidR="0BD1522D">
        <w:t xml:space="preserve">) and long-term </w:t>
      </w:r>
      <w:r w:rsidR="20B05964">
        <w:t xml:space="preserve">(2010-2022) eBird </w:t>
      </w:r>
      <w:r w:rsidR="7006A517">
        <w:t xml:space="preserve">citizen </w:t>
      </w:r>
      <w:r w:rsidR="3772F358">
        <w:t xml:space="preserve">science </w:t>
      </w:r>
      <w:r w:rsidR="20B05964">
        <w:t>data on pinyon jay abundance</w:t>
      </w:r>
      <w:r w:rsidR="4B6C9AC3">
        <w:t>,</w:t>
      </w:r>
      <w:r w:rsidR="3772F358">
        <w:t xml:space="preserve"> </w:t>
      </w:r>
      <w:r w:rsidR="67AED48F">
        <w:t xml:space="preserve">along with </w:t>
      </w:r>
      <w:r w:rsidR="6E6E459F">
        <w:t>s</w:t>
      </w:r>
      <w:r w:rsidR="3772F358">
        <w:t>patiotemporal</w:t>
      </w:r>
      <w:r w:rsidR="7512A29F">
        <w:t xml:space="preserve"> reconstructions of </w:t>
      </w:r>
      <w:r w:rsidR="172CAB28">
        <w:t xml:space="preserve">yearly </w:t>
      </w:r>
      <w:r w:rsidR="7512A29F">
        <w:t>pinyon seed cone production</w:t>
      </w:r>
      <w:r w:rsidR="4B6C9AC3">
        <w:t xml:space="preserve">, </w:t>
      </w:r>
      <w:r w:rsidR="20B05964">
        <w:t xml:space="preserve">to evaluate </w:t>
      </w:r>
      <w:r w:rsidR="0BD1522D">
        <w:t xml:space="preserve">the effects of seed availability across space and time on pinyon jay abundance. </w:t>
      </w:r>
      <w:r w:rsidR="20B05964">
        <w:t xml:space="preserve">Pinyon jays were most abundant </w:t>
      </w:r>
      <w:r w:rsidR="0A7D8F52">
        <w:t xml:space="preserve">in </w:t>
      </w:r>
      <w:r w:rsidR="20B05964">
        <w:t xml:space="preserve">the spring following </w:t>
      </w:r>
      <w:r w:rsidR="2FECCF21">
        <w:t xml:space="preserve">years of </w:t>
      </w:r>
      <w:r w:rsidR="20B05964">
        <w:t>high cone production</w:t>
      </w:r>
      <w:r w:rsidR="12060332">
        <w:t xml:space="preserve"> (64% relative importance)</w:t>
      </w:r>
      <w:r w:rsidR="20B05964">
        <w:t xml:space="preserve">, likely because they nested near areas where they cached seeds. </w:t>
      </w:r>
      <w:r w:rsidR="0A7D8F52">
        <w:t>There was also a legacy effect of high seed years</w:t>
      </w:r>
      <w:r w:rsidR="12060332">
        <w:t xml:space="preserve"> (</w:t>
      </w:r>
      <w:r w:rsidR="0A7D8F52">
        <w:t xml:space="preserve">34% </w:t>
      </w:r>
      <w:r w:rsidR="12060332">
        <w:t xml:space="preserve">relative </w:t>
      </w:r>
      <w:r w:rsidR="628433E3">
        <w:t>importance</w:t>
      </w:r>
      <w:r w:rsidR="3A52DA15">
        <w:t xml:space="preserve">) </w:t>
      </w:r>
      <w:r w:rsidR="6FD83A83">
        <w:t xml:space="preserve">likely due to </w:t>
      </w:r>
      <w:r w:rsidR="0A7D8F52">
        <w:t xml:space="preserve">delayed </w:t>
      </w:r>
      <w:r w:rsidR="6FD83A83">
        <w:t>population increases</w:t>
      </w:r>
      <w:r w:rsidR="0A7D8F52">
        <w:t xml:space="preserve"> following increased resource availability</w:t>
      </w:r>
      <w:r w:rsidR="20B05964">
        <w:t>.</w:t>
      </w:r>
      <w:r w:rsidR="71588916">
        <w:t xml:space="preserve"> </w:t>
      </w:r>
      <w:r w:rsidR="67AED48F">
        <w:t xml:space="preserve">These relationships varied across the </w:t>
      </w:r>
      <w:r w:rsidR="0037FDDD">
        <w:t xml:space="preserve">species’ range </w:t>
      </w:r>
      <w:r w:rsidR="67AED48F">
        <w:t xml:space="preserve">due to </w:t>
      </w:r>
      <w:r w:rsidR="446A1104">
        <w:t>interactions between resource use,</w:t>
      </w:r>
      <w:r w:rsidR="4B6C9AC3">
        <w:t xml:space="preserve"> </w:t>
      </w:r>
      <w:r w:rsidR="67AED48F">
        <w:t>habitat</w:t>
      </w:r>
      <w:r w:rsidR="4E01CA46">
        <w:t>,</w:t>
      </w:r>
      <w:r w:rsidR="67AED48F">
        <w:t xml:space="preserve"> an</w:t>
      </w:r>
      <w:r w:rsidR="4B6C9AC3">
        <w:t>d</w:t>
      </w:r>
      <w:r w:rsidR="67AED48F">
        <w:t xml:space="preserve"> climate. </w:t>
      </w:r>
      <w:r w:rsidR="20B05964">
        <w:t xml:space="preserve">This study provides insight into </w:t>
      </w:r>
      <w:r w:rsidR="7020F284">
        <w:t>a</w:t>
      </w:r>
      <w:r w:rsidR="71F5CCD4">
        <w:t xml:space="preserve"> potential driver</w:t>
      </w:r>
      <w:r w:rsidR="20B05964">
        <w:t xml:space="preserve"> of pinyon jay</w:t>
      </w:r>
      <w:r w:rsidR="0A7D8F52">
        <w:t xml:space="preserve"> decline</w:t>
      </w:r>
      <w:r w:rsidR="00F16A82">
        <w:t>:</w:t>
      </w:r>
      <w:r w:rsidR="64A1CAFC">
        <w:t xml:space="preserve"> </w:t>
      </w:r>
      <w:r w:rsidR="347FACDD">
        <w:t xml:space="preserve">climate-driven declines in </w:t>
      </w:r>
      <w:r w:rsidR="0A7D8F52">
        <w:t xml:space="preserve">seed </w:t>
      </w:r>
      <w:r w:rsidR="47B95678">
        <w:t>availability, a critical resource that</w:t>
      </w:r>
      <w:r w:rsidR="00C957C2">
        <w:t xml:space="preserve"> birds rely on during seasons of food scarcity. </w:t>
      </w:r>
      <w:r w:rsidR="0BD1522D">
        <w:t>Importantly, we demonstrate the</w:t>
      </w:r>
      <w:r w:rsidR="3A52DA15">
        <w:t xml:space="preserve"> vital</w:t>
      </w:r>
      <w:r w:rsidR="0BD1522D">
        <w:t xml:space="preserve"> influence biotic interactions can have on </w:t>
      </w:r>
      <w:r w:rsidR="4B6C9AC3">
        <w:t xml:space="preserve">the </w:t>
      </w:r>
      <w:r w:rsidR="0BD1522D">
        <w:t>population status of declining species.</w:t>
      </w:r>
      <w:r w:rsidR="00C957C2" w:rsidRPr="00C957C2" w:rsidDel="59B34A2D">
        <w:rPr>
          <w:rStyle w:val="normaltextrun"/>
        </w:rPr>
        <w:t xml:space="preserve"> </w:t>
      </w:r>
    </w:p>
    <w:p w14:paraId="182108E5" w14:textId="79BC13FA" w:rsidR="00055DC4" w:rsidRDefault="00055DC4" w:rsidP="00A63129">
      <w:pPr>
        <w:pStyle w:val="Heading1"/>
      </w:pPr>
      <w:bookmarkStart w:id="6" w:name="keywords"/>
      <w:bookmarkEnd w:id="5"/>
      <w:r>
        <w:t>Significance</w:t>
      </w:r>
    </w:p>
    <w:p w14:paraId="53847A8D" w14:textId="4A6E9330" w:rsidR="00553CD4" w:rsidRPr="00553CD4" w:rsidRDefault="00B36AD7" w:rsidP="00553CD4">
      <w:pPr>
        <w:pStyle w:val="BodyText"/>
      </w:pPr>
      <w:r>
        <w:t>In the current global biodiversity crisis</w:t>
      </w:r>
      <w:r w:rsidR="00553CD4">
        <w:t xml:space="preserve">, it is imperative to understand why species are declining. </w:t>
      </w:r>
      <w:r>
        <w:t>There are</w:t>
      </w:r>
      <w:r w:rsidR="00553CD4">
        <w:t xml:space="preserve"> proximate drivers like habitat and climate change</w:t>
      </w:r>
      <w:r>
        <w:t xml:space="preserve">; however, </w:t>
      </w:r>
      <w:r w:rsidR="00553CD4">
        <w:t xml:space="preserve">species declines </w:t>
      </w:r>
      <w:r>
        <w:t xml:space="preserve">are also </w:t>
      </w:r>
      <w:r>
        <w:lastRenderedPageBreak/>
        <w:t>l</w:t>
      </w:r>
      <w:r w:rsidR="00553CD4">
        <w:t xml:space="preserve">inked to </w:t>
      </w:r>
      <w:r>
        <w:t xml:space="preserve">shifts </w:t>
      </w:r>
      <w:r w:rsidR="00553CD4">
        <w:t>in interaction partners. We examine the effects of the seed dispersal mutualism between a declining avian seed disperser (pinyon jay</w:t>
      </w:r>
      <w:r w:rsidR="00F16A82">
        <w:t>;</w:t>
      </w:r>
      <w:r w:rsidR="00553CD4">
        <w:t xml:space="preserve"> </w:t>
      </w:r>
      <w:proofErr w:type="spellStart"/>
      <w:r w:rsidR="00553CD4" w:rsidRPr="00AC0442">
        <w:rPr>
          <w:i/>
          <w:iCs/>
        </w:rPr>
        <w:t>Gymnorhinus</w:t>
      </w:r>
      <w:proofErr w:type="spellEnd"/>
      <w:r w:rsidR="00553CD4" w:rsidRPr="00AC0442">
        <w:rPr>
          <w:i/>
          <w:iCs/>
        </w:rPr>
        <w:t xml:space="preserve"> </w:t>
      </w:r>
      <w:proofErr w:type="spellStart"/>
      <w:r w:rsidR="00553CD4" w:rsidRPr="00AC0442">
        <w:rPr>
          <w:i/>
          <w:iCs/>
        </w:rPr>
        <w:t>cyanocephalus</w:t>
      </w:r>
      <w:proofErr w:type="spellEnd"/>
      <w:r w:rsidR="00553CD4">
        <w:t xml:space="preserve">) and </w:t>
      </w:r>
      <w:r w:rsidR="00DA2B50">
        <w:t>the species’</w:t>
      </w:r>
      <w:r w:rsidR="00553CD4">
        <w:t xml:space="preserve"> primary seed tree (pinyon pine</w:t>
      </w:r>
      <w:r w:rsidR="00F16A82">
        <w:t>;</w:t>
      </w:r>
      <w:r w:rsidR="00553CD4">
        <w:t xml:space="preserve"> </w:t>
      </w:r>
      <w:r w:rsidR="00553CD4" w:rsidRPr="5A83A434">
        <w:rPr>
          <w:i/>
          <w:iCs/>
        </w:rPr>
        <w:t>Pinus edulis</w:t>
      </w:r>
      <w:r w:rsidR="00553CD4">
        <w:t xml:space="preserve">) using </w:t>
      </w:r>
      <w:r w:rsidR="00F16A82">
        <w:t xml:space="preserve">extensive </w:t>
      </w:r>
      <w:r w:rsidR="00553CD4">
        <w:t>broad-scale, long-term data to explore the temporal legacies of seed availability on seed disperser abundance</w:t>
      </w:r>
      <w:r>
        <w:t xml:space="preserve">. </w:t>
      </w:r>
      <w:r w:rsidR="00923997">
        <w:t>Our study demonstrates that b</w:t>
      </w:r>
      <w:r>
        <w:t xml:space="preserve">iotic interactions are, themselves, a regulating force </w:t>
      </w:r>
      <w:r w:rsidR="00923997">
        <w:t>in this system. For populations</w:t>
      </w:r>
      <w:r>
        <w:t xml:space="preserve"> across the world</w:t>
      </w:r>
      <w:r w:rsidR="00923997">
        <w:t>,</w:t>
      </w:r>
      <w:r>
        <w:t xml:space="preserve"> the reshuffling of interaction networks is likely an important driver of population declines.   </w:t>
      </w:r>
    </w:p>
    <w:p w14:paraId="75DA91EB" w14:textId="2442220D" w:rsidR="00A63129" w:rsidRDefault="00A63129" w:rsidP="00A63129">
      <w:pPr>
        <w:pStyle w:val="Heading1"/>
      </w:pPr>
      <w:r>
        <w:t>Keywords</w:t>
      </w:r>
    </w:p>
    <w:p w14:paraId="2F8FCE68" w14:textId="5463BE1D" w:rsidR="00E83628" w:rsidRDefault="00562D45" w:rsidP="002B4F02">
      <w:pPr>
        <w:pStyle w:val="FirstParagraph"/>
        <w:spacing w:before="0"/>
        <w:sectPr w:rsidR="00E83628" w:rsidSect="00167C71">
          <w:footerReference w:type="even" r:id="rId12"/>
          <w:footerReference w:type="default" r:id="rId13"/>
          <w:pgSz w:w="12240" w:h="15840"/>
          <w:pgMar w:top="1440" w:right="1440" w:bottom="1440" w:left="1440" w:header="720" w:footer="720" w:gutter="0"/>
          <w:lnNumType w:countBy="1" w:restart="continuous"/>
          <w:cols w:space="720"/>
          <w:titlePg/>
          <w:docGrid w:linePitch="326"/>
        </w:sectPr>
      </w:pPr>
      <w:proofErr w:type="spellStart"/>
      <w:r w:rsidRPr="00AC0442">
        <w:rPr>
          <w:i/>
          <w:iCs/>
        </w:rPr>
        <w:t>Gymnorhinus</w:t>
      </w:r>
      <w:proofErr w:type="spellEnd"/>
      <w:r w:rsidRPr="00AC0442">
        <w:rPr>
          <w:i/>
          <w:iCs/>
        </w:rPr>
        <w:t xml:space="preserve"> </w:t>
      </w:r>
      <w:proofErr w:type="spellStart"/>
      <w:r w:rsidRPr="00AC0442">
        <w:rPr>
          <w:i/>
          <w:iCs/>
        </w:rPr>
        <w:t>cyanocephalus</w:t>
      </w:r>
      <w:proofErr w:type="spellEnd"/>
      <w:r w:rsidR="2E9D8CDE">
        <w:t xml:space="preserve">, </w:t>
      </w:r>
      <w:r w:rsidR="00F16A82">
        <w:t xml:space="preserve">occupancy model, </w:t>
      </w:r>
      <w:r w:rsidR="05058B66" w:rsidRPr="5A83A434">
        <w:rPr>
          <w:i/>
          <w:iCs/>
        </w:rPr>
        <w:t>Pinus edulis</w:t>
      </w:r>
      <w:r w:rsidR="2E9D8CDE">
        <w:t xml:space="preserve">, </w:t>
      </w:r>
      <w:r w:rsidR="1B2E6539">
        <w:t xml:space="preserve">resource availability, </w:t>
      </w:r>
      <w:r>
        <w:t xml:space="preserve">seed production, </w:t>
      </w:r>
      <w:r w:rsidR="2E9D8CDE">
        <w:t xml:space="preserve">species </w:t>
      </w:r>
      <w:r w:rsidR="00E635D0">
        <w:t>interactio</w:t>
      </w:r>
      <w:r w:rsidR="2E9D8CDE">
        <w:t>n</w:t>
      </w:r>
      <w:bookmarkStart w:id="7" w:name="introduction"/>
      <w:bookmarkEnd w:id="6"/>
      <w:r w:rsidR="00E635D0">
        <w:t>s, temporal legacies</w:t>
      </w:r>
      <w:r w:rsidR="00282005">
        <w:t>, time lag</w:t>
      </w:r>
    </w:p>
    <w:p w14:paraId="1456D4F7" w14:textId="0CF84282" w:rsidR="006C55E4" w:rsidRPr="00D8681D" w:rsidRDefault="005C16A2" w:rsidP="00D8681D">
      <w:pPr>
        <w:pStyle w:val="paragraph"/>
        <w:spacing w:before="0" w:beforeAutospacing="0" w:after="180" w:afterAutospacing="0" w:line="480" w:lineRule="auto"/>
        <w:textAlignment w:val="baseline"/>
        <w:rPr>
          <w:rFonts w:ascii="Segoe UI" w:hAnsi="Segoe UI" w:cs="Segoe UI"/>
          <w:sz w:val="28"/>
          <w:szCs w:val="28"/>
        </w:rPr>
      </w:pPr>
      <w:r>
        <w:rPr>
          <w:rStyle w:val="normaltextrun"/>
          <w:b/>
          <w:bCs/>
          <w:sz w:val="28"/>
          <w:szCs w:val="28"/>
        </w:rPr>
        <w:lastRenderedPageBreak/>
        <w:t>Importance of Biotic Interactions to Understanding Population Trends</w:t>
      </w:r>
    </w:p>
    <w:p w14:paraId="52704786" w14:textId="5EFA5E12" w:rsidR="009C1715" w:rsidRDefault="7B6CBEC0" w:rsidP="0F72CF47">
      <w:pPr>
        <w:pStyle w:val="paragraph"/>
        <w:spacing w:before="0" w:beforeAutospacing="0" w:after="0" w:afterAutospacing="0" w:line="480" w:lineRule="auto"/>
        <w:textAlignment w:val="baseline"/>
        <w:rPr>
          <w:rStyle w:val="normaltextrun"/>
        </w:rPr>
      </w:pPr>
      <w:r w:rsidRPr="0F72CF47">
        <w:rPr>
          <w:rStyle w:val="normaltextrun"/>
        </w:rPr>
        <w:t>We are witnessing Earth’s sixth mass extinction event</w:t>
      </w:r>
      <w:r w:rsidR="3DE6920A"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{"citationID":"8D7GAR4u","properties":{"formattedCitation":"(Finn et al., 2023; Hogue &amp; Breon, 2022)","plainCitation":"(Finn et al., 2023; Hogue &amp; Breon, 2022)","noteIndex":0},"citationItems":[{"id":3122,"uris":["http://zotero.org/groups/5634119/items/PK2349JU"],"itemData":{"id":3122,"type":"article-journal","abstract":"ABSTRACT\n            \n              The global‐scale decline of animal biodiversity (‘defaunation’) represents one of the most alarming consequences of human impacts on the planet. The quantification of this extinction crisis has traditionally relied on the use of IUCN\n              Red List\n              conservation categories assigned to each assessed species. This approach reveals that a quarter of the world's animal species are currently threatened with extinction, and ~1% have been declared extinct. However, extinctions are preceded by progressive population declines through time that leave demographic ‘footprints’ that can alert us about the trajectories of species towards extinction. Therefore, an exclusive focus on IUCN conservation categories, without consideration of dynamic population trends, may underestimate the true extent of the processes of ongoing extinctions across nature. In fact, emerging evidence (e.g. the\n              Living Planet Report\n              ), reveals a widespread tendency for sustained demographic declines (an average 69% decline in population abundances) of species globally. Yet, animal species are not only declining. Many species worldwide exhibit stable populations, while others are even thriving. Here, using population trend data for &gt;71,000 animal species spanning all five groups of vertebrates (mammals, birds, reptiles, amphibians and fishes) and insects, we provide a comprehensive global‐scale assessment of the diversity of population trends across species undergoing not only declines, but also population stability and increases. We show a widespread global erosion of species, with 48% undergoing declines, while 49% and 3% of species currently remain stable or are increasing, respectively. Geographically, we reveal an intriguing pattern similar to that of threatened species, whereby declines tend to concentrate around tropical regions, whereas stability and increases show a tendency to expand towards temperate climates. Importantly, we find that for species currently classed by the IUCN\n              Red List\n              as ‘non‐threatened’, 33% are declining. Critically, in contrast with previous mass extinction events, our assessment shows that the Anthropocene extinction crisis is undergoing a rapid biodiversity imbalance, with levels of declines (a symptom of extinction) greatly exceeding levels of increases (a symptom of ecological expansion and potentially of evolution) for all groups. Our study contributes a further signal indicating that global biodiversity is entering a mass extinction, with ecosystem heterogeneity and functioning, biodiversity persistence, and human well‐being under increasing threat.","container-title":"Biological Reviews","DOI":"10.1111/brv.12974","ISSN":"1464-7931, 1469-185X","issue":"5","journalAbbreviation":"Biological Reviews","language":"en","page":"1732-1748","source":"DOI.org (Crossref)","title":"More losers than winners: investigating Anthropocene defaunation through the diversity of population trends","title-short":"More losers than winners","volume":"98","author":[{"family":"Finn","given":"Catherine"},{"family":"Grattarola","given":"Florencia"},{"family":"Pincheira‐Donoso","given":"Daniel"}],"issued":{"date-parts":[["2023",10]]}}},{"id":3120,"uris":["http://zotero.org/groups/5634119/items/MHQNTYB4"],"itemData":{"id":3120,"type":"article-journal","abstract":"Abstract\n            The growing human population is responsible for a massive decline in species, biodiversity, and ecosystems across the globe. If we are to significantly slow these losses, the attention and resources devoted to individual causes should be commensurate with the magnitude of their contribution to the problem. The purpose of this study was to determine the relative magnitude of five major threats to species identified by the International Union for Conservation of Nature (IUCN) as threatened with extinction. Specifically, we analyzed the entire IUCN Red List database to determine the percentage of threatened species affected by overexploitation, climate change, pollution, habitat destruction, and invasive species, diseases, and genes. We also randomly sampled a portion of the database to estimate the percentage of species for which each threat was the dominant threat placing them at risk of extinction. Of the 20,784 species for which data were available, 88.3% were impacted by habitat destruction, 26.6% by overexploitation, 25% by invasives, 18.2% by pollution, and 16.8% by climate change and weather. Focusing on dominant threats, the percentage of species for which a given threat was the main factor pushing them toward extinction was as follows: habitat destruction 71.3%, overexploitation 7.4%, invasives 6.8%, pollution 4.7%, climate change, and weather 1.8%. Regardless of how percentages are calculated, habitat destruction threatens more species than all other categories combined, climate change the fewest. From the perspective of species and biodiversity conservation, these data suggest that a significant change in global environmental priorities is needed. Habitat destruction should become a greater focus of global environmental efforts and receive the attention and resources appropriate to the extraordinary magnitude of its impact. Moreover, while it is important to address all environmental problems, given the disproportionate impact habitat destruction has on species, care should be taken to avoid solutions to other problems that exacerbate this destruction.","container-title":"Conservation Science and Practice","DOI":"10.1111/csp2.12670","ISSN":"2578-4854, 2578-4854","issue":"5","journalAbbreviation":"Conservat Sci and Prac","language":"en","page":"e12670","source":"DOI.org (Crossref)","title":"The greatest threats to species","volume":"4","author":[{"family":"Hogue","given":"Aaron S."},{"family":"Breon","given":"Kathryn"}],"issued":{"date-parts":[["2022",5]]}}}],"schema":"https://github.com/citation-style-language/schema/raw/master/csl-citation.json"} </w:instrText>
      </w:r>
      <w:r w:rsidR="00476451" w:rsidRPr="0F72CF47">
        <w:rPr>
          <w:rStyle w:val="normaltextrun"/>
        </w:rPr>
        <w:fldChar w:fldCharType="separate"/>
      </w:r>
      <w:r w:rsidR="3DE6920A" w:rsidRPr="0F72CF47">
        <w:rPr>
          <w:rStyle w:val="normaltextrun"/>
          <w:noProof/>
        </w:rPr>
        <w:t>(Finn et al., 2023; Hogue &amp; Breon, 2022)</w:t>
      </w:r>
      <w:r w:rsidR="00476451" w:rsidRPr="0F72CF47">
        <w:rPr>
          <w:rStyle w:val="normaltextrun"/>
        </w:rPr>
        <w:fldChar w:fldCharType="end"/>
      </w:r>
      <w:r w:rsidR="59B34A2D" w:rsidRPr="0F72CF47">
        <w:rPr>
          <w:rStyle w:val="normaltextrun"/>
        </w:rPr>
        <w:t>. While habitat conversion</w:t>
      </w:r>
      <w:r w:rsidR="4CD3B424" w:rsidRPr="0F72CF47">
        <w:rPr>
          <w:rStyle w:val="normaltextrun"/>
        </w:rPr>
        <w:t xml:space="preserve"> and climatic change</w:t>
      </w:r>
      <w:r w:rsidR="59B34A2D" w:rsidRPr="0F72CF47">
        <w:rPr>
          <w:rStyle w:val="normaltextrun"/>
        </w:rPr>
        <w:t xml:space="preserve"> </w:t>
      </w:r>
      <w:r w:rsidR="07446C20" w:rsidRPr="0F72CF47">
        <w:rPr>
          <w:rStyle w:val="normaltextrun"/>
        </w:rPr>
        <w:t>are</w:t>
      </w:r>
      <w:r w:rsidR="59B34A2D" w:rsidRPr="0F72CF47">
        <w:rPr>
          <w:rStyle w:val="normaltextrun"/>
        </w:rPr>
        <w:t xml:space="preserve"> the most influential proxima</w:t>
      </w:r>
      <w:r w:rsidR="0EF53AAA" w:rsidRPr="0F72CF47">
        <w:rPr>
          <w:rStyle w:val="normaltextrun"/>
        </w:rPr>
        <w:t xml:space="preserve">te </w:t>
      </w:r>
      <w:r w:rsidR="59B34A2D" w:rsidRPr="0F72CF47">
        <w:rPr>
          <w:rStyle w:val="normaltextrun"/>
        </w:rPr>
        <w:t>driver</w:t>
      </w:r>
      <w:r w:rsidR="5E8C1332" w:rsidRPr="0F72CF47">
        <w:rPr>
          <w:rStyle w:val="normaltextrun"/>
        </w:rPr>
        <w:t>s</w:t>
      </w:r>
      <w:r w:rsidR="59B34A2D" w:rsidRPr="0F72CF47">
        <w:rPr>
          <w:rStyle w:val="normaltextrun"/>
        </w:rPr>
        <w:t xml:space="preserve"> of global species decline</w:t>
      </w:r>
      <w:r w:rsidR="12018BD6"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{"citationID":"y84JhkxL","properties":{"formattedCitation":"(Jaureguiberry et al., 2022)","plainCitation":"(Jaureguiberry et al., 2022)","noteIndex":0},"citationItems":[{"id":3118,"uris":["http://zotero.org/groups/5634119/items/C9TX6L7S"],"itemData":{"id":3118,"type":"article-journal","abstract":"Effective policies to halt biodiversity loss require knowing which anthropogenic drivers are the most important direct causes. Whereas previous knowledge has been limited in scope and rigor, here we statistically synthesize empirical comparisons of recent driver impacts found through a wide-ranging review. We show that land/sea use change has been the dominant direct driver of recent biodiversity loss worldwide. Direct exploitation of natural resources ranks second and pollution third; climate change and invasive alien species have been significantly less important than the top two drivers. The oceans, where direct exploitation and climate change dominate, have a different driver hierarchy from land and fresh water. It also varies among types of biodiversity indicators. For example, climate change is a more important driver of community composition change than of changes in species populations. Stopping global biodiversity loss requires policies and actions to tackle all the major drivers and their interactions, not some of them in isolation.\n          , \n            Land-use change and direct exploitation are the dominant drivers of recent global biodiversity loss.","container-title":"Science Advances","DOI":"10.1126/sciadv.abm9982","ISSN":"2375-2548","issue":"45","journalAbbreviation":"Sci. Adv.","language":"en","page":"eabm9982","source":"DOI.org (Crossref)","title":"The direct drivers of recent global anthropogenic biodiversity loss","volume":"8","author":[{"family":"Jaureguiberry","given":"Pedro"},{"family":"Titeux","given":"Nicolas"},{"family":"Wiemers","given":"Martin"},{"family":"Bowler","given":"Diana E."},{"family":"Coscieme","given":"Luca"},{"family":"Golden","given":"Abigail S."},{"family":"Guerra","given":"Carlos A."},{"family":"Jacob","given":"Ute"},{"family":"Takahashi","given":"Yasuo"},{"family":"Settele","given":"Josef"},{"family":"Díaz","given":"Sandra"},{"family":"Molnár","given":"Zsolt"},{"family":"Purvis","given":"Andy"}],"issued":{"date-parts":[["2022",11,11]]}}}],"schema":"https://github.com/citation-style-language/schema/raw/master/csl-citation.json"} </w:instrText>
      </w:r>
      <w:r w:rsidR="00476451" w:rsidRPr="0F72CF47">
        <w:rPr>
          <w:rStyle w:val="normaltextrun"/>
        </w:rPr>
        <w:fldChar w:fldCharType="separate"/>
      </w:r>
      <w:r w:rsidR="12018BD6" w:rsidRPr="0F72CF47">
        <w:rPr>
          <w:rStyle w:val="normaltextrun"/>
          <w:noProof/>
        </w:rPr>
        <w:t>(Jaureguiberry et al., 2022)</w:t>
      </w:r>
      <w:r w:rsidR="00476451" w:rsidRPr="0F72CF47">
        <w:rPr>
          <w:rStyle w:val="normaltextrun"/>
        </w:rPr>
        <w:fldChar w:fldCharType="end"/>
      </w:r>
      <w:r w:rsidR="7D800A4F" w:rsidRPr="0F72CF47">
        <w:rPr>
          <w:rStyle w:val="normaltextrun"/>
        </w:rPr>
        <w:t>, a</w:t>
      </w:r>
      <w:r w:rsidR="2E05870A" w:rsidRPr="0F72CF47">
        <w:rPr>
          <w:rStyle w:val="normaltextrun"/>
        </w:rPr>
        <w:t xml:space="preserve">n indirect </w:t>
      </w:r>
      <w:r w:rsidR="7D800A4F" w:rsidRPr="0F72CF47">
        <w:rPr>
          <w:rStyle w:val="normaltextrun"/>
        </w:rPr>
        <w:t>cause of loss comes from the consequences of reshuffling</w:t>
      </w:r>
      <w:r w:rsidR="5B4F9BB1" w:rsidRPr="0F72CF47">
        <w:rPr>
          <w:rStyle w:val="normaltextrun"/>
        </w:rPr>
        <w:t xml:space="preserve"> (‘rewiring’)</w:t>
      </w:r>
      <w:r w:rsidR="7D800A4F" w:rsidRPr="0F72CF47">
        <w:rPr>
          <w:rStyle w:val="normaltextrun"/>
        </w:rPr>
        <w:t xml:space="preserve"> species interaction networks</w:t>
      </w:r>
      <w:r w:rsidR="12018BD6"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{"citationID":"fwlY90Vn","properties":{"formattedCitation":"(D\\uc0\\u8217{}Alelio et al., 2019; Srinivasan et al., 2007)","plainCitation":"(D’Alelio et al., 2019; Srinivasan et al., 2007)","noteIndex":0},"citationItems":[{"id":3129,"uris":["http://zotero.org/groups/5634119/items/PLWVNED8"],"itemData":{"id":3129,"type":"article-journal","abstract":"Abstract\n            Species are characterized by physiological and behavioral plasticity, which is part of their response to environmental shifts. Nonetheless, the collective response of ecological communities to environmental shifts cannot be predicted from the simple sum of individual species responses, since co‐existing species are deeply entangled in interaction networks, such as food webs. For these reasons, the relation between environmental forcing and the structure of food webs is an open problem in ecology. To this respect, one of the main problems in community ecology is defining the role each species plays in shaping community structure, such as by promoting the subdivision of food webs in modules—that is, aggregates composed of species that more frequently interact—which are reported as community stabilizers.\n            In this study, we investigated the relationship between species roles and network modularity under environmental shifts in a highly resolved food web, that is, a “weighted” ecological network reproducing carbon flows among marine planktonic species. Measuring network properties and estimating weighted modularity, we show that species have distinct roles, which differentially affect modularity and mediate structural modifications, such as modules reconfiguration, induced by environmental shifts.\n            Specifically, short‐term environmental changes impact the abundance of planktonic primary producers; this affects their consumers’ behavior and cascades into the overall rearrangement of trophic links. Food web re‐adjustments are both direct, through the rewiring of trophic‐interaction networks, and indirect, with the reconfiguration of trophic cascades. Through such “systemic behavior,” that is, the way the food web acts as a whole, defined by the interactions among its parts, the planktonic food web undergoes a substantial rewiring while keeping almost the same global flow to upper trophic levels, and energetic hierarchy is maintained despite environmental shifts. This behavior suggests the potentially high resilience of plankton networks, such as food webs, to dramatic environmental changes, such as those provoked by global change.","container-title":"Ecology and Evolution","DOI":"10.1002/ece3.5641","ISSN":"2045-7758, 2045-7758","issue":"20","journalAbbreviation":"Ecology and Evolution","language":"en","page":"11631-11646","source":"DOI.org (Crossref)","title":"Rewiring and indirect effects underpin modularity reshuffling in a marine food web under environmental shifts","volume":"9","author":[{"family":"D'Alelio","given":"Domenico"},{"family":"Hay Mele","given":"Bruno"},{"family":"Libralato","given":"Simone"},{"family":"Ribera d'Alcalà","given":"Maurizio"},{"family":"Jordán","given":"Ferenc"}],"issued":{"date-parts":[["2019",10]]}}},{"id":3127,"uris":["http://zotero.org/groups/5634119/items/JSIYSWAR"],"itemData":{"id":3127,"type":"article-journal","container-title":"Ecology","DOI":"10.1890/06-0971","ISSN":"0012-9658","issue":"3","journalAbbreviation":"Ecology","language":"en","license":"http://doi.wiley.com/10.1002/tdm_license_1.1","page":"671-682","source":"DOI.org (Crossref)","title":"RESPONSE OF COMPLEX FOOD WEBS TO REALISTIC EXTINCTION SEQUENCES","volume":"88","author":[{"family":"Srinivasan","given":"U. Thara"},{"family":"Dunne","given":"Jennifer A."},{"family":"Harte","given":"John"},{"family":"Martinez","given":"Neo D."}],"issued":{"date-parts":[["2007",3]]}}}],"schema":"https://github.com/citation-style-language/schema/raw/master/csl-citation.json"} </w:instrText>
      </w:r>
      <w:r w:rsidR="00476451" w:rsidRPr="0F72CF47">
        <w:rPr>
          <w:rStyle w:val="normaltextrun"/>
        </w:rPr>
        <w:fldChar w:fldCharType="separate"/>
      </w:r>
      <w:r w:rsidR="7FE7E684">
        <w:t>(D’Alelio et al., 2019; Srinivasan et al., 2007)</w:t>
      </w:r>
      <w:r w:rsidR="00476451" w:rsidRPr="0F72CF47">
        <w:rPr>
          <w:rStyle w:val="normaltextrun"/>
        </w:rPr>
        <w:fldChar w:fldCharType="end"/>
      </w:r>
      <w:r w:rsidR="7D800A4F" w:rsidRPr="0F72CF47">
        <w:rPr>
          <w:rStyle w:val="normaltextrun"/>
        </w:rPr>
        <w:t xml:space="preserve">. </w:t>
      </w:r>
      <w:r w:rsidR="12018BD6" w:rsidRPr="0F72CF47">
        <w:rPr>
          <w:rStyle w:val="normaltextrun"/>
        </w:rPr>
        <w:t>Losses</w:t>
      </w:r>
      <w:r w:rsidR="7D800A4F" w:rsidRPr="0F72CF47">
        <w:rPr>
          <w:rStyle w:val="normaltextrun"/>
        </w:rPr>
        <w:t xml:space="preserve"> and declines of species in interaction networks can lead to co-extinctions</w:t>
      </w:r>
      <w:r w:rsidR="12018BD6"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{"citationID":"A0FBCdw3","properties":{"formattedCitation":"(Roopnarine, 2006)","plainCitation":"(Roopnarine, 2006)","noteIndex":0},"citationItems":[{"id":3128,"uris":["http://zotero.org/groups/5634119/items/MXYFBHGM"],"itemData":{"id":3128,"type":"article-journal","container-title":"Paleobiology","DOI":"10.1666/05008.1","ISSN":"0094-8373, 1938-5331","issue":"1","journalAbbreviation":"Paleobiology","language":"en","page":"1-19","source":"DOI.org (Crossref)","title":"Extinction cascades and catastrophe in ancient food webs","volume":"32","author":[{"family":"Roopnarine","given":"Peter D."}],"issued":{"date-parts":[["2006",1]]}}}],"schema":"https://github.com/citation-style-language/schema/raw/master/csl-citation.json"} </w:instrText>
      </w:r>
      <w:r w:rsidR="00476451" w:rsidRPr="0F72CF47">
        <w:rPr>
          <w:rStyle w:val="normaltextrun"/>
        </w:rPr>
        <w:fldChar w:fldCharType="separate"/>
      </w:r>
      <w:r w:rsidR="12018BD6" w:rsidRPr="0F72CF47">
        <w:rPr>
          <w:rStyle w:val="normaltextrun"/>
          <w:noProof/>
        </w:rPr>
        <w:t>(Roopnarine, 2006)</w:t>
      </w:r>
      <w:r w:rsidR="00476451" w:rsidRPr="0F72CF47">
        <w:rPr>
          <w:rStyle w:val="normaltextrun"/>
        </w:rPr>
        <w:fldChar w:fldCharType="end"/>
      </w:r>
      <w:r w:rsidR="12018BD6" w:rsidRPr="0F72CF47">
        <w:rPr>
          <w:rStyle w:val="normaltextrun"/>
        </w:rPr>
        <w:t xml:space="preserve">, </w:t>
      </w:r>
      <w:r w:rsidR="7D800A4F" w:rsidRPr="0F72CF47">
        <w:rPr>
          <w:rStyle w:val="normaltextrun"/>
        </w:rPr>
        <w:t>extinction cascades</w:t>
      </w:r>
      <w:r w:rsidR="12018BD6"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{"citationID":"6Q6Q0Ok1","properties":{"formattedCitation":"(Kehoe et al., 2021)","plainCitation":"(Kehoe et al., 2021)","noteIndex":0},"citationItems":[{"id":3124,"uris":["http://zotero.org/groups/5634119/items/GZAN58IC"],"itemData":{"id":3124,"type":"article-journal","abstract":"1. The decline in insect abundance and diversity observed in many ecosystems is of major concern because of the long‐term consequences for ecosystem function and stability.\n            2. Species in ecological communities are connected through interactions forming complex networks. Therefore, initial extinctions can cause further species losses through co‐extinctions and extinction cascades, where single extinctions can lead to waves of secondary extinctions. Such knock‐on effects can multiply the initial impact of disturbances, thereby largely adding to the erosion of biodiversity. However, our knowledge of their importance for the current insect decline is hampered because secondary extinctions are challenging to both detect and predict.\n            3. In this review, we bring together theory and knowledge about secondary extinctions in the light of the main drivers of insect decline. We evaluate potential and evidence for cascading extinction for the different drivers and identify major pathways. By providing selected examples we discuss how habitat loss, pollution, species invasions, climate change and overexploitation can cause cascading extinctions. We argue that habitat loss and pollution in particular have the largest potential for such extinctions by changing community structure, the physical environment, and community robustness.\n            4. Overall, cascading extinction are part of an ecosystems' response to anthropogenic drivers but are so far not explicitly measured in their contribution when evaluating biodiversity loss. This knowledge is necessary to predict biodiversity loss and find strategies to buffer against the devastating long‐term impact of habitat loss, pollution, species invasions, and climate change.","container-title":"Ecological Entomology","DOI":"10.1111/een.12985","ISSN":"0307-6946, 1365-2311","issue":"4","journalAbbreviation":"Ecological Entomology","language":"en","page":"743-756","source":"DOI.org (Crossref)","title":"Cascading extinctions as a hidden driver of insect decline","volume":"46","author":[{"family":"Kehoe","given":"Rachel"},{"family":"Frago","given":"Enric"},{"family":"Sanders","given":"Dirk"}],"issued":{"date-parts":[["2021",8]]}}}],"schema":"https://github.com/citation-style-language/schema/raw/master/csl-citation.json"} </w:instrText>
      </w:r>
      <w:r w:rsidR="00476451" w:rsidRPr="0F72CF47">
        <w:rPr>
          <w:rStyle w:val="normaltextrun"/>
        </w:rPr>
        <w:fldChar w:fldCharType="separate"/>
      </w:r>
      <w:r w:rsidR="7FE7E684" w:rsidRPr="0F72CF47">
        <w:rPr>
          <w:rStyle w:val="normaltextrun"/>
          <w:noProof/>
        </w:rPr>
        <w:t>(Kehoe et al., 2021)</w:t>
      </w:r>
      <w:r w:rsidR="00476451" w:rsidRPr="0F72CF47">
        <w:rPr>
          <w:rStyle w:val="normaltextrun"/>
        </w:rPr>
        <w:fldChar w:fldCharType="end"/>
      </w:r>
      <w:r w:rsidR="7D800A4F" w:rsidRPr="0F72CF47">
        <w:rPr>
          <w:rStyle w:val="normaltextrun"/>
        </w:rPr>
        <w:t>, and the loss of important ecosystem functions performed by those species and interactions (e.g., pollination;</w:t>
      </w:r>
      <w:r w:rsidR="53AE0CC4"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{"citationID":"q4Gjm5qD","properties":{"formattedCitation":"(Valiente\\uc0\\u8208{}Banuet et al., 2015)","plainCitation":"(Valiente‐Banuet et al., 2015)","dontUpdate":true,"noteIndex":0},"citationItems":[{"id":134,"uris":["http://zotero.org/users/6391447/items/VWMS2D8E"],"itemData":{"id":134,"type":"article-journal","container-title":"Functional Ecology","DOI":"10.1111/1365-2435.12356","ISSN":"0269-8463, 1365-2435","issue":"3","journalAbbreviation":"Funct Ecol","language":"en","page":"299-307","source":"DOI.org (Crossref)","title":"Beyond species loss: the extinction of ecological interactions in a changing world","title-short":"Beyond species loss","volume":"29","author":[{"family":"Valiente‐Banuet","given":"Alfonso"},{"family":"Aizen","given":"Marcelo A."},{"family":"Alcántara","given":"Julio M."},{"family":"Arroyo","given":"Juan"},{"family":"Cocucci","given":"Andrea"},{"family":"Galetti","given":"Mauro"},{"family":"García","given":"María B."},{"family":"García","given":"Daniel"},{"family":"Gómez","given":"José M."},{"family":"Jordano","given":"Pedro"},{"family":"Medel","given":"Rodrigo"},{"family":"Navarro","given":"Luis"},{"family":"Obeso","given":"José R."},{"family":"Oviedo","given":"Ramona"},{"family":"Ramírez","given":"Nelson"},{"family":"Rey","given":"Pedro J."},{"family":"Traveset","given":"Anna"},{"family":"Verdú","given":"Miguel"},{"family":"Zamora","given":"Regino"}],"editor":[{"family":"Johnson","given":"Marc"}],"issued":{"date-parts":[["2015",3]]}}}],"schema":"https://github.com/citation-style-language/schema/raw/master/csl-citation.json"} </w:instrText>
      </w:r>
      <w:r w:rsidR="00476451" w:rsidRPr="0F72CF47">
        <w:rPr>
          <w:rStyle w:val="normaltextrun"/>
        </w:rPr>
        <w:fldChar w:fldCharType="separate"/>
      </w:r>
      <w:r w:rsidR="59B8EC06">
        <w:t>Valiente‐Banuet et al., 2015)</w:t>
      </w:r>
      <w:r w:rsidR="00476451" w:rsidRPr="0F72CF47">
        <w:rPr>
          <w:rStyle w:val="normaltextrun"/>
        </w:rPr>
        <w:fldChar w:fldCharType="end"/>
      </w:r>
      <w:r w:rsidR="7D800A4F" w:rsidRPr="0F72CF47">
        <w:rPr>
          <w:rStyle w:val="normaltextrun"/>
        </w:rPr>
        <w:t xml:space="preserve">. </w:t>
      </w:r>
      <w:r w:rsidR="7EFE5210" w:rsidRPr="0F72CF47">
        <w:rPr>
          <w:rStyle w:val="normaltextrun"/>
        </w:rPr>
        <w:t xml:space="preserve">Thus, </w:t>
      </w:r>
      <w:r w:rsidR="346FBD8A" w:rsidRPr="0F72CF47">
        <w:rPr>
          <w:rStyle w:val="normaltextrun"/>
        </w:rPr>
        <w:t>explicitly measuring the impacts of species interactions on population trends will be crucial for predicting future biodiversity patterns</w:t>
      </w:r>
      <w:r w:rsidR="49C53559" w:rsidRPr="0F72CF47">
        <w:rPr>
          <w:rStyle w:val="normaltextrun"/>
        </w:rPr>
        <w:t xml:space="preserve"> and eco</w:t>
      </w:r>
      <w:r w:rsidR="3BFBBCFD" w:rsidRPr="0F72CF47">
        <w:rPr>
          <w:rStyle w:val="normaltextrun"/>
        </w:rPr>
        <w:t>s</w:t>
      </w:r>
      <w:r w:rsidR="49C53559" w:rsidRPr="0F72CF47">
        <w:rPr>
          <w:rStyle w:val="normaltextrun"/>
        </w:rPr>
        <w:t>ystem processes</w:t>
      </w:r>
      <w:r w:rsidR="53AE0CC4" w:rsidRPr="0F72CF47">
        <w:rPr>
          <w:rStyle w:val="normaltextrun"/>
        </w:rPr>
        <w:t xml:space="preserve"> </w:t>
      </w:r>
      <w:r w:rsidR="00476451" w:rsidRPr="0F72CF47">
        <w:rPr>
          <w:rStyle w:val="normaltextrun"/>
        </w:rPr>
        <w:fldChar w:fldCharType="begin"/>
      </w:r>
      <w:r w:rsidR="00476451" w:rsidRPr="0F72CF47">
        <w:rPr>
          <w:rStyle w:val="normaltextrun"/>
        </w:rPr>
        <w:instrText xml:space="preserve"> ADDIN ZOTERO_ITEM CSL_CITATION {"citationID":"XlBrJ6WK","properties":{"formattedCitation":"(Ockendon et al., 2014)","plainCitation":"(Ockendon et al., 2014)","noteIndex":0},"citationItems":[{"id":3133,"uris":["http://zotero.org/groups/5634119/items/CLHR7P24"],"itemData":{"id":3133,"type":"article-journal","abstract":"Abstract\n            Shifts in species' distribution and abundance in response to climate change have been well documented, but the underpinning processes are still poorly understood. We present the results of a systematic literature review and meta‐analysis investigating the frequency and importance of different mechanisms by which climate has impacted natural populations. Most studies were from temperate latitudes of North America and Europe; almost half investigated bird populations. We found significantly greater support for indirect, biotic mechanisms than direct, abiotic mechanisms as mediators of the impact of climate on populations. In addition, biotic effects tended to have greater support than abiotic factors in studies of species from higher trophic levels. For primary consumers, the impact of climate was equally mediated by biotic and abiotic mechanisms, whereas for higher level consumers the mechanisms were most frequently biotic, such as predation or food availability. Biotic mechanisms were more frequently supported in studies that reported a directional trend in climate than in studies with no such climatic change, although sample sizes for this comparison were small. We call for more mechanistic studies of climate change impacts on populations, particularly in tropical systems.","container-title":"Global Change Biology","DOI":"10.1111/gcb.12559","ISSN":"1354-1013, 1365-2486","issue":"7","journalAbbreviation":"Global Change Biology","language":"en","license":"http://onlinelibrary.wiley.com/termsAndConditions#vor","page":"2221-2229","source":"DOI.org (Crossref)","title":"Mechanisms underpinning climatic impacts on natural populations: altered species interactions are more important than direct effects","title-short":"Mechanisms underpinning climatic impacts on natural populations","volume":"20","author":[{"family":"Ockendon","given":"Nancy"},{"family":"Baker","given":"David J."},{"family":"Carr","given":"Jamie A."},{"family":"White","given":"Elizabeth C."},{"family":"Almond","given":"Rosamunde E. A."},{"family":"Amano","given":"Tatsuya"},{"family":"Bertram","given":"Esther"},{"family":"Bradbury","given":"Richard B."},{"family":"Bradley","given":"Cassie"},{"family":"Butchart","given":"Stuart H. M."},{"family":"Doswald","given":"Nathalie"},{"family":"Foden","given":"Wendy"},{"family":"Gill","given":"David J. C."},{"family":"Green","given":"Rhys E."},{"family":"Sutherland","given":"William J."},{"family":"Tanner","given":"Edmund V. J."},{"family":"Pearce‐Higgins","given":"James W."}],"issued":{"date-parts":[["2014",7]]}}}],"schema":"https://github.com/citation-style-language/schema/raw/master/csl-citation.json"} </w:instrText>
      </w:r>
      <w:r w:rsidR="00476451" w:rsidRPr="0F72CF47">
        <w:rPr>
          <w:rStyle w:val="normaltextrun"/>
        </w:rPr>
        <w:fldChar w:fldCharType="separate"/>
      </w:r>
      <w:r w:rsidR="53AE0CC4" w:rsidRPr="0F72CF47">
        <w:rPr>
          <w:rStyle w:val="normaltextrun"/>
          <w:noProof/>
        </w:rPr>
        <w:t>(Ockendon et al., 2014)</w:t>
      </w:r>
      <w:r w:rsidR="00476451" w:rsidRPr="0F72CF47">
        <w:rPr>
          <w:rStyle w:val="normaltextrun"/>
        </w:rPr>
        <w:fldChar w:fldCharType="end"/>
      </w:r>
      <w:r w:rsidR="346FBD8A" w:rsidRPr="0F72CF47">
        <w:rPr>
          <w:rStyle w:val="normaltextrun"/>
        </w:rPr>
        <w:t xml:space="preserve">. </w:t>
      </w:r>
    </w:p>
    <w:p w14:paraId="617814A2" w14:textId="52CDC209" w:rsidR="002B4F02" w:rsidRDefault="3DE6920A" w:rsidP="0F72CF47">
      <w:pPr>
        <w:pStyle w:val="paragraph"/>
        <w:spacing w:before="0" w:beforeAutospacing="0" w:after="0" w:afterAutospacing="0" w:line="480" w:lineRule="auto"/>
        <w:ind w:firstLine="720"/>
      </w:pPr>
      <w:r>
        <w:t xml:space="preserve">Including biotic interactions between species </w:t>
      </w:r>
      <w:r w:rsidR="5EFC28FB">
        <w:t xml:space="preserve">in population assessments </w:t>
      </w:r>
      <w:r>
        <w:t xml:space="preserve">may give many common approaches more predictive power </w:t>
      </w:r>
      <w:r w:rsidR="7D033F05">
        <w:t>(e.g., climate envelope</w:t>
      </w:r>
      <w:r w:rsidR="00961B5C">
        <w:t xml:space="preserve"> models</w:t>
      </w:r>
      <w:r w:rsidR="7D033F05">
        <w:t>, habitat</w:t>
      </w:r>
      <w:r w:rsidR="56198C20">
        <w:t xml:space="preserve"> suitability</w:t>
      </w:r>
      <w:r w:rsidR="00961B5C">
        <w:t xml:space="preserve"> indices</w:t>
      </w:r>
      <w:r w:rsidR="56198C20">
        <w:t>, and species distribution</w:t>
      </w:r>
      <w:r w:rsidR="7D033F05">
        <w:t xml:space="preserve"> models</w:t>
      </w:r>
      <w:r w:rsidR="56198C20">
        <w:t>;</w:t>
      </w:r>
      <w:r w:rsidR="53AE0CC4">
        <w:t xml:space="preserve"> </w:t>
      </w:r>
      <w:r w:rsidR="00611FF5">
        <w:fldChar w:fldCharType="begin"/>
      </w:r>
      <w:r w:rsidR="00611FF5">
        <w:instrText xml:space="preserve"> ADDIN ZOTERO_ITEM CSL_CITATION {"citationID":"JVSkgjng","properties":{"formattedCitation":"(Elith &amp; Leathwick, 2009; Hijmans &amp; Graham, 2006; Hirzel &amp; Le Lay, 2008)","plainCitation":"(Elith &amp; Leathwick, 2009; Hijmans &amp; Graham, 2006; Hirzel &amp; Le Lay, 2008)","dontUpdate":true,"noteIndex":0},"citationItems":[{"id":3135,"uris":["http://zotero.org/groups/5634119/items/GGBP3SFD"],"itemData":{"id":3135,"type":"article-journal","abstract":"Species distribution models (SDMs) are numerical tools that combine observations of species occurrence or abundance with environmental estimates. They are used to gain ecological and evolutionary insights and to predict distributions across landscapes, sometimes requiring extrapolation in space and time. SDMs are now widely used across terrestrial, freshwater, and marine realms. Differences in methods between disciplines reflect both differences in species mobility and in “established use.” Model realism and robustness is influenced by selection of relevant predictors and modeling method, consideration of scale, how the interplay between environmental and geographic factors is handled, and the extent of extrapolation. Current linkages between SDM practice and ecological theory are often weak, hindering progress. Remaining challenges include: improvement of methods for modeling presence-only data and for model selection and evaluation; accounting for biotic interactions; and assessing model uncertainty.","container-title":"Annual Review of Ecology, Evolution, and Systematics","DOI":"10.1146/annurev.ecolsys.110308.120159","ISSN":"1543-592X, 1545-2069","issue":"1","journalAbbreviation":"Annu. Rev. Ecol. Evol. Syst.","language":"en","page":"677-697","source":"DOI.org (Crossref)","title":"Species Distribution Models: Ecological Explanation and Prediction Across Space and Time","title-short":"Species Distribution Models","volume":"40","author":[{"family":"Elith","given":"Jane"},{"family":"Leathwick","given":"John R."}],"issued":{"date-parts":[["2009",12,1]]}}},{"id":3134,"uris":["http://zotero.org/groups/5634119/items/LAA3YX9I"],"itemData":{"id":3134,"type":"article-journal","abstract":"Abstract\n            \n              Climate envelope models (CEMs) have been used to predict the distribution of species under current, past, and future climatic conditions by inferring a species' environmental requirements from localities where it is currently known to occur. CEMs can be evaluated for their ability to predict current species distributions but it is unclear whether models that are successful in predicting current distributions are equally successful in predicting distributions under different climates (i.e. different regions or time periods). We evaluated the ability of CEMs to predict species distributions under different climates by comparing their predictions with those obtained with a mechanistic model (MM). In an MM the distribution of a species is modeled based on knowledge of a species' physiology. The potential distributions of 100 plant species were modeled with an MM for current conditions, a past climate reconstruction (21 000 years before present) and a future climate projection (double preindustrial CO\n              2\n              conditions). Point localities extracted from the currently suitable area according to the MM were used to predict current, future, and past distributions with four CEMs covering a broad range of statistical approaches: Bioclim (percentile distributions), Domain (distance metric), GAM (general additive modeling), and Maxent (maximum entropy). Domain performed very poorly, strongly underestimating range sizes for past or future conditions. Maxent and GAM performed as well under current climates as under past and future climates. Bioclim slightly underestimated range sizes but the predicted ranges overlapped more with the ranges predicted with the MM than those predicted with GAM did. Ranges predicted with Maxent overlapped most with those produced with the MMs, but compared with the ranges predicted with GAM they were more variable and sometimes much too large. Our results suggest that some CEMs can indeed be used to predict species distributions under climate change, but individual modeling approaches should be validated for this purpose, and model choice could be made dependent on the purpose of a particular study.","container-title":"Global Change Biology","DOI":"10.1111/j.1365-2486.2006.01256.x","ISSN":"1354-1013, 1365-2486","issue":"12","journalAbbreviation":"Global Change Biology","language":"en","license":"http://onlinelibrary.wiley.com/termsAndConditions#vor","page":"2272-2281","source":"DOI.org (Crossref)","title":"The ability of climate envelope models to predict the effect of climate change on species distributions","volume":"12","author":[{"family":"Hijmans","given":"Robert J."},{"family":"Graham","given":"Catherine H."}],"issued":{"date-parts":[["2006",12]]}}},{"id":3136,"uris":["http://zotero.org/groups/5634119/items/5Q9NEEKJ"],"itemData":{"id":3136,"type":"article-journal","container-title":"Journal of Applied Ecology","DOI":"10.1111/j.1365-2664.2008.01524.x","ISSN":"0021-8901, 1365-2664","issue":"5","journalAbbreviation":"Journal of Applied Ecology","language":"en","license":"http://onlinelibrary.wiley.com/termsAndConditions#vor","page":"1372-1381","source":"DOI.org (Crossref)","title":"Habitat suitability modelling and niche theory","volume":"45","author":[{"family":"Hirzel","given":"Alexandre H."},{"family":"Le Lay","given":"Gwenaëlle"}],"issued":{"date-parts":[["2008",10]]}}}],"schema":"https://github.com/citation-style-language/schema/raw/master/csl-citation.json"} </w:instrText>
      </w:r>
      <w:r w:rsidR="00611FF5">
        <w:fldChar w:fldCharType="separate"/>
      </w:r>
      <w:r w:rsidR="53AE0CC4" w:rsidRPr="0F72CF47">
        <w:rPr>
          <w:noProof/>
        </w:rPr>
        <w:t>Elith &amp; Leathwick, 2009; Hijmans &amp; Graham, 2006; Hirzel &amp; Le Lay, 2008)</w:t>
      </w:r>
      <w:r w:rsidR="00611FF5">
        <w:fldChar w:fldCharType="end"/>
      </w:r>
      <w:r w:rsidR="7D033F05">
        <w:t xml:space="preserve">. </w:t>
      </w:r>
      <w:r>
        <w:t xml:space="preserve">In their traditional application, these models can fail to </w:t>
      </w:r>
      <w:r w:rsidR="7B130F3B">
        <w:t xml:space="preserve">predict </w:t>
      </w:r>
      <w:r w:rsidR="00961B5C">
        <w:t xml:space="preserve">observed </w:t>
      </w:r>
      <w:r w:rsidR="33FA84BA">
        <w:t>population</w:t>
      </w:r>
      <w:r w:rsidR="7B130F3B">
        <w:t xml:space="preserve"> </w:t>
      </w:r>
      <w:r w:rsidR="7D033F05">
        <w:t>patterns</w:t>
      </w:r>
      <w:r w:rsidR="53AE0CC4">
        <w:t xml:space="preserve"> </w:t>
      </w:r>
      <w:r w:rsidR="00611FF5">
        <w:fldChar w:fldCharType="begin"/>
      </w:r>
      <w:r w:rsidR="00611FF5">
        <w:instrText xml:space="preserve"> ADDIN ZOTERO_ITEM CSL_CITATION {"citationID":"GdNg2jq8","properties":{"formattedCitation":"(Evans et al., 2024; Lee\\uc0\\u8208{}Yaw et al., 2022)","plainCitation":"(Evans et al., 2024; Lee‐Yaw et al., 2022)","noteIndex":0},"citationItems":[{"id":3138,"uris":["http://zotero.org/groups/5634119/items/MBRWAK2J"],"itemData":{"id":3138,"type":"article-journal","abstract":"Given the importance of climate in shaping species’ geographic distributions, climate change poses an existential threat to biodiversity. Climate envelope modeling, the predominant approach used to quantify this threat, presumes that individuals in populations respond to climate variability and change according to species-level responses inferred from spatial occurrence data—such that individuals at the cool edge of a species’ distribution should benefit from warming (the “leading edge”), whereas individuals at the warm edge should suffer (the “trailing edge”). Using 1,558 tree-ring time series of an aridland pine (\n              Pinus edulis\n              ) collected at 977 locations across the species’ distribution, we found that trees everywhere grow less in warmer-than-average and drier-than-average years. Ubiquitous negative temperature sensitivity indicates that individuals across the entire distribution should suffer with warming—the entire distribution is a trailing edge. Species-level responses to spatial climate variation are opposite in sign to individual-scale responses to time-varying climate for approximately half the species’ distribution with respect to temperature and the majority of the species’ distribution with respect to precipitation. These findings, added to evidence from the literature for scale-dependent climate responses in hundreds of species, suggest that correlative, equilibrium-based range forecasts may fail to accurately represent how individuals in populations will be impacted by changing climate. A scale-dependent view of the impact of climate change on biodiversity highlights the transient risk of extinction hidden inside climate envelope forecasts and the importance of evolution in rescuing species from extinction whenever local climate variability and change exceeds individual-scale climate tolerances.","container-title":"Proceedings of the National Academy of Sciences","DOI":"10.1073/pnas.2315700121","ISSN":"0027-8424, 1091-6490","issue":"24","journalAbbreviation":"Proc. Natl. Acad. Sci. U.S.A.","language":"en","page":"e2315700121","source":"DOI.org (Crossref)","title":"Tree rings reveal the transient risk of extinction hidden inside climate envelope forecasts","volume":"121","author":[{"family":"Evans","given":"Margaret E. K."},{"family":"Dey","given":"Sharmila M. N."},{"family":"Heilman","given":"Kelly A."},{"family":"Tipton","given":"John R."},{"family":"DeRose","given":"R. Justin"},{"family":"Klesse","given":"Stefan"},{"family":"Schultz","given":"Emily L."},{"family":"Shaw","given":"John D."}],"issued":{"date-parts":[["2024",6,11]]}}},{"id":3140,"uris":["http://zotero.org/groups/5634119/items/QGZFIRV9"],"itemData":{"id":3140,"type":"article-journal","container-title":"Ecography","DOI":"10.1111/ecog.05877","ISSN":"0906-7590, 1600-0587","issue":"6","journalAbbreviation":"Ecography","language":"en","source":"DOI.org (Crossref)","title":"Species distribution models rarely predict the biology of real populations","URL":"https://onlinelibrary.wiley.com/doi/10.1111/ecog.05877","volume":"2022","author":[{"family":"Lee‐Yaw","given":"Julie A."},{"family":"McCune","given":"Jenny L."},{"family":"Pironon","given":"Samuel"},{"family":"Sheth","given":"Seema N"}],"accessed":{"date-parts":[["2023",3,27]]},"issued":{"date-parts":[["2022",6]]}}}],"schema":"https://github.com/citation-style-language/schema/raw/master/csl-citation.json"} </w:instrText>
      </w:r>
      <w:r w:rsidR="00611FF5">
        <w:fldChar w:fldCharType="separate"/>
      </w:r>
      <w:r w:rsidR="2E7783CD">
        <w:t>(Evans et al., 2024; Lee‐Yaw et al., 2022)</w:t>
      </w:r>
      <w:r w:rsidR="00611FF5">
        <w:fldChar w:fldCharType="end"/>
      </w:r>
      <w:r w:rsidR="56198C20">
        <w:t>.</w:t>
      </w:r>
      <w:r w:rsidR="77785EFA">
        <w:t xml:space="preserve"> </w:t>
      </w:r>
      <w:r>
        <w:t xml:space="preserve">However, including species interactions into these or similar models is challenging given the dynamic nature of </w:t>
      </w:r>
      <w:r w:rsidR="4EC37C2A">
        <w:t>biotic</w:t>
      </w:r>
      <w:r>
        <w:t xml:space="preserve"> interactions </w:t>
      </w:r>
      <w:r w:rsidR="00611FF5">
        <w:fldChar w:fldCharType="begin"/>
      </w:r>
      <w:r w:rsidR="00611FF5">
        <w:instrText xml:space="preserve"> ADDIN ZOTERO_ITEM CSL_CITATION {"citationID":"w83mJUIh","properties":{"formattedCitation":"(CaraDonna et al., 2017; Poisot et al., 2015)","plainCitation":"(CaraDonna et al., 2017; Poisot et al., 2015)","noteIndex":0},"citationItems":[{"id":3131,"uris":["http://zotero.org/groups/5634119/items/P2MBW9S8"],"itemData":{"id":3131,"type":"article-journal","abstract":"Abstract\n            Whether species interactions are static or change over time has wide‐reaching ecological and evolutionary consequences. However, species interaction networks are typically constructed from temporally aggregated interaction data, thereby implicitly assuming that interactions are fixed. This approach has advanced our understanding of communities, but it obscures the timescale at which interactions form (or dissolve) and the drivers and consequences of such dynamics. We address this knowledge gap by quantifying the within‐season turnover of plant–pollinator interactions from weekly censuses across 3 years in a subalpine ecosystem. Week‐to‐week turnover of interactions (1) was high, (2) followed a consistent seasonal progression in all years of study and (3) was dominated by interaction rewiring (the reassembly of interactions among species). Simulation models revealed that species’ phenologies and relative abundances constrained both total interaction turnover and rewiring. Our findings reveal the diversity of species interactions that may be missed when the temporal dynamics of networks are ignored.","container-title":"Ecology Letters","DOI":"10.1111/ele.12740","ISSN":"1461-023X, 1461-0248","issue":"3","journalAbbreviation":"Ecology Letters","language":"en","page":"385-394","source":"DOI.org (Crossref)","title":"Interaction rewiring and the rapid turnover of plant–pollinator networks","volume":"20","author":[{"family":"CaraDonna","given":"Paul J."},{"family":"Petry","given":"William K."},{"family":"Brennan","given":"Ross M."},{"family":"Cunningham","given":"James L."},{"family":"Bronstein","given":"Judith L."},{"family":"Waser","given":"Nickolas M."},{"family":"Sanders","given":"Nathan J."}],"editor":[{"family":"Jordan","given":"Ferenc"}],"issued":{"date-parts":[["2017",3]]}}},{"id":2996,"uris":["http://zotero.org/groups/5634119/items/98XVULPE"],"itemData":{"id":2996,"type":"article-journal","abstract":"Community ecology is tasked with the considerable challenge of predicting the structure, and properties, of emerging ecosystems. It requires the ability to understand how and why species interact, as this will allow the development of mechanism‐based predictive models, and as such to better characterize how ecological mechanisms act locally on the existence of inter‐specific interactions. Here we argue that the current conceptualization of species interaction networks is ill‐suited for this task. Instead, we propose that future research must start to account for the intrinsic variability of species interactions, then scale up from here onto complex networks. This can be accomplished simply by recognizing that there exists intra‐specific variability, in traits or properties related to the establishment of species interactions. By shifting the scale towards population‐based processes, we show that this new approach will improve our predictive ability and mechanistic understanding of how species interact over large spatial or temporal scales.\n            \n              \n                \n                  Synthesis\n                \n                Although species interactions are the backbone of ecological communities, we have little insights on how (and why) they vary through space and time. In this article, we build on existing empirical literature to show that the same species may happen to interact in different ways when their local abundances vary, their trait distribution changes, or when the environment affects either of these factors. We discuss how these findings can be integrated in existing frameworks for the analysis and simulation of species interactions.","container-title":"Oikos","DOI":"10.1111/oik.01719","ISSN":"0030-1299, 1600-0706","issue":"3","journalAbbreviation":"Oikos","language":"en","page":"243-251","source":"DOI.org (Crossref)","title":"Beyond species: why ecological interaction networks vary through space and time","title-short":"Beyond species","volume":"124","author":[{"family":"Poisot","given":"Timothée"},{"family":"Stouffer","given":"Daniel B."},{"family":"Gravel","given":"Dominique"}],"issued":{"date-parts":[["2015",3]]}}}],"schema":"https://github.com/citation-style-language/schema/raw/master/csl-citation.json"} </w:instrText>
      </w:r>
      <w:r w:rsidR="00611FF5">
        <w:fldChar w:fldCharType="separate"/>
      </w:r>
      <w:r w:rsidR="53AE0CC4" w:rsidRPr="0F72CF47">
        <w:rPr>
          <w:noProof/>
        </w:rPr>
        <w:t>(CaraDonna et al., 2017; Poisot et al., 2015)</w:t>
      </w:r>
      <w:r w:rsidR="00611FF5">
        <w:fldChar w:fldCharType="end"/>
      </w:r>
      <w:r w:rsidR="53AE0CC4">
        <w:t xml:space="preserve">. </w:t>
      </w:r>
      <w:r w:rsidR="33FA84BA" w:rsidRPr="0F72CF47">
        <w:rPr>
          <w:rStyle w:val="eop"/>
        </w:rPr>
        <w:t>I</w:t>
      </w:r>
      <w:r w:rsidR="7B130F3B" w:rsidRPr="0F72CF47">
        <w:rPr>
          <w:rStyle w:val="eop"/>
        </w:rPr>
        <w:t>nteractions</w:t>
      </w:r>
      <w:r w:rsidR="33FA84BA" w:rsidRPr="0F72CF47">
        <w:rPr>
          <w:rStyle w:val="eop"/>
        </w:rPr>
        <w:t xml:space="preserve"> </w:t>
      </w:r>
      <w:r w:rsidR="7B130F3B" w:rsidRPr="0F72CF47">
        <w:rPr>
          <w:rStyle w:val="eop"/>
        </w:rPr>
        <w:t xml:space="preserve">are shaped by past population and community dynamics, reflecting ecological memory and biological legacies </w:t>
      </w:r>
      <w:r w:rsidR="00611FF5" w:rsidRPr="0F72CF47">
        <w:rPr>
          <w:rStyle w:val="eop"/>
        </w:rPr>
        <w:fldChar w:fldCharType="begin"/>
      </w:r>
      <w:r w:rsidR="00611FF5" w:rsidRPr="0F72CF47">
        <w:rPr>
          <w:rStyle w:val="eop"/>
        </w:rPr>
        <w:instrText xml:space="preserve"> ADDIN ZOTERO_ITEM CSL_CITATION {"citationID":"BE2Ccb0e","properties":{"formattedCitation":"(Essl et al., 2015; Ogle et al., 2015; Padisak, 1992)","plainCitation":"(Essl et al., 2015; Ogle et al., 2015; Padisak, 1992)","noteIndex":0},"citationItems":[{"id":2537,"uris":["http://zotero.org/users/6391447/items/9YYMRAVA"],"itemData":{"id":2537,"type":"article-journal","abstract":"Abstract\n            \n              Aim\n              Biodiversity responses to changing environmental forcing on species are often characterized by considerable time‐lags (= relaxation times). Although changes to the occurrence and abundance of species likely have cascading effects (e.g. on species of other trophic levels, genes, community structure and ecosystem processes), current concepts addressing lagged biodiversity responses are limited to single drivers affecting a few biodiversity components (e.g. extinction debt in terms of species numbers or population size). Little attention has been paid to the interacting and cumulative nature of time‐lag phenomena. Here, we synthesize current knowledge, mechanisms and implications of delayed biodiversity responses and propose a ‘cumulative biodiversity lags‐framework’ which aims to integrate lagged responses of various components of biological organization.\n            \n            \n              Location\n              Global.\n            \n            \n              Results\n              Effects of change in environmental forcing are transmitted along a series of linked cause–effect relationships which act on different biodiversity components (e.g. individuals, populations, species, communities). We show that lagged responses to environmental forcing are caused by different mechanisms (e.g. metapopulation dynamics, dispersal limitation, successional dynamics), which operate sequentially on these intermediary links. Lags manifest themselves on the respective biodiversity component which changes over time; the full relaxation time of a focal system will therefore depend on the aggregate length of different lags. We elucidate key mechanisms and circumstances which are likely to cause cumulative lagged responses, and propose research avenues to improve understanding of cumulative biodiversity lags.\n            \n            \n              Main conclusions\n              The failure to give adequate consideration to widespread cumulative time‐lags often masks the full extent of biodiversity changes that have already been triggered. Effects that are particularly relevant for human livelihoods (e.g. changes in the provision of ecosystem services) may emerge with the most pronounced delay. Accordingly, the consideration of appropriate temporal scales should become a key topic in future work at the science–policy interface.","container-title":"Diversity and Distributions","DOI":"10.1111/ddi.12312","ISSN":"1366-9516, 1472-4642","issue":"5","journalAbbreviation":"Diversity and Distributions","language":"en","page":"534-547","source":"DOI.org (Crossref)","title":"Historical legacies accumulate to shape future biodiversity in an era of rapid global change","volume":"21","author":[{"family":"Essl","given":"Franz"},{"family":"Dullinger","given":"Stefan"},{"family":"Rabitsch","given":"Wolfgang"},{"family":"Hulme","given":"Philip E."},{"family":"Pyšek","given":"Petr"},{"family":"Wilson","given":"John R. U."},{"family":"Richardson","given":"David M."}],"editor":[{"family":"Kueffer","given":"Christoph"}],"issued":{"date-parts":[["2015",5]]}}},{"id":67,"uris":["http://zotero.org/users/6391447/items/HCIC6RJW"],"itemData":{"id":67,"type":"article-journal","abstract":"The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T."}],"editor":[{"family":"Cleland","given":"Elsa"}],"issued":{"date-parts":[["2015",3]]}}},{"id":3029,"uris":["http://zotero.org/users/6391447/items/JYXAPBIR"],"itemData":{"id":3029,"type":"article-journal","container-title":"The Journal of Ecology","DOI":"10.2307/2261008","ISSN":"00220477","issue":"2","journalAbbreviation":"The Journal of Ecology","page":"217","source":"DOI.org (Crossref)","title":"Seasonal Succession of Phytoplankton in a Large Shallow Lake (Balaton, Hungary)--A Dynamic Approach to Ecological Memory, Its Possible Role and Mechanisms","volume":"80","author":[{"family":"Padisak","given":"Judit"}],"issued":{"date-parts":[["1992",6]]}}}],"schema":"https://github.com/citation-style-language/schema/raw/master/csl-citation.json"} </w:instrText>
      </w:r>
      <w:r w:rsidR="00611FF5" w:rsidRPr="0F72CF47">
        <w:rPr>
          <w:rStyle w:val="eop"/>
        </w:rPr>
        <w:fldChar w:fldCharType="separate"/>
      </w:r>
      <w:r w:rsidR="53AE0CC4" w:rsidRPr="0F72CF47">
        <w:rPr>
          <w:rStyle w:val="eop"/>
          <w:noProof/>
        </w:rPr>
        <w:t>(Essl et al., 2015; Ogle et al., 2015; Padisak, 1992)</w:t>
      </w:r>
      <w:r w:rsidR="00611FF5" w:rsidRPr="0F72CF47">
        <w:rPr>
          <w:rStyle w:val="eop"/>
        </w:rPr>
        <w:fldChar w:fldCharType="end"/>
      </w:r>
      <w:r w:rsidR="7B130F3B" w:rsidRPr="0F72CF47">
        <w:rPr>
          <w:rStyle w:val="eop"/>
        </w:rPr>
        <w:t xml:space="preserve">. </w:t>
      </w:r>
      <w:r w:rsidRPr="0F72CF47">
        <w:rPr>
          <w:rStyle w:val="eop"/>
        </w:rPr>
        <w:t>Interactions</w:t>
      </w:r>
      <w:r w:rsidR="7B130F3B" w:rsidRPr="0F72CF47">
        <w:rPr>
          <w:rStyle w:val="eop"/>
        </w:rPr>
        <w:t xml:space="preserve"> </w:t>
      </w:r>
      <w:r w:rsidR="3ADCD2B9" w:rsidRPr="0F72CF47">
        <w:rPr>
          <w:rStyle w:val="eop"/>
        </w:rPr>
        <w:t xml:space="preserve">can </w:t>
      </w:r>
      <w:r w:rsidR="00961B5C">
        <w:rPr>
          <w:rStyle w:val="eop"/>
        </w:rPr>
        <w:t xml:space="preserve">also </w:t>
      </w:r>
      <w:r w:rsidR="609D3FB7">
        <w:t>shift</w:t>
      </w:r>
      <w:r w:rsidR="7B130F3B" w:rsidRPr="0F72CF47">
        <w:rPr>
          <w:rStyle w:val="eop"/>
        </w:rPr>
        <w:t xml:space="preserve"> across space due to variation in individual-fitness, resource availability, and competitive interactions </w:t>
      </w:r>
      <w:r w:rsidR="00611FF5" w:rsidRPr="0F72CF47">
        <w:rPr>
          <w:rStyle w:val="eop"/>
        </w:rPr>
        <w:fldChar w:fldCharType="begin"/>
      </w:r>
      <w:r w:rsidR="00611FF5" w:rsidRPr="0F72CF47">
        <w:rPr>
          <w:rStyle w:val="eop"/>
        </w:rPr>
        <w:instrText xml:space="preserve"> ADDIN ZOTERO_ITEM CSL_CITATION {"citationID":"m9fREqfa","properties":{"formattedCitation":"(Langendorf et al., 2025; Liu &amp; Gaines, 2022)","plainCitation":"(Langendorf et al., 2025; Liu &amp; Gaines, 2022)","noteIndex":0},"citationItems":[{"id":3018,"uris":["http://zotero.org/groups/5634119/items/RR75FX8C"],"itemData":{"id":3018,"type":"article-journal","abstract":"Sea otters are an iconic keystone predator that can maintain kelp forests by preying on grazing invertebrates such as sea urchins. However, the effects of sea otters on kelp forests vary over their geographic range. Here, we analyze two 30-y datasets on kelp forest communities during the reintroduction of sea otters along the west coast of Vancouver Island, BC, Canada, and around San Nicolas Island, CA. We developed a community model to estimate species interactions as dynamic rates, varying with community state. We find evidence of a classic trophic cascade off Vancouver Island; the arrival of otters quickly led to depletion of urchins and recovery of kelp. However, this cascade was muted around San Nicolas Island, with otters, urchins, and kelp all coexisting at intermediate densities for multiple years. Our models show that this difference came from a pulse of strong otter impacts on urchins following recolonization off Vancouver Island, but not off San Nicolas Island. The mean effects of otters on urchins and urchins on kelp were not stronger in the north, indicating that interaction dynamics and not average interaction strength are key to explaining differences in community trajectories. We also find stronger multistep interaction chains in the south, arising from competitive interactions that indirectly buffered otter effects. These findings shed light on long-standing hypotheses about how interspecific interactions can alter the function of keystone species across community contexts. More broadly, we show how community change can be more accurately predicted by considering dynamic interaction strengths.","container-title":"Proceedings of the National Academy of Sciences","DOI":"10.1073/pnas.2413360122","ISSN":"0027-8424, 1091-6490","issue":"10","journalAbbreviation":"Proc. Natl. Acad. Sci. U.S.A.","language":"en","page":"e2413360122","source":"DOI.org (Crossref)","title":"Dynamic and context-dependent keystone species effects in kelp forests","volume":"122","author":[{"family":"Langendorf","given":"Ryan E."},{"family":"Estes","given":"James A."},{"family":"Watson","given":"Jane C."},{"family":"Kenner","given":"Michael C."},{"family":"Hatfield","given":"Brian B."},{"family":"Tinker","given":"M. Tim"},{"family":"Waddle","given":"Ellen"},{"family":"DeMarche","given":"Megan L."},{"family":"Doak","given":"Daniel F."}],"issued":{"date-parts":[["2025",3,11]]}}},{"id":3001,"uris":["http://zotero.org/groups/5634119/items/LW73UBXP"],"itemData":{"id":3001,"type":"article-journal","abstract":"Ecological interactions are not uniform across time and can vary with environmental conditions. Yet, interactions among species are often measured with short-term controlled experiments whose outcomes can depend greatly on the particular environmental conditions under which they are performed. As an alternative, we use empirical dynamic modeling to estimate species interactions across a wide range of environmental conditions directly from existing long-term monitoring data. In our case study from a southern California kelp forest, we test whether interactions between multiple kelp and sea urchin species can be reliably reconstructed from time-series data and whether those interactions vary predictably in strength and direction across observed fluctuations in temperature, disturbance, and low-frequency oceanographic regimes. We show that environmental context greatly alters the strength and direction of species interactions. In particular, the state of the North Pacific Gyre Oscillation seems to drive the competitive balance between kelp species, asserting bottom-up control on kelp ecosystem dynamics. We show the importance of specifically studying variation in interaction strength, rather than mean interaction outcomes, when trying to understand the dynamics of complex ecosystems. The significant context dependency in species interactions found in this study argues for a greater utilization of long-term data and empirical dynamic modeling in studies of the dynamics of other ecosystems.","container-title":"Proceedings of the National Academy of Sciences","DOI":"10.1073/pnas.2118539119","ISSN":"0027-8424, 1091-6490","issue":"36","journalAbbreviation":"Proc. Natl. Acad. Sci. U.S.A.","language":"en","page":"e2118539119","source":"DOI.org (Crossref)","title":"Environmental context dependency in species interactions","volume":"119","author":[{"family":"Liu","given":"Owen R."},{"family":"Gaines","given":"Steven D."}],"issued":{"date-parts":[["2022",9,6]]}}}],"schema":"https://github.com/citation-style-language/schema/raw/master/csl-citation.json"} </w:instrText>
      </w:r>
      <w:r w:rsidR="00611FF5" w:rsidRPr="0F72CF47">
        <w:rPr>
          <w:rStyle w:val="eop"/>
        </w:rPr>
        <w:fldChar w:fldCharType="separate"/>
      </w:r>
      <w:r w:rsidR="7B130F3B" w:rsidRPr="0F72CF47">
        <w:rPr>
          <w:rStyle w:val="eop"/>
          <w:noProof/>
        </w:rPr>
        <w:t>(Langendorf et al., 2025; Liu &amp; Gaines, 2022)</w:t>
      </w:r>
      <w:r w:rsidR="00611FF5" w:rsidRPr="0F72CF47">
        <w:rPr>
          <w:rStyle w:val="eop"/>
        </w:rPr>
        <w:fldChar w:fldCharType="end"/>
      </w:r>
      <w:r w:rsidR="7B130F3B" w:rsidRPr="0F72CF47">
        <w:rPr>
          <w:rStyle w:val="normaltextrun"/>
        </w:rPr>
        <w:t xml:space="preserve">. </w:t>
      </w:r>
      <w:r w:rsidRPr="0F72CF47">
        <w:rPr>
          <w:rStyle w:val="normaltextrun"/>
        </w:rPr>
        <w:t xml:space="preserve">Given this spatiotemporal variation, </w:t>
      </w:r>
      <w:r w:rsidR="00961B5C">
        <w:rPr>
          <w:rStyle w:val="normaltextrun"/>
        </w:rPr>
        <w:t xml:space="preserve">such species </w:t>
      </w:r>
      <w:r w:rsidRPr="0F72CF47">
        <w:rPr>
          <w:rStyle w:val="normaltextrun"/>
        </w:rPr>
        <w:t xml:space="preserve">interactions </w:t>
      </w:r>
      <w:r w:rsidRPr="0F72CF47">
        <w:rPr>
          <w:rStyle w:val="normaltextrun"/>
        </w:rPr>
        <w:lastRenderedPageBreak/>
        <w:t>vary widely in strength and direction</w:t>
      </w:r>
      <w:r w:rsidR="7B130F3B" w:rsidRPr="0F72CF47">
        <w:rPr>
          <w:rStyle w:val="normaltextrun"/>
        </w:rPr>
        <w:t xml:space="preserve"> </w:t>
      </w:r>
      <w:r w:rsidR="00611FF5" w:rsidRPr="0F72CF47">
        <w:rPr>
          <w:rStyle w:val="normaltextrun"/>
        </w:rPr>
        <w:fldChar w:fldCharType="begin"/>
      </w:r>
      <w:r w:rsidR="00C957C2">
        <w:rPr>
          <w:rStyle w:val="normaltextrun"/>
        </w:rPr>
        <w:instrText xml:space="preserve"> ADDIN ZOTERO_ITEM CSL_CITATION {"citationID":"KjFjW6XI","properties":{"formattedCitation":"(Bogdziewicz et al., 2020; Moore &amp; Dittel, 2020; Sawaya et al., 2018)","plainCitation":"(Bogdziewicz et al., 2020; Moore &amp; Dittel, 2020; Sawaya et al., 2018)","dontUpdate":true,"noteIndex":0},"citationItems":[{"id":2854,"uris":["http://zotero.org/groups/5634119/items/MJABSAQ9"],"itemData":{"id":2854,"type":"article-journal","abstract":"AbstractNumerous interactions between plants and animals vary in their outcome between antagonism and mutualism. Interactions between plants and scatter‐hoarding animals provide a prime example of this phenomenon. Scatterhoarders consume large quantities of seeds (potentially reducing plant establishment), yet also disperse seeds and bury them in shallow caches (potentially improving recruitment). Despite intense work on mechanisms that cause these interactions to shift along an antagonism–mutualism continuum, it remains difficult to quantify their final outcomes.We demonstrate how readily available field data can be used to reach this goal, with interactions between rodents and two oaks species (sessile oak Quercus petraea, and red oak Q. rubra) as an empirical example. Our approach consists of quantifying the net outcome of the interaction through collecting data on different vital rates (e.g. probability that cached seeds survive to germination, probability of seedling recruitment with and without rodents; near and far from conspecific trees; with and without seed pilferage) and assembling them in a simple mathematical model.We found that during the period of the study, interactions between scatter‐hoarding rodents and both focal oaks were antagonistic. Even though caching increased the likelihood of seedling establishment, this effect was not strong enough to compensate for the costs of seed predation. Furthermore, there was no evidence that the short‐distance transportation that is usually provided by small mammals benefited early oak recruitment.Synthesis. Our empirical results demonstrated that certain common assumptions – that caching by rodents invariably benefits plant recruitment; that improved seedling establishment after seed burial is sufficient to make plant–scatterhoarder interactions mutualistic; that transportation away from maternal plants is highly beneficial—do not always hold and should be tested rather than taken for granted.","container-title":"Journal of Ecology","DOI":"10.1111/1365-2745.13307","ISSN":"0022-0477, 1365-2745","issue":"3","language":"en","license":"http://onlinelibrary.wiley.com/termsAndConditions#vor","page":"1009-1018","publisher":"Wiley","source":"Crossref","title":"Do benefits of seed dispersal and caching by scatterhoarders outweigh the costs of predation? An example with oaks and yellow‐necked mice","title-short":"Do benefits of seed dispersal and caching by scatterhoarders outweigh the costs of predation?","volume":"108","author":[{"family":"Bogdziewicz","given":"Michał"},{"family":"Crone","given":"Elizabeth E."},{"family":"Zwolak","given":"Rafał"}],"editor":[{"family":"Rees","given":"Mark"}],"issued":{"date-parts":[["2020",5]]}}},{"id":2866,"uris":["http://zotero.org/groups/5634119/items/DSHJRM3N"],"itemData":{"id":2866,"type":"article-journal","abstract":"AbstractSpecies interactions are context dependent, in that their direction and magnitude can vary across ecological conditions. For seed dispersal interactions—especially interactions between plants and seed‐caching animals—the direction of the interactions is often obscured because of seed mortality inherent in seed handling and the delayed effects of fitness benefits received by plants. It is, therefore, an open question in ecology to understand the ecological contexts under which seed dispersal interactions are facilitative, antagonistic or null.We review the fitness benefits of animal‐mediated seed dispersal, extend a recently published model to include negative density‐dependent effects, and review the feedback between seed production (with a focus on masting) and seed‐caching animal populations.Negative density‐dependent effects are pervasive and strongly affect the direction of plant‐seed‐disperser interactions, and including them into models will give a more accurate understanding of the direction of the interaction. Including negative density‐dependent effects also makes the interpretation of interaction more mutualistic since seed dispersers decrease seed densities. Additionally, there is substantial interannual variability in seed production in most nut‐producing plant species, and the lags between seed production and seed‐disperser population sizes complicate and limit inferences made about the direction of interactions in any given short‐term study.Synthesis. If we wish to know the direction of species interactions in real ecological communities, we need models that contain a minimum level of biological realism. For complex and long‐term phenomena such as context‐dependent species interactions we should embrace a multifaceted approach of short‐term field research, long‐term field research, simple models, and complex models to form a more robust understanding of the ecological problem of context dependency.","container-title":"Journal of Ecology","DOI":"10.1111/1365-2745.13414","ISSN":"0022-0477, 1365-2745","issue":"5","language":"en","license":"http://creativecommons.org/licenses/by/4.0/","page":"1775-1783","publisher":"Wiley","source":"Crossref","title":"On mutualism, models, and masting: The effects of seed‐dispersing animals on the plants they disperse","title-short":"On mutualism, models, and masting","volume":"108","author":[{"family":"Moore","given":"Christopher M."},{"family":"Dittel","given":"Jacob W."}],"editor":[{"family":"Shefferson","given":"Richard"}],"issued":{"date-parts":[["2020",9]]}}},{"id":2839,"uris":["http://zotero.org/groups/5634119/items/4S5TLTGP"],"itemData":{"id":2839,"type":"article-journal","abstract":"ABSTRACTThe conditional mutualism between scatterhoarders and trees varies on a continuum from mutualism to antagonism and can change across time and space, and among species. We examined 4 tree species (red oak [Quercus rubra], white oak [Quercus alba], American chestnut [Castanea dentata] and hybrid chestnut [C. dentata × Castanea mollissima) across 5 sites and 3 years to quantify the variability in this conditional mutualism. We used a published model to compare the rates of seed emergence with and without burial to the probability that seeds will be cached and left uneaten by scatterhoarders to quantify variation in the conditional mutualism that can be explained by environmental variation among sites, years, species, and seed provenance within species. All species tested had increased emergence when buried. However, comparing benefits of burial to the probability of caching by scatterhoarders indicated a mutualism in red oak, while white oak was nearly always antagonistic. Chestnut was variable around the boundary between mutualism and antagonism, indicating a high degree of context dependence in the relationship with scatterhoarders. We found that different seed provenances did not vary in their potential for mutualism. Temperature did not explain microsite differences in seed emergence in any of the species tested. In hybrid chestnut only, emergence on the surface declined with soil moisture in the fall. By quantifying the variation in the conditional mutualism that was not caused by changes in scatterhoarder behavior, we show that environmental conditions and seed traits are an important and underappreciated component of the variation in the relationship between trees and scatterhoarders.","container-title":"Integrative Zoology","DOI":"10.1111/1749-4877.12311","ISSN":"1749-4877, 1749-4877","issue":"3","language":"en","license":"http://onlinelibrary.wiley.com/termsAndConditions#vor","page":"319-330","publisher":"Wiley","source":"Crossref","title":"Environmental variation shifts the relationship between trees and scatterhoarders along the continuum from mutualism to antagonism","volume":"13","author":[{"family":"Sawaya","given":"Gina M."},{"family":"Goldberg","given":"Adam S."},{"family":"Steele","given":"Michael A."},{"family":"Dalgleish","given":"Harmony J."}],"issued":{"date-parts":[["2018",5]]}}}],"schema":"https://github.com/citation-style-language/schema/raw/master/csl-citation.json"} </w:instrText>
      </w:r>
      <w:r w:rsidR="00611FF5" w:rsidRPr="0F72CF47">
        <w:rPr>
          <w:rStyle w:val="normaltextrun"/>
        </w:rPr>
        <w:fldChar w:fldCharType="separate"/>
      </w:r>
      <w:r w:rsidR="7B130F3B" w:rsidRPr="0F72CF47">
        <w:rPr>
          <w:rStyle w:val="normaltextrun"/>
          <w:noProof/>
        </w:rPr>
        <w:t>(</w:t>
      </w:r>
      <w:r w:rsidR="63F7B03B" w:rsidRPr="0F72CF47">
        <w:rPr>
          <w:rStyle w:val="normaltextrun"/>
          <w:noProof/>
        </w:rPr>
        <w:t xml:space="preserve">e.g., mutualisms become consumptive; </w:t>
      </w:r>
      <w:r w:rsidR="7B130F3B" w:rsidRPr="0F72CF47">
        <w:rPr>
          <w:rStyle w:val="normaltextrun"/>
          <w:noProof/>
        </w:rPr>
        <w:t>Bogdziewicz et al., 2020; Moore &amp; Dittel, 2020; Sawaya et al., 2018)</w:t>
      </w:r>
      <w:r w:rsidR="00611FF5" w:rsidRPr="0F72CF47">
        <w:rPr>
          <w:rStyle w:val="normaltextrun"/>
        </w:rPr>
        <w:fldChar w:fldCharType="end"/>
      </w:r>
      <w:r w:rsidR="7B130F3B" w:rsidRPr="0F72CF47">
        <w:rPr>
          <w:rStyle w:val="normaltextrun"/>
        </w:rPr>
        <w:t>.</w:t>
      </w:r>
      <w:r w:rsidR="7D033F05" w:rsidRPr="0F72CF47">
        <w:rPr>
          <w:rStyle w:val="normaltextrun"/>
        </w:rPr>
        <w:t xml:space="preserve"> </w:t>
      </w:r>
    </w:p>
    <w:p w14:paraId="0CC16F66" w14:textId="19D57784" w:rsidR="002B4F02" w:rsidRDefault="50D5FACF" w:rsidP="27B05390">
      <w:pPr>
        <w:pStyle w:val="paragraph"/>
        <w:spacing w:before="0" w:beforeAutospacing="0" w:after="0" w:afterAutospacing="0" w:line="480" w:lineRule="auto"/>
        <w:ind w:firstLine="720"/>
        <w:textAlignment w:val="baseline"/>
        <w:rPr>
          <w:rStyle w:val="normaltextrun"/>
        </w:rPr>
      </w:pPr>
      <w:r w:rsidRPr="0F72CF47">
        <w:rPr>
          <w:rStyle w:val="normaltextrun"/>
        </w:rPr>
        <w:t xml:space="preserve">Seed </w:t>
      </w:r>
      <w:r w:rsidR="2A1415D9" w:rsidRPr="0F72CF47">
        <w:rPr>
          <w:rStyle w:val="normaltextrun"/>
        </w:rPr>
        <w:t xml:space="preserve">consumption and </w:t>
      </w:r>
      <w:r w:rsidRPr="0F72CF47">
        <w:rPr>
          <w:rStyle w:val="normaltextrun"/>
        </w:rPr>
        <w:t xml:space="preserve">dispersal </w:t>
      </w:r>
      <w:r w:rsidR="242F4483" w:rsidRPr="0F72CF47">
        <w:rPr>
          <w:rStyle w:val="normaltextrun"/>
        </w:rPr>
        <w:t>are</w:t>
      </w:r>
      <w:r w:rsidR="76BBBF79" w:rsidRPr="0F72CF47">
        <w:rPr>
          <w:rStyle w:val="normaltextrun"/>
        </w:rPr>
        <w:t xml:space="preserve"> important </w:t>
      </w:r>
      <w:r w:rsidR="6A4C17ED" w:rsidRPr="0F72CF47">
        <w:rPr>
          <w:rStyle w:val="normaltextrun"/>
        </w:rPr>
        <w:t>species interaction</w:t>
      </w:r>
      <w:r w:rsidR="1A088367" w:rsidRPr="0F72CF47">
        <w:rPr>
          <w:rStyle w:val="normaltextrun"/>
        </w:rPr>
        <w:t>s</w:t>
      </w:r>
      <w:r w:rsidRPr="0F72CF47">
        <w:rPr>
          <w:rStyle w:val="normaltextrun"/>
        </w:rPr>
        <w:t xml:space="preserve"> that shape the structure and function of ecosystems across the globe</w:t>
      </w:r>
      <w:r w:rsidR="70CF33EE" w:rsidRPr="0F72CF47">
        <w:rPr>
          <w:rStyle w:val="normaltextrun"/>
        </w:rPr>
        <w:t xml:space="preserve"> </w:t>
      </w:r>
      <w:r w:rsidR="00120D0B" w:rsidRPr="0F72CF47">
        <w:rPr>
          <w:rStyle w:val="normaltextrun"/>
        </w:rPr>
        <w:fldChar w:fldCharType="begin"/>
      </w:r>
      <w:r w:rsidR="00120D0B" w:rsidRPr="0F72CF47">
        <w:rPr>
          <w:rStyle w:val="normaltextrun"/>
        </w:rPr>
        <w:instrText xml:space="preserve"> ADDIN ZOTERO_ITEM CSL_CITATION {"citationID":"NmafX1tK","properties":{"formattedCitation":"(Bello et al., 2015; Brodie et al., 2025)","plainCitation":"(Bello et al., 2015; Brodie et al., 2025)","dontUpdate":true,"noteIndex":0},"citationItems":[{"id":3071,"uris":["http://zotero.org/users/6391447/items/43JIZCNB"],"itemData":{"id":3071,"type":"article-journal","abstract":"Populations of large frugivores are declining in tropical rainforests with potential consequences for carbon storage and climate.\n          , \n            Carbon storage is widely acknowledged as one of the most valuable forest ecosystem services. Deforestation, logging, fragmentation, fire, and climate change have significant effects on tropical carbon stocks; however, an elusive and yet undetected decrease in carbon storage may be due to defaunation of large seed dispersers. Many large tropical trees with sizeable contributions to carbon stock rely on large vertebrates for seed dispersal and regeneration, however many of these frugivores are threatened by hunting, illegal trade, and habitat loss. We used a large data set on tree species composition and abundance, seed, fruit, and carbon-related traits, and plant-animal interactions to estimate the loss of carbon storage capacity of tropical forests in defaunated scenarios. By simulating the local extinction of trees that depend on large frugivores in 31 Atlantic Forest communities, we found that defaunation has the potential to significantly erode carbon storage even when only a small proportion of large-seeded trees are extirpated. Although intergovernmental policies to reduce carbon emissions and reforestation programs have been mostly focused on deforestation, our results demonstrate that defaunation, and the loss of key ecological interactions, also poses a serious risk for the maintenance of tropical forest carbon storage.","container-title":"Science Advances","DOI":"10.1126/sciadv.1501105","ISSN":"2375-2548","issue":"11","journalAbbreviation":"Sci. Adv.","language":"en","page":"e1501105","source":"DOI.org (Crossref)","title":"Defaunation affects carbon storage in tropical forests","volume":"1","author":[{"family":"Bello","given":"Carolina"},{"family":"Galetti","given":"Mauro"},{"family":"Pizo","given":"Marco A."},{"family":"Magnago","given":"Luiz Fernando S."},{"family":"Rocha","given":"Mariana F."},{"family":"Lima","given":"Renato A. F."},{"family":"Peres","given":"Carlos A."},{"family":"Ovaskainen","given":"Otso"},{"family":"Jordano","given":"Pedro"}],"issued":{"date-parts":[["2015",12,4]]}}},{"id":2959,"uris":["http://zotero.org/users/6391447/items/XHTXUPAK"],"itemData":{"id":2959,"type":"article-journal","abstract":"Abstract\n            \n              The urgent need to mitigate and adapt to climate change necessitates a comprehensive understanding of carbon cycling dynamics. Traditionally, global carbon cycle models have focused on vegetation, but recent research suggests that animals can play a significant role in carbon dynamics under some circumstances, potentially enhancing the effectiveness of nature‐based solutions to mitigate climate change. However, links between animals, plants, and carbon remain unclear. We explored the complex interactions between defaunation and ecosystem carbon in Earth's most biodiverse and carbon‐rich biome, tropical rainforests. Defaunation can change patterns of seed dispersal, granivory, and herbivory in ways that alter tree species composition and, therefore, forest carbon above‐ and belowground. Most studies we reviewed show that defaunation reduces carbon storage 0−26% in the Neo‐ and Afrotropics, primarily via population declines in large‐seeded, animal‐dispersed trees. However, Asian forests are not predicted to experience changes because their high‐carbon trees are wind dispersed. Extrapolating these local effects to entire ecosystems implies losses of </w:instrText>
      </w:r>
      <w:r w:rsidR="00120D0B" w:rsidRPr="0F72CF47">
        <w:rPr>
          <w:rStyle w:val="normaltextrun"/>
          <w:rFonts w:ascii="Cambria Math" w:hAnsi="Cambria Math" w:cs="Cambria Math"/>
        </w:rPr>
        <w:instrText>∼</w:instrText>
      </w:r>
      <w:r w:rsidR="00120D0B" w:rsidRPr="0F72CF47">
        <w:rPr>
          <w:rStyle w:val="normaltextrun"/>
        </w:rPr>
        <w:instrText xml:space="preserve">1.6 Pg CO\n              2\n              equivalent across the Brazilian Atlantic Forest and 4−9.2 Pg across the Amazon over 100 years and of </w:instrText>
      </w:r>
      <w:r w:rsidR="00120D0B" w:rsidRPr="0F72CF47">
        <w:rPr>
          <w:rStyle w:val="normaltextrun"/>
          <w:rFonts w:ascii="Cambria Math" w:hAnsi="Cambria Math" w:cs="Cambria Math"/>
        </w:rPr>
        <w:instrText>∼</w:instrText>
      </w:r>
      <w:r w:rsidR="00120D0B" w:rsidRPr="0F72CF47">
        <w:rPr>
          <w:rStyle w:val="normaltextrun"/>
        </w:rPr>
        <w:instrText xml:space="preserve">14.7−26.3 Pg across the Congo basin over 250 years. In addition to being hard to quantify with precision, the effects of defaunation on ecosystem carbon are highly context dependent; outcomes varied based on the balance between antagonist and mutualist species interactions, abiotic conditions, human pressure, and numerous other factors. A combination of experiments, large‐scale comparative studies, and mechanistic models could help disentangle the effects of defaunation from other anthropogenic forces in the face of the incredible complexity of tropical forest systems. Overall, our synthesis emphasizes the importance of—and inconsistent results when—integrating animal dynamics into carbon cycle models, which is crucial for developing climate change mitigation strategies and effective policies.\n            \n          , \n            \n              \n              Impactos de la defaunación sobre el balance de carbono en los bosques tropicales\n              \n                \n                La urgencia por mitigar y adaptarse al cambio climático requiere que se entiendan las dinámicas del ciclo del carbono. Es común que los modelos del ciclo del carbono se enfoquen en la vegetación, pero estudios recientes sugieren que los animales pueden tener un papel significativo en las dinámicas del carbono bajo ciertas circunstancias, lo que tiene el potencial para mejorar la efectividad de las soluciones basadas en la naturaleza para mitigar el cambio climático. Sin embargo, todavía no está clara la relación entre los animales, las plantas y el carbono. Exploramos las interacciones complejas entre la defaunación y el carbono ambiental en el bioma más biodiverso y más rico en carbono de la Tierra: los bosques tropicales. La defaunación puede cambiar los patrones de dispersión de semillas, granivoría y herbivoría de manera que alteran la composición de especies de árboles y, por lo tanto, el carbono boscoso encima y debajo de la tierra.\n                \n                  La mayoría de los estudios que revisamos muestran que la defaunación reduce el almacenamiento de carbono 0‐26% en las zonas neotropical y afrotropical, principalmente por medio de las declinaciones poblacionales de los árboles con semillas grandes dispersadas por animales. Sin embargo, no hay pronósticos de que los bosques asiáticos sufran cambios porque sus árboles de carbono alto tienen dispersión por viento. Si extrapolamos estos efectos locales a ecosistemas completos, hay una pérdida explícita equivalente de </w:instrText>
      </w:r>
      <w:r w:rsidR="00120D0B" w:rsidRPr="0F72CF47">
        <w:rPr>
          <w:rStyle w:val="normaltextrun"/>
          <w:rFonts w:ascii="Cambria Math" w:hAnsi="Cambria Math" w:cs="Cambria Math"/>
        </w:rPr>
        <w:instrText>∼</w:instrText>
      </w:r>
      <w:r w:rsidR="00120D0B" w:rsidRPr="0F72CF47">
        <w:rPr>
          <w:rStyle w:val="normaltextrun"/>
        </w:rPr>
        <w:instrText xml:space="preserve">1.6 Pg CO\n                  2\n                  en el Bosque Atlántico Brasileño y de 4 ‐ 9.2 Pg en la Amazonia a lo largo de cien años; la pérdida es de </w:instrText>
      </w:r>
      <w:r w:rsidR="00120D0B" w:rsidRPr="0F72CF47">
        <w:rPr>
          <w:rStyle w:val="normaltextrun"/>
          <w:rFonts w:ascii="Cambria Math" w:hAnsi="Cambria Math" w:cs="Cambria Math"/>
        </w:rPr>
        <w:instrText>∼</w:instrText>
      </w:r>
      <w:r w:rsidR="00120D0B" w:rsidRPr="0F72CF47">
        <w:rPr>
          <w:rStyle w:val="normaltextrun"/>
        </w:rPr>
        <w:instrText xml:space="preserve">14.7 ‐ 26.3 Pg en la cuenca del Congo a lo largo de 250 años. Además de que son difíciles de cuantificar con precisión, los efectos de la defaunación sobre el carbono ambiental dependen en gran parte del contexto; los resultados variaron con base en el balance entra las interacciones de las especies mutualistas y antagonistas, las condiciones abióticas, la presión antropogénica y muchos factores más. Una combinación de experimentos, estudios comparativos a gran escala y modelos mecánicos podrían ayudar a comprender los efectos de la defaunación causada por otras fuerzas antropogénicas de frente a la increíble complejidad de los sistemas de bosques tropicales. En general, nuestra síntesis resalta la importancia de – y los resultados inconstantes cuando – la integración de las dinámicas animales en los modelos del ciclo del carbono, lo cual es importante para desarrollar estrategias de mitigación del cambio climático y políticas efectivas.","container-title":"Conservation Biology","DOI":"10.1111/cobi.14414","ISSN":"0888-8892, 1523-1739","issue":"1","journalAbbreviation":"Conservation Biology","language":"en","page":"e14414","source":"DOI.org (Crossref)","title":"Defaunation impacts on the carbon balance of tropical forests","volume":"39","author":[{"family":"Brodie","given":"Jedediah F."},{"family":"Bello","given":"Carolina"},{"family":"Emer","given":"Carine"},{"family":"Galetti","given":"Mauro"},{"family":"Luskin","given":"Matthew S."},{"family":"Osuri","given":"Anand"},{"family":"Peres","given":"Carlos A."},{"family":"Stoll","given":"Annina"},{"family":"Villar","given":"Nacho"},{"family":"López","given":"Ana‐Benítez"}],"issued":{"date-parts":[["2025",2]]}}}],"schema":"https://github.com/citation-style-language/schema/raw/master/csl-citation.json"} </w:instrText>
      </w:r>
      <w:r w:rsidR="00120D0B" w:rsidRPr="0F72CF47">
        <w:rPr>
          <w:rStyle w:val="normaltextrun"/>
        </w:rPr>
        <w:fldChar w:fldCharType="separate"/>
      </w:r>
      <w:r w:rsidR="70CF33EE" w:rsidRPr="0F72CF47">
        <w:rPr>
          <w:rStyle w:val="normaltextrun"/>
          <w:noProof/>
        </w:rPr>
        <w:t>(e.g., Bello et al., 2015; Brodie et al., 2025)</w:t>
      </w:r>
      <w:r w:rsidR="00120D0B" w:rsidRPr="0F72CF47">
        <w:rPr>
          <w:rStyle w:val="normaltextrun"/>
        </w:rPr>
        <w:fldChar w:fldCharType="end"/>
      </w:r>
      <w:r w:rsidRPr="0F72CF47">
        <w:rPr>
          <w:rStyle w:val="normaltextrun"/>
        </w:rPr>
        <w:t>. Seed resources are often unreliable throughout the year and across years, especially in systems where plants</w:t>
      </w:r>
      <w:r w:rsidR="70CF33EE" w:rsidRPr="0F72CF47">
        <w:rPr>
          <w:rStyle w:val="normaltextrun"/>
        </w:rPr>
        <w:t xml:space="preserve"> mast, or have</w:t>
      </w:r>
      <w:r w:rsidRPr="0F72CF47">
        <w:rPr>
          <w:rStyle w:val="normaltextrun"/>
        </w:rPr>
        <w:t xml:space="preserve"> episodic </w:t>
      </w:r>
      <w:r w:rsidR="00961B5C">
        <w:rPr>
          <w:rStyle w:val="normaltextrun"/>
        </w:rPr>
        <w:t>but</w:t>
      </w:r>
      <w:r w:rsidR="00961B5C" w:rsidRPr="0F72CF47">
        <w:rPr>
          <w:rStyle w:val="normaltextrun"/>
        </w:rPr>
        <w:t xml:space="preserve"> </w:t>
      </w:r>
      <w:r w:rsidRPr="0F72CF47">
        <w:rPr>
          <w:rStyle w:val="normaltextrun"/>
        </w:rPr>
        <w:t xml:space="preserve">synchronous seed production at the community or population level </w:t>
      </w:r>
      <w:r w:rsidR="00120D0B" w:rsidRPr="0F72CF47">
        <w:rPr>
          <w:rStyle w:val="normaltextrun"/>
        </w:rPr>
        <w:fldChar w:fldCharType="begin"/>
      </w:r>
      <w:r w:rsidR="00C957C2">
        <w:rPr>
          <w:rStyle w:val="normaltextrun"/>
        </w:rPr>
        <w:instrText xml:space="preserve"> ADDIN ZOTERO_ITEM CSL_CITATION {"citationID":"NsJQPr15","properties":{"formattedCitation":"(Pearse et al., 2016)","plainCitation":"(Pearse et al., 2016)","noteIndex":0},"citationItems":[{"id":2856,"uris":["http://zotero.org/groups/5634119/items/NN72KZHU"],"itemData":{"id":2856,"type":"article-journal","abstract":"SummaryMast seeding is a widespread and widely studied phenomenon. However, the physiological mechanisms that mediate masting events and link them to weather and plant resources are still debated. Here, we explore how masting is affected by plant resource budgets, fruit maturation success, and hormonal coordination of cues including weather and resources. There is little empirical support for the commonly stated hypothesis that plants store carbohydrates over several years to expend in a high‐seed year. Plants can switch carbohydrates away from growth in high‐seed years, and seed crops are more probably limited by nitrogen or phosphorus. Resources are clearly involved in the proximate mechanisms driving masting, but resource budget (RB) models cannot create masting in the absence of selection because some underlying selective benefit is required to set the level of a ‘full’ seed crop at greater than the annual resource increment. Economies of scale (EOSs) provide the ultimate factor selecting for masting, butEOSs probably always interact with resources, which modify the relationship between weather cues and reproduction. Thus,RBandEOSmodels are not alternative explanations for masting – both are required. Experiments manipulating processes that affect mast seeding will help clarify the physiological mechanisms that underlie mast seeding.ContentsSummary546I.Introduction546II.Ultimate and proximate hypotheses for masting behaviour547III.The role of plant resources in masting548IV.Which resources limit seed set?552V.Pollination, fruit development, and masting554VI.Hormonal control of seed set and masting556VII.Evolutionary perspectives on masting behaviour558VIII.Unifying resource budget and economy of scale models of masting558IX.Conclusions559Acknowledgements559References559","container-title":"New Phytologist","DOI":"10.1111/nph.14114","ISSN":"0028-646X, 1469-8137","issue":"3","language":"en","license":"http://onlinelibrary.wiley.com/termsAndConditions#am","page":"546-562","publisher":"Wiley","source":"Crossref","title":"Mechanisms of mast seeding: resources, weather, cues, and selection","title-short":"Mechanisms of mast seeding","volume":"212","author":[{"family":"Pearse","given":"Ian S."},{"family":"Koenig","given":"Walter D."},{"family":"Kelly","given":"Dave"}],"issued":{"date-parts":[["2016",11]]}}}],"schema":"https://github.com/citation-style-language/schema/raw/master/csl-citation.json"} </w:instrText>
      </w:r>
      <w:r w:rsidR="00120D0B" w:rsidRPr="0F72CF47">
        <w:rPr>
          <w:rStyle w:val="normaltextrun"/>
        </w:rPr>
        <w:fldChar w:fldCharType="separate"/>
      </w:r>
      <w:r w:rsidR="70CF33EE" w:rsidRPr="0F72CF47">
        <w:rPr>
          <w:rStyle w:val="normaltextrun"/>
          <w:noProof/>
        </w:rPr>
        <w:t>(Pearse et al., 2016)</w:t>
      </w:r>
      <w:r w:rsidR="00120D0B" w:rsidRPr="0F72CF47">
        <w:rPr>
          <w:rStyle w:val="normaltextrun"/>
        </w:rPr>
        <w:fldChar w:fldCharType="end"/>
      </w:r>
      <w:r w:rsidRPr="0F72CF47">
        <w:rPr>
          <w:rStyle w:val="normaltextrun"/>
        </w:rPr>
        <w:t>. Given the “boom and bust” nature of seed availability in masting systems</w:t>
      </w:r>
      <w:r w:rsidR="70CF33EE" w:rsidRPr="0F72CF47">
        <w:rPr>
          <w:rStyle w:val="normaltextrun"/>
        </w:rPr>
        <w:t xml:space="preserve"> </w:t>
      </w:r>
      <w:r w:rsidR="00120D0B" w:rsidRPr="0F72CF47">
        <w:rPr>
          <w:rStyle w:val="normaltextrun"/>
        </w:rPr>
        <w:fldChar w:fldCharType="begin"/>
      </w:r>
      <w:r w:rsidR="00120D0B" w:rsidRPr="0F72CF47">
        <w:rPr>
          <w:rStyle w:val="normaltextrun"/>
        </w:rPr>
        <w:instrText xml:space="preserve"> ADDIN ZOTERO_ITEM CSL_CITATION {"citationID":"FlzKBoIt","properties":{"formattedCitation":"(Kelly &amp; Sork, 2002; Qiu et al., 2023)","plainCitation":"(Kelly &amp; Sork, 2002; Qiu et al., 2023)","noteIndex":0},"citationItems":[{"id":3021,"uris":["http://zotero.org/groups/5634119/items/LUWCQDBN"],"itemData":{"id":3021,"type":"article-journal","abstract":"▪ Abstract  For many years biologists have debated whether mast seeding (the synchronous intermittent production of large seed crops in perennial plants) results from weather conditions or is an evolved plant reproductive strategy. In this review, we analyze the evidence for the underlying causes of masting. In the absence of selection for higher or lower variability, plants will vary in tandem with the environment (resource matching). Two selective factors often favor the evolution of masting: increased pollination efficiency in wind-pollinated species, and satiation of seed predators. Other factors select against masting, including animal pollination and frugivore dispersal. A survey of 570 masting datasets shows that wind-pollinated species had higher seed production coefficients of variation (CVs) than biotically pollinated ones. Frugivore-dispersed species had low CVs whereas predator-dispersed plants had high CVs, consistent with gaining benefits from predator satiation rather than dispersal. The global pattern of masting shows highest seed crop variability at mid latitudes and in the Southern Hemisphere, which are similar to the patterns in variability of rainfall. We conclude that masting is often an adaptive reproductive trait overlaid on the direct influence of weather.","container-title":"Annual Review of Ecology and Systematics","DOI":"10.1146/annurev.ecolsys.33.020602.095433","ISSN":"0066-4162","issue":"1","journalAbbreviation":"Annu. Rev. Ecol. Syst.","language":"en","page":"427-447","source":"DOI.org (Crossref)","title":"Mast Seeding in Perennial Plants: Why, How, Where?","title-short":"Mast Seeding in Perennial Plants","volume":"33","author":[{"family":"Kelly","given":"Dave"},{"family":"Sork","given":"Victoria L."}],"issued":{"date-parts":[["2002",11]]}}},{"id":2965,"uris":["http://zotero.org/groups/5634119/items/RZD7PAXV"],"itemData":{"id":2965,"type":"article-journal","container-title":"Nature Plants","DOI":"10.1038/s41477-023-01446-5","ISSN":"2055-0278","issue":"7","journalAbbreviation":"Nat. Plants","language":"en","page":"1044-1056","source":"DOI.org (Crossref)","title":"Masting is uncommon in trees that depend on mutualist dispersers in the context of global climate and fertility gradients","volume":"9","author":[{"family":"Qiu","given":"Tong"},{"family":"Aravena","given":"Marie-Claire"},{"family":"Ascoli","given":"Davide"},{"family":"Bergeron","given":"Yves"},{"family":"Bogdziewicz","given":"Michal"},{"family":"Boivin","given":"Thomas"},{"family":"Bonal","given":"Raul"},{"family":"Caignard","given":"Thomas"},{"family":"Cailleret","given":"Maxime"},{"family":"Calama","given":"Rafael"},{"family":"Calderon","given":"Sergio Donoso"},{"family":"Camarero","given":"J. Julio"},{"family":"Chang-Yang","given":"Chia-Hao"},{"family":"Chave","given":"Jerome"},{"family":"Chianucci","given":"Francesco"},{"family":"Courbaud","given":"Benoit"},{"family":"Cutini","given":"Andrea"},{"family":"Das","given":"Adrian J."},{"family":"Delpierre","given":"Nicolas"},{"family":"Delzon","given":"Sylvain"},{"family":"Dietze","given":"Michael"},{"family":"Dormont","given":"Laurent"},{"family":"Espelta","given":"Josep Maria"},{"family":"Fahey","given":"Timothy J."},{"family":"Farfan-Rios","given":"William"},{"family":"Franklin","given":"Jerry F."},{"family":"Gehring","given":"Catherine A."},{"family":"Gilbert","given":"Gregory S."},{"family":"Gratzer","given":"Georg"},{"family":"Greenberg","given":"Cathryn H."},{"family":"Guignabert","given":"Arthur"},{"family":"Guo","given":"Qinfeng"},{"family":"Hacket-Pain","given":"Andrew"},{"family":"Hampe","given":"Arndt"},{"family":"Han","given":"Qingmin"},{"family":"Holik","given":"Jan"},{"family":"Hoshizaki","given":"Kazuhiko"},{"family":"Ibanez","given":"Ines"},{"family":"Johnstone","given":"Jill F."},{"family":"Journé","given":"Valentin"},{"family":"Kitzberger","given":"Thomas"},{"family":"Knops","given":"Johannes M. H."},{"family":"Kunstler","given":"Georges"},{"family":"Kurokawa","given":"Hiroko"},{"family":"Lageard","given":"Jonathan G. A."},{"family":"LaMontagne","given":"Jalene M."},{"family":"Lefevre","given":"Francois"},{"family":"Leininger","given":"Theodor"},{"family":"Limousin","given":"Jean-Marc"},{"family":"Lutz","given":"James A."},{"family":"Macias","given":"Diana"},{"family":"Marell","given":"Anders"},{"family":"McIntire","given":"Eliot J. B."},{"family":"Moore","given":"Christopher M."},{"family":"Moran","given":"Emily"},{"family":"Motta","given":"Renzo"},{"family":"Myers","given":"Jonathan A."},{"family":"Nagel","given":"Thomas A."},{"family":"Naoe","given":"Shoji"},{"family":"Noguchi","given":"Mahoko"},{"family":"Oguro","given":"Michio"},{"family":"Parmenter","given":"Robert"},{"family":"Pearse","given":"Ian S."},{"family":"Perez-Ramos","given":"Ignacio M."},{"family":"Piechnik","given":"Lukasz"},{"family":"Podgorski","given":"Tomasz"},{"family":"Poulsen","given":"John"},{"family":"Redmond","given":"Miranda D."},{"family":"Reid","given":"Chantal D."},{"family":"Rodman","given":"Kyle C."},{"family":"Rodriguez-Sanchez","given":"Francisco"},{"family":"Samonil","given":"Pavel"},{"family":"Sanguinetti","given":"Javier D."},{"family":"Scher","given":"C. Lane"},{"family":"Seget","given":"Barbara"},{"family":"Sharma","given":"Shubhi"},{"family":"Shibata","given":"Mitsue"},{"family":"Silman","given":"Miles"},{"family":"Steele","given":"Michael A."},{"family":"Stephenson","given":"Nathan L."},{"family":"Straub","given":"Jacob N."},{"family":"Sutton","given":"Samantha"},{"family":"Swenson","given":"Jennifer J."},{"family":"Swift","given":"Margaret"},{"family":"Thomas","given":"Peter A."},{"family":"Uriarte","given":"Maria"},{"family":"Vacchiano","given":"Giorgio"},{"family":"Whipple","given":"Amy V."},{"family":"Whitham","given":"Thomas G."},{"family":"Wion","given":"Andreas P."},{"family":"Wright","given":"S. Joseph"},{"family":"Zhu","given":"Kai"},{"family":"Zimmerman","given":"Jess K."},{"family":"Zywiec","given":"Magdalena"},{"family":"Clark","given":"James S."}],"issued":{"date-parts":[["2023",6,29]]}}}],"schema":"https://github.com/citation-style-language/schema/raw/master/csl-citation.json"} </w:instrText>
      </w:r>
      <w:r w:rsidR="00120D0B" w:rsidRPr="0F72CF47">
        <w:rPr>
          <w:rStyle w:val="normaltextrun"/>
        </w:rPr>
        <w:fldChar w:fldCharType="separate"/>
      </w:r>
      <w:r w:rsidR="70CF33EE" w:rsidRPr="0F72CF47">
        <w:rPr>
          <w:rStyle w:val="normaltextrun"/>
          <w:noProof/>
        </w:rPr>
        <w:t>(Kelly &amp; Sork, 2002; Qiu et al., 2023)</w:t>
      </w:r>
      <w:r w:rsidR="00120D0B" w:rsidRPr="0F72CF47">
        <w:rPr>
          <w:rStyle w:val="normaltextrun"/>
        </w:rPr>
        <w:fldChar w:fldCharType="end"/>
      </w:r>
      <w:r w:rsidR="70CF33EE" w:rsidRPr="0F72CF47">
        <w:rPr>
          <w:rStyle w:val="normaltextrun"/>
        </w:rPr>
        <w:t xml:space="preserve">, </w:t>
      </w:r>
      <w:r w:rsidRPr="0F72CF47">
        <w:rPr>
          <w:rStyle w:val="normaltextrun"/>
        </w:rPr>
        <w:t>a</w:t>
      </w:r>
      <w:r w:rsidR="2E05870A" w:rsidRPr="0F72CF47">
        <w:rPr>
          <w:rStyle w:val="normaltextrun"/>
        </w:rPr>
        <w:t>nimals</w:t>
      </w:r>
      <w:r w:rsidR="57F50061" w:rsidRPr="0F72CF47">
        <w:rPr>
          <w:rStyle w:val="normaltextrun"/>
        </w:rPr>
        <w:t xml:space="preserve"> that rely on </w:t>
      </w:r>
      <w:r w:rsidR="462252F4" w:rsidRPr="0F72CF47">
        <w:rPr>
          <w:rStyle w:val="normaltextrun"/>
        </w:rPr>
        <w:t>masting</w:t>
      </w:r>
      <w:r w:rsidR="57F50061" w:rsidRPr="0F72CF47">
        <w:rPr>
          <w:rStyle w:val="normaltextrun"/>
        </w:rPr>
        <w:t xml:space="preserve"> plants</w:t>
      </w:r>
      <w:r w:rsidR="462252F4" w:rsidRPr="0F72CF47">
        <w:rPr>
          <w:rStyle w:val="normaltextrun"/>
        </w:rPr>
        <w:t xml:space="preserve"> </w:t>
      </w:r>
      <w:r w:rsidR="7D033F05" w:rsidRPr="0F72CF47">
        <w:rPr>
          <w:rStyle w:val="normaltextrun"/>
        </w:rPr>
        <w:t xml:space="preserve">adapt to </w:t>
      </w:r>
      <w:r w:rsidR="70CF33EE" w:rsidRPr="0F72CF47">
        <w:rPr>
          <w:rStyle w:val="normaltextrun"/>
        </w:rPr>
        <w:t xml:space="preserve">and respond strongly to </w:t>
      </w:r>
      <w:r w:rsidR="7D033F05" w:rsidRPr="0F72CF47">
        <w:rPr>
          <w:rStyle w:val="normaltextrun"/>
        </w:rPr>
        <w:t>the availability of these seeds</w:t>
      </w:r>
      <w:r w:rsidR="70CF33EE" w:rsidRPr="0F72CF47">
        <w:rPr>
          <w:rStyle w:val="normaltextrun"/>
        </w:rPr>
        <w:t xml:space="preserve">. </w:t>
      </w:r>
      <w:r w:rsidR="7ABC0C45" w:rsidRPr="0F72CF47">
        <w:rPr>
          <w:rStyle w:val="normaltextrun"/>
        </w:rPr>
        <w:t>For example,</w:t>
      </w:r>
      <w:r w:rsidR="7D033F05" w:rsidRPr="0F72CF47">
        <w:rPr>
          <w:rStyle w:val="normaltextrun"/>
        </w:rPr>
        <w:t xml:space="preserve"> </w:t>
      </w:r>
      <w:r w:rsidRPr="0F72CF47">
        <w:rPr>
          <w:rStyle w:val="normaltextrun"/>
        </w:rPr>
        <w:t xml:space="preserve">seed dispersers can display anticipatory or predictive </w:t>
      </w:r>
      <w:r w:rsidR="7D033F05" w:rsidRPr="0F72CF47">
        <w:rPr>
          <w:rStyle w:val="normaltextrun"/>
        </w:rPr>
        <w:t>behaviors</w:t>
      </w:r>
      <w:r w:rsidR="67FF4C36" w:rsidRPr="0F72CF47">
        <w:rPr>
          <w:rStyle w:val="normaltextrun"/>
        </w:rPr>
        <w:t>, such as</w:t>
      </w:r>
      <w:r w:rsidR="7D033F05" w:rsidRPr="0F72CF47">
        <w:rPr>
          <w:rStyle w:val="normaltextrun"/>
        </w:rPr>
        <w:t xml:space="preserve"> </w:t>
      </w:r>
      <w:r w:rsidR="15C49C2D" w:rsidRPr="0F72CF47">
        <w:rPr>
          <w:rStyle w:val="normaltextrun"/>
        </w:rPr>
        <w:t xml:space="preserve">elevated </w:t>
      </w:r>
      <w:r w:rsidR="7D033F05" w:rsidRPr="0F72CF47">
        <w:rPr>
          <w:rStyle w:val="normaltextrun"/>
        </w:rPr>
        <w:t xml:space="preserve">reproduction </w:t>
      </w:r>
      <w:r w:rsidR="00961B5C">
        <w:rPr>
          <w:rStyle w:val="normaltextrun"/>
        </w:rPr>
        <w:t>preceding</w:t>
      </w:r>
      <w:r w:rsidR="1A979DC1" w:rsidRPr="0F72CF47">
        <w:rPr>
          <w:rStyle w:val="normaltextrun"/>
        </w:rPr>
        <w:t xml:space="preserve"> abundant seed production</w:t>
      </w:r>
      <w:r w:rsidR="7D033F05" w:rsidRPr="0F72CF47">
        <w:rPr>
          <w:rStyle w:val="normaltextrun"/>
        </w:rPr>
        <w:t xml:space="preserve"> </w:t>
      </w:r>
      <w:r w:rsidR="00961B5C">
        <w:rPr>
          <w:rStyle w:val="normaltextrun"/>
        </w:rPr>
        <w:t xml:space="preserve">years </w:t>
      </w:r>
      <w:r w:rsidR="7D033F05" w:rsidRPr="0F72CF47">
        <w:rPr>
          <w:rStyle w:val="normaltextrun"/>
        </w:rPr>
        <w:t xml:space="preserve">(e.g., </w:t>
      </w:r>
      <w:r w:rsidR="00120D0B" w:rsidRPr="0F72CF47">
        <w:rPr>
          <w:rStyle w:val="normaltextrun"/>
        </w:rPr>
        <w:fldChar w:fldCharType="begin"/>
      </w:r>
      <w:r w:rsidR="00120D0B" w:rsidRPr="0F72CF47">
        <w:rPr>
          <w:rStyle w:val="normaltextrun"/>
        </w:rPr>
        <w:instrText xml:space="preserve"> ADDIN ZOTERO_ITEM CSL_CITATION {"citationID":"fDiJI7D6","properties":{"formattedCitation":"(Boutin et al., 2006; Wauters et al., 2008)","plainCitation":"(Boutin et al., 2006; Wauters et al., 2008)","dontUpdate":true,"noteIndex":0},"citationItems":[{"id":2983,"uris":["http://zotero.org/groups/5634119/items/JHIYW3CU"],"itemData":{"id":2983,"type":"article-journal","abstract":"Mast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A."}],"issued":{"date-parts":[["2006",12,22]]}}},{"id":3004,"uris":["http://zotero.org/groups/5634119/items/JBEH8X8T"],"itemData":{"id":3004,"type":"article-journal","abstract":"Vertebrate population dynamics, social organisation and space use often are closely associated with the distribution of critical resources, such as food. Tree squirrels are ideal models to study these relationships, since both key demographic parameters (reproduction, survival and dispersal) and spatio‐temporal variation in food supplies (measured as seed‐crop size) can be reliably estimated. In this paper we test the following two predictions underlying the association between annual food abundance and demography in six alpine red squirrel populations, both with and without time‐lag effects: 1) between‐season and between‐year fluctuations in survival rate, population density and increase parallel those in food availability; and 2) individuals follow a resource tracking strategy and increase in density mainly the year after a rich seed‐crop. Red squirrels occurred at higher densities in Scots pine forest, characterised by stable seed‐crops, than in Norway spruce with more abundant but more variable seed crops. Fluctuations in numbers were positively correlated with food availability, measured as annual conifer seed‐crop sizes. Overall, adult survival rates were higher than those of subadults, and survival substantially fluctuated between seasons and years. Autumn densities and rates of population increase (summer‐autumn) were strongly correlated with the same year's autumn seed‐crop, while correlations with the previous year's seed‐crop (time‐lag models) were either weak (population density) or absent (population increase). Results of this paper show that fluctuations in red squirrel densities in habitats with strong temporal variation in seed production are more closely linked with food availability than in more stable habitats. In addition, in the Alpine conifer forests squirrel population sizes, in autumn, increase in synchrony with food resources, eliminating the population lag normally present when resources are produced in pulses.","container-title":"Ecography","DOI":"10.1111/j.2007.0906-7590.05251.x","ISSN":"0906-7590, 1600-0587","issue":"1","journalAbbreviation":"Ecography","language":"en","page":"104-114","source":"DOI.org (Crossref)","title":"Demography of alpine red squirrel populations in relation to fluctuations in seed crop size","volume":"31","author":[{"family":"Wauters","given":"Lucas A"},{"family":"Githiru","given":"Mwangi"},{"family":"Bertolino","given":"Sandro"},{"family":"Molinari","given":"Ambrogio"},{"family":"Tosi","given":"Guido"},{"family":"Lens","given":"Luc"}],"issued":{"date-parts":[["2008",2]]}}}],"schema":"https://github.com/citation-style-language/schema/raw/master/csl-citation.json"} </w:instrText>
      </w:r>
      <w:r w:rsidR="00120D0B" w:rsidRPr="0F72CF47">
        <w:rPr>
          <w:rStyle w:val="normaltextrun"/>
        </w:rPr>
        <w:fldChar w:fldCharType="separate"/>
      </w:r>
      <w:r w:rsidR="06502042" w:rsidRPr="0F72CF47">
        <w:rPr>
          <w:rStyle w:val="normaltextrun"/>
          <w:noProof/>
        </w:rPr>
        <w:t>Boutin et al., 2006; Wauters et al., 2008)</w:t>
      </w:r>
      <w:r w:rsidR="00120D0B" w:rsidRPr="0F72CF47">
        <w:rPr>
          <w:rStyle w:val="normaltextrun"/>
        </w:rPr>
        <w:fldChar w:fldCharType="end"/>
      </w:r>
      <w:r w:rsidR="7D033F05" w:rsidRPr="0F72CF47">
        <w:rPr>
          <w:rStyle w:val="normaltextrun"/>
        </w:rPr>
        <w:t xml:space="preserve">. </w:t>
      </w:r>
      <w:r w:rsidR="70CF33EE" w:rsidRPr="0F72CF47">
        <w:rPr>
          <w:rStyle w:val="normaltextrun"/>
        </w:rPr>
        <w:t>Further, d</w:t>
      </w:r>
      <w:r w:rsidRPr="0F72CF47">
        <w:rPr>
          <w:rStyle w:val="normaltextrun"/>
        </w:rPr>
        <w:t xml:space="preserve">ispersers may have </w:t>
      </w:r>
      <w:r w:rsidR="7D033F05" w:rsidRPr="0F72CF47">
        <w:rPr>
          <w:rStyle w:val="normaltextrun"/>
        </w:rPr>
        <w:t>immediate behavioral responses to seed availability by congregating near</w:t>
      </w:r>
      <w:r w:rsidRPr="0F72CF47">
        <w:rPr>
          <w:rStyle w:val="normaltextrun"/>
        </w:rPr>
        <w:t xml:space="preserve"> seeds in trees or</w:t>
      </w:r>
      <w:r w:rsidR="70CF33EE" w:rsidRPr="0F72CF47">
        <w:rPr>
          <w:rStyle w:val="normaltextrun"/>
        </w:rPr>
        <w:t xml:space="preserve"> they may cache (“bury”) seeds for days, weeks, or months and revisit those cache sites to consume seeds </w:t>
      </w:r>
      <w:r w:rsidR="00120D0B" w:rsidRPr="0F72CF47">
        <w:rPr>
          <w:rStyle w:val="normaltextrun"/>
        </w:rPr>
        <w:fldChar w:fldCharType="begin"/>
      </w:r>
      <w:r w:rsidR="00C957C2">
        <w:rPr>
          <w:rStyle w:val="normaltextrun"/>
        </w:rPr>
        <w:instrText xml:space="preserve"> ADDIN ZOTERO_ITEM CSL_CITATION {"citationID":"PlXbvosD","properties":{"formattedCitation":"(Bogdziewicz et al., 2020; Pesendorfer et al., 2016; Vander Wall, 2010)","plainCitation":"(Bogdziewicz et al., 2020; Pesendorfer et al., 2016; Vander Wall, 2010)","noteIndex":0},"citationItems":[{"id":2854,"uris":["http://zotero.org/groups/5634119/items/MJABSAQ9"],"itemData":{"id":2854,"type":"article-journal","abstract":"AbstractNumerous interactions between plants and animals vary in their outcome between antagonism and mutualism. Interactions between plants and scatter‐hoarding animals provide a prime example of this phenomenon. Scatterhoarders consume large quantities of seeds (potentially reducing plant establishment), yet also disperse seeds and bury them in shallow caches (potentially improving recruitment). Despite intense work on mechanisms that cause these interactions to shift along an antagonism–mutualism continuum, it remains difficult to quantify their final outcomes.We demonstrate how readily available field data can be used to reach this goal, with interactions between rodents and two oaks species (sessile oak Quercus petraea, and red oak Q. rubra) as an empirical example. Our approach consists of quantifying the net outcome of the interaction through collecting data on different vital rates (e.g. probability that cached seeds survive to germination, probability of seedling recruitment with and without rodents; near and far from conspecific trees; with and without seed pilferage) and assembling them in a simple mathematical model.We found that during the period of the study, interactions between scatter‐hoarding rodents and both focal oaks were antagonistic. Even though caching increased the likelihood of seedling establishment, this effect was not strong enough to compensate for the costs of seed predation. Furthermore, there was no evidence that the short‐distance transportation that is usually provided by small mammals benefited early oak recruitment.Synthesis. Our empirical results demonstrated that certain common assumptions – that caching by rodents invariably benefits plant recruitment; that improved seedling establishment after seed burial is sufficient to make plant–scatterhoarder interactions mutualistic; that transportation away from maternal plants is highly beneficial—do not always hold and should be tested rather than taken for granted.","container-title":"Journal of Ecology","DOI":"10.1111/1365-2745.13307","ISSN":"0022-0477, 1365-2745","issue":"3","language":"en","license":"http://onlinelibrary.wiley.com/termsAndConditions#vor","page":"1009-1018","publisher":"Wiley","source":"Crossref","title":"Do benefits of seed dispersal and caching by scatterhoarders outweigh the costs of predation? An example with oaks and yellow‐necked mice","title-short":"Do benefits of seed dispersal and caching by scatterhoarders outweigh the costs of predation?","volume":"108","author":[{"family":"Bogdziewicz","given":"Michał"},{"family":"Crone","given":"Elizabeth E."},{"family":"Zwolak","given":"Rafał"}],"editor":[{"family":"Rees","given":"Mark"}],"issued":{"date-parts":[["2020",5]]}}},{"id":2848,"uris":["http://zotero.org/groups/5634119/items/P3HRTS3R"],"itemData":{"id":2848,"type":"article-journal","container-title":"The Condor","DOI":"10.1650/condor-15-125.1","ISSN":"0010-5422, 1938-5129","issue":"2","language":"en","page":"215-237","publisher":"Oxford University Press (OUP)","source":"Crossref","title":"Scatter-hoarding corvids as seed dispersers for oaks and pines: A review of a widely distributed mutualism and its utility to habitat restoration","title-short":"Scatter-hoarding corvids as seed dispersers for oaks and pines","volume":"118","author":[{"family":"Pesendorfer","given":"Mario B."},{"family":"Sillett","given":"T. Scott"},{"family":"Koenig","given":"Walter D."},{"family":"Morrison","given":"Scott A."}],"issued":{"date-parts":[["2016",5]]}}},{"id":2850,"uris":["http://zotero.org/groups/5634119/items/BUIRS83M"],"itemData":{"id":2850,"type":"article-journal","abstract":"Some plants that are dispersed by scatter-hoarding animals appear to have evolved the ability to manipulate the behaviour of those animals to increase the likelihood that seeds and nuts will be stored and that a portion of those items will not be recovered. Plants have achieved this in at least four ways. First, by producing large, nutritious seeds and nuts that are attractive to animals and that stimulate hoarding behaviour. Second, by imposing handling costs that cause animals to hoard rather than to eat items immediately. These handling costs can take one of two forms: physical barriers (e.g. hard seed coats) that take time to remove and secondary chemicals (e.g. tannins) that impose metabolic costs. Third, by masting, where a population of plants synchronizes reproductive effort, producing large nut crops at intervals of several years. Mast crops not only satiate seed predators, but also increase the amount of seed dispersal because scatter-hoarding animals are not easily satiated during caching (causing animals to store more food than they can consume) but are satiated during cache recovery. And fourth, by producing seeds that do not emit strong odours so that buried seeds are less likely to be discovered. These, and perhaps other, traits have increased the relative success of plant species with seeds dispersed by scatter-hoarding animals.","container-title":"Philosophical Transactions of the Royal Society B: Biological Sciences","DOI":"10.1098/rstb.2009.0205","ISSN":"0962-8436, 1471-2970","issue":"1542","journalAbbreviation":"Phil. Trans. R. Soc. B","language":"en","license":"https://royalsociety.org/journals/ethics-policies/data-sharing-mining/","page":"989-997","publisher":"The Royal Society","source":"Crossref","title":"How plants manipulate the scatter-hoarding behaviour of seed-dispersing animals","volume":"365","author":[{"family":"Vander Wall","given":"Stephen B."}],"issued":{"date-parts":[["2010",3,27]]}}}],"schema":"https://github.com/citation-style-language/schema/raw/master/csl-citation.json"} </w:instrText>
      </w:r>
      <w:r w:rsidR="00120D0B" w:rsidRPr="0F72CF47">
        <w:rPr>
          <w:rStyle w:val="normaltextrun"/>
        </w:rPr>
        <w:fldChar w:fldCharType="separate"/>
      </w:r>
      <w:r w:rsidR="53AE0CC4" w:rsidRPr="0F72CF47">
        <w:rPr>
          <w:rStyle w:val="normaltextrun"/>
          <w:noProof/>
        </w:rPr>
        <w:t>(Bogdziewicz et al., 2020; Pesendorfer et al., 2016; Vander Wall, 2010)</w:t>
      </w:r>
      <w:r w:rsidR="00120D0B" w:rsidRPr="0F72CF47">
        <w:rPr>
          <w:rStyle w:val="normaltextrun"/>
        </w:rPr>
        <w:fldChar w:fldCharType="end"/>
      </w:r>
      <w:r w:rsidR="53AE0CC4" w:rsidRPr="0F72CF47">
        <w:rPr>
          <w:rStyle w:val="normaltextrun"/>
        </w:rPr>
        <w:t xml:space="preserve">. </w:t>
      </w:r>
      <w:r w:rsidR="70CF33EE" w:rsidRPr="0F72CF47">
        <w:rPr>
          <w:rStyle w:val="normaltextrun"/>
        </w:rPr>
        <w:t>Finally, s</w:t>
      </w:r>
      <w:r w:rsidRPr="0F72CF47">
        <w:rPr>
          <w:rStyle w:val="normaltextrun"/>
        </w:rPr>
        <w:t xml:space="preserve">eed abundance pulses </w:t>
      </w:r>
      <w:r w:rsidR="6F54A5C6" w:rsidRPr="0F72CF47">
        <w:rPr>
          <w:rStyle w:val="normaltextrun"/>
        </w:rPr>
        <w:t>influence</w:t>
      </w:r>
      <w:r w:rsidRPr="0F72CF47">
        <w:rPr>
          <w:rStyle w:val="normaltextrun"/>
        </w:rPr>
        <w:t xml:space="preserve"> </w:t>
      </w:r>
      <w:r w:rsidR="70CF33EE" w:rsidRPr="0F72CF47">
        <w:rPr>
          <w:rStyle w:val="normaltextrun"/>
        </w:rPr>
        <w:t>future population sizes</w:t>
      </w:r>
      <w:r w:rsidR="30889E97" w:rsidRPr="0F72CF47">
        <w:rPr>
          <w:rStyle w:val="normaltextrun"/>
        </w:rPr>
        <w:t xml:space="preserve"> by altering vital rates such as survival and fecundity</w:t>
      </w:r>
      <w:r w:rsidR="70CF33EE" w:rsidRPr="0F72CF47">
        <w:rPr>
          <w:rStyle w:val="normaltextrun"/>
        </w:rPr>
        <w:t xml:space="preserve"> </w:t>
      </w:r>
      <w:r w:rsidR="00120D0B" w:rsidRPr="0F72CF47">
        <w:rPr>
          <w:rStyle w:val="normaltextrun"/>
        </w:rPr>
        <w:fldChar w:fldCharType="begin"/>
      </w:r>
      <w:r w:rsidR="00120D0B" w:rsidRPr="0F72CF47">
        <w:rPr>
          <w:rStyle w:val="normaltextrun"/>
        </w:rPr>
        <w:instrText xml:space="preserve"> ADDIN ZOTERO_ITEM CSL_CITATION {"citationID":"WrC9Q4AB","properties":{"formattedCitation":"(Hallworth et al., 2024)","plainCitation":"(Hallworth et al., 2024)","noteIndex":0},"citationItems":[{"id":2984,"uris":["http://zotero.org/groups/5634119/items/X5434V5E"],"itemData":{"id":2984,"type":"article-journal","abstract":"Abstract\n            \n              Aim\n              \n                Spatiotemporal variation in resource availability is a strong driver of animal distributions. In the northern hardwood and boreal forests of the northeastern United States, tree mast events provide resource pulses that drive the population dynamics of small mammals, including the American red squirrel (\n                Tamiasciurus hudsonicus\n                ), a primary songbird nest predator. This study sought to determine whether mast availability ameliorates their abiotic limits, enabling red squirrel elevational distributions to temporarily expand and negatively impact high‐elevation songbirds.\n              \n            \n            \n              Location\n              Northeastern United States.\n            \n            \n              Methods\n              We used two independent datasets to evaluate our hypotheses. First, we fit a dynamic occupancy model using data from camera trap surveys to evaluate red squirrel distributional responses to pulses in the tree mast. We also assessed population responses using systematic auditory surveys analysed with an open‐population binomial mixture model. Further, we used modelled red squirrel abundance in nest‐survival models to evaluate whether their abundance is correlated with the daily nest survival of three songbird species.\n            \n            \n              Results\n              The tree mast provided a critical resource pulse that resulted in a two‐fold increase in the annual elevational distribution of red squirrels. The elevational distribution of red squirrels ranged from a minimum of ~450 m (range: 663–1145 m asl) following two consecutive years without a masting event to a maximum of over 1000 m (range: 443–1545 m asl) after a large mast event. The daily nest survival of three songbird species tended to decline with an increase in the abundance of red squirrels.\n            \n            \n              Main Conclusions\n              Tree mast is a central biological phenomenon in many temperate and boreal forests. This study reveals how this resource pulse results in range changes in a small mammal that is both a seed and bird predator, as well as prey for many carnivores. Thus, understanding this phenomenon can inform the conservation and management of northern forests, including breeding songbirds.","container-title":"Diversity and Distributions","DOI":"10.1111/ddi.13861","ISSN":"1366-9516, 1472-4642","issue":"8","journalAbbreviation":"Diversity and Distributions","language":"en","page":"e13861","source":"DOI.org (Crossref)","title":"Boom and bust: the effects of masting on seed predator range dynamics and trophic cascades","title-short":"Boom and bust","volume":"30","author":[{"family":"Hallworth","given":"Michael T."},{"family":"Sirén","given":"Alexej P. K."},{"family":"DeLuca","given":"William V."},{"family":"Duclos","given":"Timothy R."},{"family":"McFarland","given":"Kent P."},{"family":"Hill","given":"Jason M."},{"family":"Rimmer","given":"Christopher C."},{"family":"Morelli","given":"Toni Lyn"}],"issued":{"date-parts":[["2024",8]]}}}],"schema":"https://github.com/citation-style-language/schema/raw/master/csl-citation.json"} </w:instrText>
      </w:r>
      <w:r w:rsidR="00120D0B" w:rsidRPr="0F72CF47">
        <w:rPr>
          <w:rStyle w:val="normaltextrun"/>
        </w:rPr>
        <w:fldChar w:fldCharType="separate"/>
      </w:r>
      <w:r w:rsidR="33FA84BA" w:rsidRPr="0F72CF47">
        <w:rPr>
          <w:rStyle w:val="normaltextrun"/>
          <w:noProof/>
        </w:rPr>
        <w:t>(Hallworth et al., 2024)</w:t>
      </w:r>
      <w:r w:rsidR="00120D0B" w:rsidRPr="0F72CF47">
        <w:rPr>
          <w:rStyle w:val="normaltextrun"/>
        </w:rPr>
        <w:fldChar w:fldCharType="end"/>
      </w:r>
      <w:r w:rsidR="06502042" w:rsidRPr="0F72CF47">
        <w:rPr>
          <w:rStyle w:val="normaltextrun"/>
        </w:rPr>
        <w:t>.</w:t>
      </w:r>
      <w:r w:rsidR="70CF33EE" w:rsidRPr="0F72CF47">
        <w:rPr>
          <w:rStyle w:val="normaltextrun"/>
        </w:rPr>
        <w:t xml:space="preserve"> Consequently, in masting systems, </w:t>
      </w:r>
      <w:r w:rsidR="79B6FB76" w:rsidRPr="0F72CF47">
        <w:rPr>
          <w:rStyle w:val="normaltextrun"/>
        </w:rPr>
        <w:t xml:space="preserve">seed availability </w:t>
      </w:r>
      <w:r w:rsidR="00961B5C">
        <w:rPr>
          <w:rStyle w:val="normaltextrun"/>
        </w:rPr>
        <w:t>can leave a</w:t>
      </w:r>
      <w:r w:rsidR="42D79503" w:rsidRPr="0F72CF47">
        <w:rPr>
          <w:rStyle w:val="normaltextrun"/>
        </w:rPr>
        <w:t xml:space="preserve"> legacy</w:t>
      </w:r>
      <w:r w:rsidR="00C957C2">
        <w:rPr>
          <w:rStyle w:val="normaltextrun"/>
        </w:rPr>
        <w:t xml:space="preserve"> on populations of </w:t>
      </w:r>
      <w:r w:rsidR="79B6FB76" w:rsidRPr="0F72CF47">
        <w:rPr>
          <w:rStyle w:val="normaltextrun"/>
        </w:rPr>
        <w:t>seed dispersers</w:t>
      </w:r>
      <w:r w:rsidR="33FA84BA" w:rsidRPr="0F72CF47">
        <w:rPr>
          <w:rStyle w:val="normaltextrun"/>
        </w:rPr>
        <w:t xml:space="preserve"> due to multiple mechanisms</w:t>
      </w:r>
      <w:r w:rsidR="42D79503" w:rsidRPr="0F72CF47">
        <w:rPr>
          <w:rStyle w:val="normaltextrun"/>
        </w:rPr>
        <w:t xml:space="preserve"> </w:t>
      </w:r>
      <w:r w:rsidR="00961B5C">
        <w:rPr>
          <w:rStyle w:val="normaltextrun"/>
        </w:rPr>
        <w:t>that</w:t>
      </w:r>
      <w:r w:rsidR="00961B5C" w:rsidRPr="0F72CF47">
        <w:rPr>
          <w:rStyle w:val="normaltextrun"/>
        </w:rPr>
        <w:t xml:space="preserve"> </w:t>
      </w:r>
      <w:r w:rsidR="42D79503" w:rsidRPr="0F72CF47">
        <w:rPr>
          <w:rStyle w:val="normaltextrun"/>
        </w:rPr>
        <w:t xml:space="preserve">can vary across habitat contexts </w:t>
      </w:r>
      <w:r w:rsidR="00120D0B" w:rsidRPr="0F72CF47">
        <w:rPr>
          <w:rStyle w:val="normaltextrun"/>
        </w:rPr>
        <w:fldChar w:fldCharType="begin"/>
      </w:r>
      <w:r w:rsidR="00120D0B" w:rsidRPr="0F72CF47">
        <w:rPr>
          <w:rStyle w:val="normaltextrun"/>
        </w:rPr>
        <w:instrText xml:space="preserve"> ADDIN ZOTERO_ITEM CSL_CITATION {"citationID":"tu7LwAx7","properties":{"formattedCitation":"(Gamelon et al., 2017)","plainCitation":"(Gamelon et al., 2017)","noteIndex":0},"citationItems":[{"id":3044,"uris":["http://zotero.org/users/6391447/items/LRKIMZTG"],"itemData":{"id":3044,"type":"article-journal","container-title":"Oecologia","DOI":"10.1007/s00442-017-3821-8","ISSN":"0029-8549,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schema":"https://github.com/citation-style-language/schema/raw/master/csl-citation.json"} </w:instrText>
      </w:r>
      <w:r w:rsidR="00120D0B" w:rsidRPr="0F72CF47">
        <w:rPr>
          <w:rStyle w:val="normaltextrun"/>
        </w:rPr>
        <w:fldChar w:fldCharType="separate"/>
      </w:r>
      <w:r w:rsidR="42D79503" w:rsidRPr="0F72CF47">
        <w:rPr>
          <w:rStyle w:val="normaltextrun"/>
          <w:noProof/>
        </w:rPr>
        <w:t>(Gamelon et al., 2017)</w:t>
      </w:r>
      <w:r w:rsidR="00120D0B" w:rsidRPr="0F72CF47">
        <w:rPr>
          <w:rStyle w:val="normaltextrun"/>
        </w:rPr>
        <w:fldChar w:fldCharType="end"/>
      </w:r>
      <w:r w:rsidR="42D79503" w:rsidRPr="0F72CF47">
        <w:rPr>
          <w:rStyle w:val="normaltextrun"/>
        </w:rPr>
        <w:t>.</w:t>
      </w:r>
    </w:p>
    <w:p w14:paraId="2F218AAB" w14:textId="4A3C25BF" w:rsidR="002B4F02" w:rsidRDefault="6714C5DE" w:rsidP="00564C09">
      <w:pPr>
        <w:pStyle w:val="paragraph"/>
        <w:spacing w:before="0" w:beforeAutospacing="0" w:after="0" w:afterAutospacing="0" w:line="480" w:lineRule="auto"/>
        <w:ind w:firstLine="720"/>
        <w:rPr>
          <w:rStyle w:val="normaltextrun"/>
        </w:rPr>
      </w:pPr>
      <w:r w:rsidRPr="0F72CF47">
        <w:rPr>
          <w:rStyle w:val="normaltextrun"/>
        </w:rPr>
        <w:t>The pinyon</w:t>
      </w:r>
      <w:r w:rsidR="53BB8A2D" w:rsidRPr="0F72CF47">
        <w:rPr>
          <w:rStyle w:val="normaltextrun"/>
        </w:rPr>
        <w:t xml:space="preserve"> </w:t>
      </w:r>
      <w:r w:rsidRPr="0F72CF47">
        <w:rPr>
          <w:rStyle w:val="normaltextrun"/>
        </w:rPr>
        <w:t>pine</w:t>
      </w:r>
      <w:r w:rsidR="53BB8A2D" w:rsidRPr="0F72CF47">
        <w:rPr>
          <w:rStyle w:val="normaltextrun"/>
        </w:rPr>
        <w:t xml:space="preserve"> (</w:t>
      </w:r>
      <w:r w:rsidR="53BB8A2D" w:rsidRPr="0F72CF47">
        <w:rPr>
          <w:rStyle w:val="normaltextrun"/>
          <w:i/>
          <w:iCs/>
        </w:rPr>
        <w:t>Pinus edulis</w:t>
      </w:r>
      <w:r w:rsidR="53BB8A2D" w:rsidRPr="0F72CF47">
        <w:rPr>
          <w:rStyle w:val="normaltextrun"/>
        </w:rPr>
        <w:t>)</w:t>
      </w:r>
      <w:r w:rsidRPr="0F72CF47">
        <w:rPr>
          <w:rStyle w:val="normaltextrun"/>
        </w:rPr>
        <w:t xml:space="preserve"> and pinyon</w:t>
      </w:r>
      <w:r w:rsidR="53BB8A2D" w:rsidRPr="0F72CF47">
        <w:rPr>
          <w:rStyle w:val="normaltextrun"/>
        </w:rPr>
        <w:t xml:space="preserve"> </w:t>
      </w:r>
      <w:r w:rsidRPr="0F72CF47">
        <w:rPr>
          <w:rStyle w:val="normaltextrun"/>
        </w:rPr>
        <w:t xml:space="preserve">jay </w:t>
      </w:r>
      <w:r w:rsidR="53BB8A2D" w:rsidRPr="0F72CF47">
        <w:rPr>
          <w:rStyle w:val="normaltextrun"/>
        </w:rPr>
        <w:t>(</w:t>
      </w:r>
      <w:proofErr w:type="spellStart"/>
      <w:r w:rsidR="53BB8A2D" w:rsidRPr="0F72CF47">
        <w:rPr>
          <w:rStyle w:val="normaltextrun"/>
          <w:i/>
          <w:iCs/>
        </w:rPr>
        <w:t>Gymnorhinus</w:t>
      </w:r>
      <w:proofErr w:type="spellEnd"/>
      <w:r w:rsidR="53BB8A2D" w:rsidRPr="0F72CF47">
        <w:rPr>
          <w:rStyle w:val="normaltextrun"/>
          <w:i/>
          <w:iCs/>
        </w:rPr>
        <w:t xml:space="preserve"> </w:t>
      </w:r>
      <w:proofErr w:type="spellStart"/>
      <w:r w:rsidR="53BB8A2D" w:rsidRPr="0F72CF47">
        <w:rPr>
          <w:rStyle w:val="normaltextrun"/>
          <w:i/>
          <w:iCs/>
        </w:rPr>
        <w:t>cyanocephalus</w:t>
      </w:r>
      <w:proofErr w:type="spellEnd"/>
      <w:r w:rsidR="53BB8A2D" w:rsidRPr="0F72CF47">
        <w:rPr>
          <w:rStyle w:val="normaltextrun"/>
        </w:rPr>
        <w:t xml:space="preserve">) </w:t>
      </w:r>
      <w:r w:rsidRPr="0F72CF47">
        <w:rPr>
          <w:rStyle w:val="normaltextrun"/>
        </w:rPr>
        <w:t xml:space="preserve">mutualism is an iconic example of </w:t>
      </w:r>
      <w:r w:rsidR="7C94A5E6" w:rsidRPr="0F72CF47">
        <w:rPr>
          <w:rStyle w:val="normaltextrun"/>
        </w:rPr>
        <w:t xml:space="preserve">seed dispersal </w:t>
      </w:r>
      <w:r w:rsidR="70CF33EE" w:rsidRPr="0F72CF47">
        <w:rPr>
          <w:rStyle w:val="normaltextrun"/>
        </w:rPr>
        <w:t>in a masting system</w:t>
      </w:r>
      <w:r w:rsidR="00961B5C">
        <w:rPr>
          <w:rStyle w:val="normaltextrun"/>
        </w:rPr>
        <w:t>. For example, i</w:t>
      </w:r>
      <w:r w:rsidR="6043714F" w:rsidRPr="0F72CF47">
        <w:rPr>
          <w:rStyle w:val="normaltextrun"/>
        </w:rPr>
        <w:t>n the early 1900’s, Aldo Leopold described the pinyon jay as the “</w:t>
      </w:r>
      <w:proofErr w:type="spellStart"/>
      <w:r w:rsidR="6043714F" w:rsidRPr="0F72CF47">
        <w:rPr>
          <w:rStyle w:val="normaltextrun"/>
        </w:rPr>
        <w:t>numenon</w:t>
      </w:r>
      <w:proofErr w:type="spellEnd"/>
      <w:r w:rsidR="6043714F" w:rsidRPr="0F72CF47">
        <w:rPr>
          <w:rStyle w:val="normaltextrun"/>
        </w:rPr>
        <w:t>” (essence) of the pinyon</w:t>
      </w:r>
      <w:r w:rsidR="2E905715" w:rsidRPr="0F72CF47">
        <w:rPr>
          <w:rStyle w:val="normaltextrun"/>
        </w:rPr>
        <w:t>-</w:t>
      </w:r>
      <w:r w:rsidR="6043714F" w:rsidRPr="0F72CF47">
        <w:rPr>
          <w:rStyle w:val="normaltextrun"/>
        </w:rPr>
        <w:t>juniper ecosystem</w:t>
      </w:r>
      <w:r w:rsidR="00961B5C">
        <w:rPr>
          <w:rStyle w:val="normaltextrun"/>
        </w:rPr>
        <w:t>,</w:t>
      </w:r>
      <w:r w:rsidR="6043714F" w:rsidRPr="0F72CF47">
        <w:rPr>
          <w:rStyle w:val="normaltextrun"/>
        </w:rPr>
        <w:t xml:space="preserve"> and </w:t>
      </w:r>
      <w:r w:rsidR="00961B5C">
        <w:rPr>
          <w:rStyle w:val="normaltextrun"/>
        </w:rPr>
        <w:t xml:space="preserve">historical </w:t>
      </w:r>
      <w:r w:rsidRPr="0F72CF47">
        <w:rPr>
          <w:rStyle w:val="normaltextrun"/>
        </w:rPr>
        <w:t xml:space="preserve">reports </w:t>
      </w:r>
      <w:r w:rsidR="00961B5C">
        <w:rPr>
          <w:rStyle w:val="normaltextrun"/>
        </w:rPr>
        <w:t>document</w:t>
      </w:r>
      <w:r w:rsidR="00961B5C" w:rsidRPr="0F72CF47">
        <w:rPr>
          <w:rStyle w:val="normaltextrun"/>
        </w:rPr>
        <w:t xml:space="preserve"> </w:t>
      </w:r>
      <w:r w:rsidRPr="0F72CF47">
        <w:rPr>
          <w:rStyle w:val="normaltextrun"/>
        </w:rPr>
        <w:t>flocks of thousands</w:t>
      </w:r>
      <w:r w:rsidR="00961B5C">
        <w:rPr>
          <w:rStyle w:val="normaltextrun"/>
        </w:rPr>
        <w:t xml:space="preserve"> of jays</w:t>
      </w:r>
      <w:r w:rsidRPr="0F72CF47">
        <w:rPr>
          <w:rStyle w:val="normaltextrun"/>
        </w:rPr>
        <w:t xml:space="preserve"> descending upon woodlands during mast years </w:t>
      </w:r>
      <w:r w:rsidR="00671A01" w:rsidRPr="0F72CF47">
        <w:rPr>
          <w:rStyle w:val="normaltextrun"/>
        </w:rPr>
        <w:fldChar w:fldCharType="begin"/>
      </w:r>
      <w:r w:rsidR="00EC0CE3">
        <w:rPr>
          <w:rStyle w:val="normaltextrun"/>
        </w:rPr>
        <w:instrText xml:space="preserve"> ADDIN ZOTERO_ITEM CSL_CITATION {"citationID":"gtdsD2uJ","properties":{"formattedCitation":"(Leopold, 1949)","plainCitation":"(Leopold, 1949)","noteIndex":0},"citationItems":[{"id":3156,"uris":["http://zotero.org/groups/5634119/items/PD82J7WZ"],"itemData":{"id":3156,"type":"book","ISBN":"978-0-19-500777-0","number-of-pages":"226","publisher":"OUP","publisher-place":"New York usw","source":"K10plus ISBN","title":"A Sand county almanac and sketches here and there","author":[{"family":"Leopold","given":"Aldo"}],"issued":{"date-parts":[["1949"]]}}}],"schema":"https://github.com/citation-style-language/schema/raw/master/csl-citation.json"} </w:instrText>
      </w:r>
      <w:r w:rsidR="00671A01" w:rsidRPr="0F72CF47">
        <w:rPr>
          <w:rStyle w:val="normaltextrun"/>
        </w:rPr>
        <w:fldChar w:fldCharType="separate"/>
      </w:r>
      <w:r w:rsidR="6043714F" w:rsidRPr="0F72CF47">
        <w:rPr>
          <w:rStyle w:val="normaltextrun"/>
          <w:noProof/>
        </w:rPr>
        <w:t>(Leopold, 1949)</w:t>
      </w:r>
      <w:r w:rsidR="00671A01" w:rsidRPr="0F72CF47">
        <w:rPr>
          <w:rStyle w:val="normaltextrun"/>
        </w:rPr>
        <w:fldChar w:fldCharType="end"/>
      </w:r>
      <w:r w:rsidRPr="0F72CF47">
        <w:rPr>
          <w:rStyle w:val="normaltextrun"/>
        </w:rPr>
        <w:t>. H</w:t>
      </w:r>
      <w:r w:rsidR="782EC75A" w:rsidRPr="0F72CF47">
        <w:rPr>
          <w:rStyle w:val="normaltextrun"/>
        </w:rPr>
        <w:t>owever</w:t>
      </w:r>
      <w:r w:rsidR="57F50061" w:rsidRPr="0F72CF47">
        <w:rPr>
          <w:rStyle w:val="normaltextrun"/>
        </w:rPr>
        <w:t>,</w:t>
      </w:r>
      <w:r w:rsidR="782EC75A" w:rsidRPr="0F72CF47">
        <w:rPr>
          <w:rStyle w:val="normaltextrun"/>
        </w:rPr>
        <w:t xml:space="preserve"> p</w:t>
      </w:r>
      <w:r w:rsidR="75934C69" w:rsidRPr="0F72CF47">
        <w:rPr>
          <w:rStyle w:val="normaltextrun"/>
        </w:rPr>
        <w:t xml:space="preserve">inyon jays have been </w:t>
      </w:r>
      <w:r w:rsidR="377833DC" w:rsidRPr="0F72CF47">
        <w:rPr>
          <w:rStyle w:val="normaltextrun"/>
        </w:rPr>
        <w:t xml:space="preserve">broadly </w:t>
      </w:r>
      <w:r w:rsidR="75934C69" w:rsidRPr="0F72CF47">
        <w:rPr>
          <w:rStyle w:val="normaltextrun"/>
        </w:rPr>
        <w:lastRenderedPageBreak/>
        <w:t>declining over the last several decade</w:t>
      </w:r>
      <w:r w:rsidR="377833DC" w:rsidRPr="0F72CF47">
        <w:rPr>
          <w:rStyle w:val="normaltextrun"/>
        </w:rPr>
        <w:t>s</w:t>
      </w:r>
      <w:r w:rsidR="53AE0CC4" w:rsidRPr="0F72CF47">
        <w:rPr>
          <w:rStyle w:val="normaltextrun"/>
        </w:rPr>
        <w:t xml:space="preserve"> </w:t>
      </w:r>
      <w:r w:rsidR="00671A01" w:rsidRPr="0F72CF47">
        <w:rPr>
          <w:rStyle w:val="normaltextrun"/>
        </w:rPr>
        <w:fldChar w:fldCharType="begin"/>
      </w:r>
      <w:r w:rsidR="00C957C2">
        <w:rPr>
          <w:rStyle w:val="normaltextrun"/>
        </w:rPr>
        <w:instrText xml:space="preserve"> ADDIN ZOTERO_ITEM CSL_CITATION {"citationID":"QHpaUayp","properties":{"formattedCitation":"(Boone et al., 2018)","plainCitation":"(Boone et al., 2018)","noteIndex":0},"citationItems":[{"id":2748,"uris":["http://zotero.org/groups/5634119/items/YTCPHGE5"],"itemData":{"id":2748,"type":"chapter","abstract":"The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D."},{"family":"Ammon","given":"Elisabeth"},{"family":"Johnson","given":"Kristine"}],"accessed":{"date-parts":[["2024",10,10]]},"issued":{"date-parts":[["2018",9,1]]}}}],"schema":"https://github.com/citation-style-language/schema/raw/master/csl-citation.json"} </w:instrText>
      </w:r>
      <w:r w:rsidR="00671A01" w:rsidRPr="0F72CF47">
        <w:rPr>
          <w:rStyle w:val="normaltextrun"/>
        </w:rPr>
        <w:fldChar w:fldCharType="separate"/>
      </w:r>
      <w:r w:rsidR="53AE0CC4" w:rsidRPr="0F72CF47">
        <w:rPr>
          <w:rStyle w:val="normaltextrun"/>
          <w:noProof/>
        </w:rPr>
        <w:t>(Boone et al., 2018)</w:t>
      </w:r>
      <w:r w:rsidR="00671A01" w:rsidRPr="0F72CF47">
        <w:rPr>
          <w:rStyle w:val="normaltextrun"/>
        </w:rPr>
        <w:fldChar w:fldCharType="end"/>
      </w:r>
      <w:r w:rsidR="53BB8A2D" w:rsidRPr="0F72CF47">
        <w:rPr>
          <w:rStyle w:val="normaltextrun"/>
        </w:rPr>
        <w:t>.</w:t>
      </w:r>
      <w:r w:rsidR="377833DC" w:rsidRPr="0F72CF47">
        <w:rPr>
          <w:rStyle w:val="normaltextrun"/>
        </w:rPr>
        <w:t xml:space="preserve"> </w:t>
      </w:r>
      <w:r w:rsidR="53BB8A2D" w:rsidRPr="0F72CF47">
        <w:rPr>
          <w:rStyle w:val="normaltextrun"/>
        </w:rPr>
        <w:t>T</w:t>
      </w:r>
      <w:r w:rsidR="377833DC" w:rsidRPr="0F72CF47">
        <w:rPr>
          <w:rStyle w:val="normaltextrun"/>
        </w:rPr>
        <w:t>he c</w:t>
      </w:r>
      <w:r w:rsidR="75934C69" w:rsidRPr="0F72CF47">
        <w:rPr>
          <w:rStyle w:val="normaltextrun"/>
        </w:rPr>
        <w:t xml:space="preserve">ause of their decline likely involves a </w:t>
      </w:r>
      <w:r w:rsidR="5D1B02BA" w:rsidRPr="0F72CF47">
        <w:rPr>
          <w:rStyle w:val="normaltextrun"/>
        </w:rPr>
        <w:t xml:space="preserve">complex </w:t>
      </w:r>
      <w:r w:rsidR="75934C69" w:rsidRPr="0F72CF47">
        <w:rPr>
          <w:rStyle w:val="normaltextrun"/>
        </w:rPr>
        <w:t>set of drivers, includ</w:t>
      </w:r>
      <w:r w:rsidR="7C94A5E6" w:rsidRPr="0F72CF47">
        <w:rPr>
          <w:rStyle w:val="normaltextrun"/>
        </w:rPr>
        <w:t>ing</w:t>
      </w:r>
      <w:r w:rsidR="75934C69" w:rsidRPr="0F72CF47">
        <w:rPr>
          <w:rStyle w:val="normaltextrun"/>
        </w:rPr>
        <w:t xml:space="preserve"> climate</w:t>
      </w:r>
      <w:r w:rsidR="79C21AB7" w:rsidRPr="0F72CF47">
        <w:rPr>
          <w:rStyle w:val="normaltextrun"/>
        </w:rPr>
        <w:t xml:space="preserve"> </w:t>
      </w:r>
      <w:r w:rsidR="0C2E8049" w:rsidRPr="0F72CF47">
        <w:rPr>
          <w:rStyle w:val="normaltextrun"/>
        </w:rPr>
        <w:t>change</w:t>
      </w:r>
      <w:r w:rsidR="75934C69" w:rsidRPr="0F72CF47">
        <w:rPr>
          <w:rStyle w:val="normaltextrun"/>
        </w:rPr>
        <w:t xml:space="preserve">, habitat </w:t>
      </w:r>
      <w:r w:rsidR="0E1E0B3F" w:rsidRPr="0F72CF47">
        <w:rPr>
          <w:rStyle w:val="normaltextrun"/>
        </w:rPr>
        <w:t>modifications</w:t>
      </w:r>
      <w:r w:rsidR="75934C69" w:rsidRPr="0F72CF47">
        <w:rPr>
          <w:rStyle w:val="normaltextrun"/>
        </w:rPr>
        <w:t xml:space="preserve">, and </w:t>
      </w:r>
      <w:r w:rsidR="0E1E0B3F" w:rsidRPr="0F72CF47">
        <w:rPr>
          <w:rStyle w:val="normaltextrun"/>
        </w:rPr>
        <w:t xml:space="preserve">changes in </w:t>
      </w:r>
      <w:r w:rsidR="75934C69" w:rsidRPr="0F72CF47">
        <w:rPr>
          <w:rStyle w:val="normaltextrun"/>
        </w:rPr>
        <w:t>food resource availability</w:t>
      </w:r>
      <w:r w:rsidR="20D8BE5F" w:rsidRPr="0F72CF47">
        <w:rPr>
          <w:rStyle w:val="normaltextrun"/>
        </w:rPr>
        <w:t xml:space="preserve"> </w:t>
      </w:r>
      <w:r w:rsidR="00671A01" w:rsidRPr="0F72CF47">
        <w:rPr>
          <w:rStyle w:val="normaltextrun"/>
        </w:rPr>
        <w:fldChar w:fldCharType="begin"/>
      </w:r>
      <w:r w:rsidR="00C957C2">
        <w:rPr>
          <w:rStyle w:val="normaltextrun"/>
        </w:rPr>
        <w:instrText xml:space="preserve"> ADDIN ZOTERO_ITEM CSL_CITATION {"citationID":"N53SH96h","properties":{"formattedCitation":"(Boone et al., 2018; Sicich et al., 2025; Van Lanen et al., 2023)","plainCitation":"(Boone et al., 2018; Sicich et al., 2025; Van Lanen et al., 2023)","noteIndex":0},"citationItems":[{"id":2748,"uris":["http://zotero.org/groups/5634119/items/YTCPHGE5"],"itemData":{"id":2748,"type":"chapter","abstract":"The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id":3116,"uris":["http://zotero.org/groups/5634119/items/J4DGNMTY"],"itemData":{"id":3116,"type":"article-journal","abstract":"Abstract\n            Identifying habitat associations that vary by season or in response to environmental conditions is vital for conserving declining species. Gymnorhinus cyanocephalus (Pinyon Jay) has declined significantly compared to other species inhabiting conifer woodlands in the western United States. Although this species is strongly associated with pinyon pines (Pinus spp.) for nesting colonies and pinyon nuts as a food resource, less is known about habitat types that are important for foraging during the breeding season. We assessed the effects of habitat characteristics on the selection of foraging habitat by G. cyanocephalus in south-central New Mexico during the breeding seasons of 2021–2022 at 2 spatial scales: (1) locations where birds were observed foraging compared to random locations (“site” scale) and (2) centralized foraging locations for a nest colony compared to random areas within a landscape (“landscape” scale). We found that at the site scale, G. cyanocephalus selected foraging locations that were farther from the forest edge and had higher abundances of arthropods than random locations. At the landscape scale, G. cyanocephalus selected foraging areas featuring higher herbaceous cover. Our results suggest that conservation efforts for G. cyanocephalus should focus on identifying heterogeneous habitat that supports varying habitat needs throughout the annual cycle, including intact pinyon-juniper stands for nesting and open areas dominated by herbaceous cover for foraging during the breeding season. Given the declines in pinyon pines, in part likely due to climate change and reduced mast years for pinyon nuts, it is crucial to explore alternative foraging habitats and food resources for the conservation of this species.","container-title":"Ornithological Applications","DOI":"10.1093/ornithapp/duaf046","ISSN":"0010-5422, 2732-4621","language":"en","license":"https://academic.oup.com/journals/pages/open_access/funder_policies/chorus/standard_publication_model","page":"duaf046","source":"DOI.org (Crossref)","title":"Open spaces and arthropod abundance are important foraging habitat components for &lt;i&gt;Gymnorhinus cyanocephalus&lt;/i&gt; (Pinyon Jay) in south-central New Mexico","author":[{"family":"Sicich","given":"Bianca"},{"family":"Young","given":"Aaron C"},{"family":"Bundy","given":"C Scott"},{"family":"Abadi","given":"Fitsum"},{"family":"Desmond","given":"Martha J"}],"issued":{"date-parts":[["2025",7,11]]}}},{"id":2767,"uris":["http://zotero.org/groups/5634119/items/SFTJSXEN"],"itemData":{"id":2767,"type":"article-journal","container-title":"Biological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L."}],"issued":{"date-parts":[["2023",4]]}}}],"schema":"https://github.com/citation-style-language/schema/raw/master/csl-citation.json"} </w:instrText>
      </w:r>
      <w:r w:rsidR="00671A01" w:rsidRPr="0F72CF47">
        <w:rPr>
          <w:rStyle w:val="normaltextrun"/>
        </w:rPr>
        <w:fldChar w:fldCharType="separate"/>
      </w:r>
      <w:r w:rsidR="53AE0CC4" w:rsidRPr="0F72CF47">
        <w:rPr>
          <w:rStyle w:val="normaltextrun"/>
          <w:noProof/>
        </w:rPr>
        <w:t>(Boone et al., 2018; Sicich et al., 2025; Van Lanen et al., 2023)</w:t>
      </w:r>
      <w:r w:rsidR="00671A01" w:rsidRPr="0F72CF47">
        <w:rPr>
          <w:rStyle w:val="normaltextrun"/>
        </w:rPr>
        <w:fldChar w:fldCharType="end"/>
      </w:r>
      <w:r w:rsidR="75934C69" w:rsidRPr="0F72CF47">
        <w:rPr>
          <w:rStyle w:val="normaltextrun"/>
        </w:rPr>
        <w:t xml:space="preserve">. </w:t>
      </w:r>
      <w:r w:rsidR="57F50061" w:rsidRPr="0F72CF47">
        <w:rPr>
          <w:rStyle w:val="normaltextrun"/>
        </w:rPr>
        <w:t xml:space="preserve">As evidence of this third causal agent, </w:t>
      </w:r>
      <w:r w:rsidR="782EC75A" w:rsidRPr="0F72CF47">
        <w:rPr>
          <w:rStyle w:val="normaltextrun"/>
        </w:rPr>
        <w:t xml:space="preserve">the </w:t>
      </w:r>
      <w:r w:rsidR="75934C69" w:rsidRPr="0F72CF47">
        <w:rPr>
          <w:rStyle w:val="normaltextrun"/>
        </w:rPr>
        <w:t xml:space="preserve">pinyon pine has </w:t>
      </w:r>
      <w:r w:rsidR="7C94A5E6" w:rsidRPr="0F72CF47">
        <w:rPr>
          <w:rStyle w:val="normaltextrun"/>
        </w:rPr>
        <w:t xml:space="preserve">also </w:t>
      </w:r>
      <w:r w:rsidR="75934C69" w:rsidRPr="0F72CF47">
        <w:rPr>
          <w:rStyle w:val="normaltextrun"/>
        </w:rPr>
        <w:t xml:space="preserve">faced recent </w:t>
      </w:r>
      <w:r w:rsidR="56CD31DA" w:rsidRPr="0F72CF47">
        <w:rPr>
          <w:rStyle w:val="normaltextrun"/>
        </w:rPr>
        <w:t>population</w:t>
      </w:r>
      <w:r w:rsidR="33804172" w:rsidRPr="0F72CF47">
        <w:rPr>
          <w:rStyle w:val="normaltextrun"/>
        </w:rPr>
        <w:t xml:space="preserve"> declines</w:t>
      </w:r>
      <w:r w:rsidR="79C21AB7" w:rsidRPr="0F72CF47">
        <w:rPr>
          <w:rStyle w:val="normaltextrun"/>
        </w:rPr>
        <w:t xml:space="preserve">, </w:t>
      </w:r>
      <w:r w:rsidR="75934C69" w:rsidRPr="0F72CF47">
        <w:rPr>
          <w:rStyle w:val="normaltextrun"/>
        </w:rPr>
        <w:t xml:space="preserve">with limited </w:t>
      </w:r>
      <w:r w:rsidR="0B8A5AE6" w:rsidRPr="0F72CF47">
        <w:rPr>
          <w:rStyle w:val="normaltextrun"/>
        </w:rPr>
        <w:t xml:space="preserve">tree </w:t>
      </w:r>
      <w:r w:rsidR="75934C69" w:rsidRPr="0F72CF47">
        <w:rPr>
          <w:rStyle w:val="normaltextrun"/>
        </w:rPr>
        <w:t>regeneration and reduced seed production of the surviving trees</w:t>
      </w:r>
      <w:r w:rsidR="20D8BE5F" w:rsidRPr="0F72CF47">
        <w:rPr>
          <w:rStyle w:val="normaltextrun"/>
        </w:rPr>
        <w:t xml:space="preserve"> </w:t>
      </w:r>
      <w:r w:rsidR="00671A01" w:rsidRPr="0F72CF47">
        <w:rPr>
          <w:rStyle w:val="normaltextrun"/>
        </w:rPr>
        <w:fldChar w:fldCharType="begin"/>
      </w:r>
      <w:r w:rsidR="00C957C2">
        <w:rPr>
          <w:rStyle w:val="normaltextrun"/>
        </w:rPr>
        <w:instrText xml:space="preserve"> ADDIN ZOTERO_ITEM CSL_CITATION {"citationID":"NLL8jk4R","properties":{"formattedCitation":"(Breshears et al., 2005; Meddens et al., 2015; Redmond et al., 2012; Rodman et al., 2025; Shriver et al., 2022; Wion et al., 2025)","plainCitation":"(Breshears et al., 2005; Meddens et al., 2015; Redmond et al., 2012; Rodman et al., 2025; Shriver et al., 2022; Wion et al., 2025)","noteIndex":0},"citationItems":[{"id":2967,"uris":["http://zotero.org/groups/5634119/items/XUACEC5I"],"itemData":{"id":2967,"type":"article-journal","abstract":"Future drought is projected to occur under warmer temperature conditions as climate change progresses, referred to here as global-change-type drought, yet quantitative assessments of the triggers and potential extent of drought-induced vegetation die-off remain pivotal uncertainties in assessing climate-change impacts. Of particular concern is regional-scale mortality of overstory trees, which rapidly alters ecosystem type, associated ecosystem properties, and land surface conditions for decades. Here, we quantify regional-scale vegetation die-off across southwestern North American woodlands in 2002-2003 in response to drought and associated bark beetle infestations. At an intensively studied site within the region, we quantified that after 15 months of depleted soil water content, &gt;90% of the dominant, overstory tree species (\n              Pinus edulis\n              , a piñon) died. The die-off was reflected in changes in a remotely sensed index of vegetation greenness (Normalized Difference Vegetation Index), not only at the intensively studied site but also across the region, extending over 12,000 km\n              2\n              or more; aerial and field surveys confirmed the general extent of the die-off. Notably, the recent drought was warmer than the previous subcontinental drought of the 1950s. The limited, available observations suggest that die-off from the recent drought was more extensive than that from the previous drought, extending into wetter sites within the tree species' distribution. Our results quantify a trigger leading to rapid, drought-induced die-off of overstory woody plants at subcontinental scale and highlight the potential for such die-off to be more severe and extensive for future global-change-type drought under warmer conditions.","container-title":"Proceedings of the National Academy of Sciences","DOI":"10.1073/pnas.0505734102","ISSN":"0027-8424, 1091-6490","issue":"42","journalAbbreviation":"Proc. Natl. Acad. Sci. U.S.A.","language":"en","page":"15144-15148","source":"DOI.org (Crossref)","title":"Regional vegetation die-off in response to global-change-type drought","volume":"102","author":[{"family":"Breshears","given":"David D."},{"family":"Cobb","given":"Neil S."},{"family":"Rich","given":"Paul M."},{"family":"Price","given":"Kevin P."},{"family":"Allen","given":"Craig D."},{"family":"Balice","given":"Randy G."},{"family":"Romme","given":"William H."},{"family":"Kastens","given":"Jude H."},{"family":"Floyd","given":"M. Lisa"},{"family":"Belnap","given":"Jayne"},{"family":"Anderson","given":"Jesse J."},{"family":"Myers","given":"Orrin B."},{"family":"Meyer","given":"Clifton W."}],"issued":{"date-parts":[["2005",10,18]]}}},{"id":2966,"uris":["http://zotero.org/groups/5634119/items/DJVJ9458"],"itemData":{"id":2966,"type":"article-journal","abstract":"Summary\n            Recently, widespread piñon pine die‐off occurred in the southwestern United States. Here we synthesize observational studies of this event and compare findings to expected relationships with biotic and abiotic factors. Agreement exists on the occurrence of drought, presence of bark beetles and increased mortality of larger trees. However, studies disagree about the influences of stem density, elevation and other factors, perhaps related to study design, location and impact of extreme drought. Detailed information about bark beetles is seldom reported and their role is poorly understood. Our analysis reveals substantial limits to our knowledge regarding the processes that produce mortality patterns across space and time, indicating a poor ability to forecast mortality in response to expected increases in future droughts.\n            \n              \n                \n                  \n                  \n                  \n                  \n                    \n                      \n                      Contents\n                      \n                    \n                  \n                  \n                    \n                      \n                      Summary\n                      91\n                    \n                    \n                      I.\n                      \n                        Introduction\n                      \n                      91\n                    \n                    \n                      II.\n                      \n                        Mortality mechanisms\n                      \n                      92\n                    \n                    \n                      III.\n                      \n                        Methods\n                      \n                      92\n                    \n                    \n                      IV.\n                      \n                        Results\n                      \n                      92\n                    \n                    \n                      V.\n                      \n                        Discussion\n                      \n                      94\n                    \n                    \n                      VI.\n                      \n                        Conclusions\n                      \n                      96\n                    \n                    \n                      \n                      \n                        Acknowledgements\n                      \n                      96\n                    \n                    \n                      \n                      \n                        References\n                      \n                      96","container-title":"New Phytologist","DOI":"10.1111/nph.13193","ISSN":"0028-646X, 1469-8137","issue":"1","journalAbbreviation":"New Phytologist","language":"en","license":"http://onlinelibrary.wiley.com/termsAndConditions#am","page":"91-97","source":"DOI.org (Crossref)","title":"Patterns and causes of observed piñon pine mortality in the southwestern United States","volume":"206","author":[{"family":"Meddens","given":"Arjan J. H."},{"family":"Hicke","given":"Jeffrey A."},{"family":"Macalady","given":"Alison K."},{"family":"Buotte","given":"Polly C."},{"family":"Cowles","given":"Travis R."},{"family":"Allen","given":"Craig D."}],"issued":{"date-parts":[["2015",4]]}}},{"id":2972,"uris":["http://zotero.org/groups/5634119/items/7M2FKU8S"],"itemData":{"id":2972,"type":"article-journal","abstract":"Global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N."}],"issued":{"date-parts":[["2012",12]]}}},{"id":3177,"uris":["http://zotero.org/users/6391447/items/LHWSJL5A"],"itemData":{"id":3177,"type":"article-journal","abstract":"ABSTRACT\n            Global changes in temperature and aridity are increasing the frequency of extreme drought events. Such changes can have pronounced impacts on dryland ecosystems, which exist at the margins of plant physiological tolerances. Pinyon–juniper (PJ) woodlands—a dryland vegetation type spanning 40 million ha in western North America—are a model system for the impacts of drought, where recurrent short‐interval drought events may trigger feedback mechanisms that influence future drought resistance. Leveraging a long‐term monitoring network in PJ woodlands of the United States (US) Southwest, we sought to understand how interactions between recurrent drought events influence tree mortality risk. We developed generalized linear mixed models to predict patterns of recent (i.e., 2014–2023) tree mortality based on biophysical variables, tree size, and prior drought‐driven changes (ca. 1998–2014) in forest conditions. We then used these models to quantify how mortality risk has shifted over time. Tree density and stand basal area declined substantially throughout our 1998–2023 monitoring period. Since 2014, tree mortality was more common and spatially extensive than new tree recruitment, and nearly half of the surviving trees experienced crown dieback. Tree size influenced biotic interactions and responses to environmental conditions, and soil organic matter and mycorrhizal fungi communities buffered individuals against drought. Shifts in woodland demographics (e.g., reduced stand densities, crown dieback) led to a 28.2% increase in mortality risk between 2014 and 2023 for trees that survived this period, a pattern that was consistent across species. Recent drought events have triggered widespread tree mortality and dieback in PJ woodlands of the US Southwest. These events also increase future tree mortality risk, overcoming system inertia created by local edaphic conditions and compensatory responses.","container-title":"Ecology and Evolution","DOI":"10.1002/ece3.72667","ISSN":"2045-7758, 2045-7758","issue":"12","journalAbbreviation":"Ecology and Evolution","language":"en","page":"e72667","source":"DOI.org (Crossref)","title":"Positive Drought Feedbacks Increase Tree Mortality Risk in Dry Woodlands of the &lt;span style=\"font-variant:small-caps;\"&gt;US&lt;/span&gt; Southwest","title-short":"Positive Drought Feedbacks Increase Tree Mortality Risk in Dry Woodlands of the &lt;span style=\"font-variant","volume":"15","author":[{"family":"Rodman","given":"Kyle C."},{"family":"Wilkerson","given":"Kaylie J."},{"family":"Wion","given":"Andreas P."},{"family":"Huffman","given":"David W."},{"family":"Antoninka","given":"Anita J."},{"family":"Barrera","given":"Mariola"},{"family":"Cobb","given":"Neil S."},{"family":"Redmond","given":"Miranda D."}],"issued":{"date-parts":[["2025",12]]}}},{"id":3179,"uris":["http://zotero.org/users/6391447/items/IRZKEIEX"],"itemData":{"id":3179,"type":"article-journal","abstract":"Aim: Anticipating when and where changes in species' demographic rates will lead to range shifts in response to changing climate remains a major challenge. Despite evidence of increasing mortality in dry forests across the globe in response to drought and warming temperatures, the overall impacts on the distribution of dry forests are largely unknown because we lack comparable large-scale data on tree recruitment rates. Here, our aim was to develop range-wide population models for dry forest tree species (pinyon pine and juniper), quantifying both mortality and recruitment, to better understand where and under what conditions species range contractions are occurring.","container-title":"Global Ecology and Biogeography","DOI":"10.1111/geb.13582","ISSN":"1466-822X, 1466-8238","issue":"11","journalAbbreviation":"Global Ecol Biogeogr","language":"en","page":"2259-2269","source":"DOI.org (Crossref)","title":"Dry forest decline is driven by both declining recruitment and increasing mortality in response to warm, dry conditions","volume":"31","author":[{"family":"Shriver","given":"Robert K."},{"family":"Yackulic","given":"Charles B."},{"family":"Bell","given":"David M."},{"family":"Bradford","given":"John B."}],"issued":{"date-parts":[["2022",11]]}}},{"id":2858,"uris":["http://zotero.org/groups/5634119/items/5C7JLPYL"],"itemData":{"id":2858,"type":"article-journal","abstract":"SummaryPredicting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71A01" w:rsidRPr="0F72CF47">
        <w:rPr>
          <w:rStyle w:val="normaltextrun"/>
        </w:rPr>
        <w:fldChar w:fldCharType="separate"/>
      </w:r>
      <w:r w:rsidR="00C957C2">
        <w:rPr>
          <w:rStyle w:val="normaltextrun"/>
          <w:noProof/>
        </w:rPr>
        <w:t>(Breshears et al., 2005; Meddens et al., 2015; Redmond et al., 2012; Rodman et al., 2025; Shriver et al., 2022; Wion et al., 2025)</w:t>
      </w:r>
      <w:r w:rsidR="00671A01" w:rsidRPr="0F72CF47">
        <w:rPr>
          <w:rStyle w:val="normaltextrun"/>
        </w:rPr>
        <w:fldChar w:fldCharType="end"/>
      </w:r>
      <w:r w:rsidR="75934C69" w:rsidRPr="0F72CF47">
        <w:rPr>
          <w:rStyle w:val="normaltextrun"/>
        </w:rPr>
        <w:t xml:space="preserve">. </w:t>
      </w:r>
      <w:r w:rsidR="79B6FB76" w:rsidRPr="0F72CF47">
        <w:rPr>
          <w:rStyle w:val="normaltextrun"/>
        </w:rPr>
        <w:t xml:space="preserve">The </w:t>
      </w:r>
      <w:r w:rsidR="79B6FB76" w:rsidRPr="0F72CF47">
        <w:rPr>
          <w:rStyle w:val="normaltextrun"/>
        </w:rPr>
        <w:t>concurrent declines in this system are not unique: c</w:t>
      </w:r>
      <w:r w:rsidR="7E7B1C04" w:rsidRPr="0F72CF47">
        <w:rPr>
          <w:rStyle w:val="normaltextrun"/>
        </w:rPr>
        <w:t xml:space="preserve">hanges in climate </w:t>
      </w:r>
      <w:r w:rsidR="79C21AB7" w:rsidRPr="0F72CF47">
        <w:rPr>
          <w:rStyle w:val="normaltextrun"/>
        </w:rPr>
        <w:t xml:space="preserve">are shaping </w:t>
      </w:r>
      <w:r w:rsidR="7E7B1C04" w:rsidRPr="0F72CF47">
        <w:rPr>
          <w:rStyle w:val="normaltextrun"/>
        </w:rPr>
        <w:t>masting dynamics</w:t>
      </w:r>
      <w:r w:rsidR="79C21AB7" w:rsidRPr="0F72CF47">
        <w:rPr>
          <w:rStyle w:val="normaltextrun"/>
        </w:rPr>
        <w:t xml:space="preserve"> </w:t>
      </w:r>
      <w:r w:rsidR="3B347B97" w:rsidRPr="0F72CF47">
        <w:rPr>
          <w:rStyle w:val="normaltextrun"/>
        </w:rPr>
        <w:t xml:space="preserve">globally </w:t>
      </w:r>
      <w:r w:rsidR="79C21AB7" w:rsidRPr="0F72CF47">
        <w:rPr>
          <w:rStyle w:val="normaltextrun"/>
        </w:rPr>
        <w:t>in</w:t>
      </w:r>
      <w:r w:rsidR="6A4C17ED" w:rsidRPr="0F72CF47">
        <w:rPr>
          <w:rStyle w:val="normaltextrun"/>
        </w:rPr>
        <w:t xml:space="preserve"> </w:t>
      </w:r>
      <w:r w:rsidR="79C21AB7" w:rsidRPr="0F72CF47">
        <w:rPr>
          <w:rStyle w:val="normaltextrun"/>
        </w:rPr>
        <w:t>ways</w:t>
      </w:r>
      <w:r w:rsidR="782EC75A" w:rsidRPr="0F72CF47">
        <w:rPr>
          <w:rStyle w:val="normaltextrun"/>
        </w:rPr>
        <w:t xml:space="preserve"> that </w:t>
      </w:r>
      <w:r w:rsidR="60385F4C" w:rsidRPr="0F72CF47">
        <w:rPr>
          <w:rStyle w:val="normaltextrun"/>
        </w:rPr>
        <w:t>will likely alter seed dispersal interactions</w:t>
      </w:r>
      <w:r w:rsidR="20D8BE5F" w:rsidRPr="0F72CF47">
        <w:rPr>
          <w:rStyle w:val="normaltextrun"/>
        </w:rPr>
        <w:t xml:space="preserve"> </w:t>
      </w:r>
      <w:r w:rsidR="00671A01" w:rsidRPr="0F72CF47">
        <w:rPr>
          <w:rStyle w:val="normaltextrun"/>
        </w:rPr>
        <w:fldChar w:fldCharType="begin"/>
      </w:r>
      <w:r w:rsidR="00671A01" w:rsidRPr="0F72CF47">
        <w:rPr>
          <w:rStyle w:val="normaltextrun"/>
        </w:rPr>
        <w:instrText xml:space="preserve"> ADDIN ZOTERO_ITEM CSL_CITATION {"citationID":"AptN3Tnb","properties":{"formattedCitation":"(Hacket-Pain &amp; Bogdziewicz, 2021)","plainCitation":"(Hacket-Pain &amp; Bogdziewicz, 2021)","noteIndex":0},"citationItems":[{"id":3024,"uris":["http://zotero.org/groups/5634119/items/IZCAXP26"],"itemData":{"id":3024,"type":"article-journal","abstract":"Climate change is reshaping global vegetation through its impacts on plant mortality, but recruitment creates the next generation of plants and will determine the structure and composition of future communities. Recruitment depends on mean seed production, but also on the interannual variability and among-plant synchrony in seed production, the phenomenon known as mast seeding. Thus, predicting the long-term response of global vegetation dynamics to climate change requires understanding the response of masting to changing climate. Recently, data and methods have become available allowing the first assessments of long-term changes in masting. Reviewing the literature, we evaluate evidence for a fingerprint of climate change on mast seeding and discuss the drivers and impacts of these changes. We divide our discussion into the main characteristics of mast seeding: interannual variation, synchrony, temporal autocorrelation and mast frequency. Data indicate that masting patterns are changing but the direction of that change varies, likely reflecting the diversity of proximate factors underlying masting across taxa. Experiments to understand the proximate mechanisms underlying masting, in combination with the analysis of long-term datasets, will enable us to understand this observed variability in the response of masting. This will allow us to predict future shifts in masting patterns, and consequently ecosystem impacts of climate change via its impacts on masting.\n            This article is part of the theme issue ‘The ecology and evolution of synchronized seed production in plants’.","container-title":"Philosophical Transactions of the Royal Society B: Biological Sciences","DOI":"10.1098/rstb.2020.0379","ISSN":"0962-8436, 1471-2970","issue":"1839","journalAbbreviation":"Phil. Trans. R. Soc. B","language":"en","page":"20200379","source":"DOI.org (Crossref)","title":"Climate change and plant reproduction: trends and drivers of mast seeding change","title-short":"Climate change and plant reproduction","volume":"376","author":[{"family":"Hacket-Pain","given":"Andrew"},{"family":"Bogdziewicz","given":"Michał"}],"issued":{"date-parts":[["2021",12,6]]}}}],"schema":"https://github.com/citation-style-language/schema/raw/master/csl-citation.json"} </w:instrText>
      </w:r>
      <w:r w:rsidR="00671A01" w:rsidRPr="0F72CF47">
        <w:rPr>
          <w:rStyle w:val="normaltextrun"/>
        </w:rPr>
        <w:fldChar w:fldCharType="separate"/>
      </w:r>
      <w:r w:rsidR="20D8BE5F" w:rsidRPr="0F72CF47">
        <w:rPr>
          <w:rStyle w:val="normaltextrun"/>
          <w:noProof/>
        </w:rPr>
        <w:t>(Hacket-Pain &amp; Bogdziewicz, 2021)</w:t>
      </w:r>
      <w:r w:rsidR="00671A01" w:rsidRPr="0F72CF47">
        <w:rPr>
          <w:rStyle w:val="normaltextrun"/>
        </w:rPr>
        <w:fldChar w:fldCharType="end"/>
      </w:r>
      <w:r w:rsidR="346FBD8A" w:rsidRPr="0F72CF47">
        <w:rPr>
          <w:rStyle w:val="normaltextrun"/>
        </w:rPr>
        <w:t xml:space="preserve">. </w:t>
      </w:r>
      <w:r w:rsidR="00961B5C">
        <w:rPr>
          <w:rStyle w:val="normaltextrun"/>
        </w:rPr>
        <w:t>Improved</w:t>
      </w:r>
      <w:r w:rsidR="00961B5C" w:rsidRPr="0F72CF47">
        <w:rPr>
          <w:rStyle w:val="normaltextrun"/>
        </w:rPr>
        <w:t xml:space="preserve"> </w:t>
      </w:r>
      <w:r w:rsidR="38249E0E" w:rsidRPr="0F72CF47">
        <w:rPr>
          <w:rStyle w:val="normaltextrun"/>
        </w:rPr>
        <w:t>understanding of the mechanisms and patterns of</w:t>
      </w:r>
      <w:r w:rsidR="79B6FB76" w:rsidRPr="0F72CF47">
        <w:rPr>
          <w:rStyle w:val="normaltextrun"/>
        </w:rPr>
        <w:t xml:space="preserve"> these changes may</w:t>
      </w:r>
      <w:r w:rsidR="6610364B" w:rsidRPr="0F72CF47">
        <w:rPr>
          <w:rStyle w:val="normaltextrun"/>
        </w:rPr>
        <w:t xml:space="preserve"> </w:t>
      </w:r>
      <w:r w:rsidR="79B6FB76" w:rsidRPr="0F72CF47">
        <w:rPr>
          <w:rStyle w:val="normaltextrun"/>
        </w:rPr>
        <w:t xml:space="preserve">help </w:t>
      </w:r>
      <w:r w:rsidR="00961B5C">
        <w:rPr>
          <w:rStyle w:val="normaltextrun"/>
        </w:rPr>
        <w:t xml:space="preserve">to </w:t>
      </w:r>
      <w:r w:rsidR="79B6FB76" w:rsidRPr="0F72CF47">
        <w:rPr>
          <w:rStyle w:val="normaltextrun"/>
        </w:rPr>
        <w:t xml:space="preserve">predict </w:t>
      </w:r>
      <w:r w:rsidR="0C6A8AED" w:rsidRPr="0F72CF47">
        <w:rPr>
          <w:rStyle w:val="normaltextrun"/>
        </w:rPr>
        <w:t>and mitigate</w:t>
      </w:r>
      <w:r w:rsidR="79B6FB76" w:rsidRPr="0F72CF47">
        <w:rPr>
          <w:rStyle w:val="normaltextrun"/>
        </w:rPr>
        <w:t xml:space="preserve"> </w:t>
      </w:r>
      <w:r w:rsidR="346FBD8A" w:rsidRPr="0F72CF47">
        <w:rPr>
          <w:rStyle w:val="normaltextrun"/>
        </w:rPr>
        <w:t xml:space="preserve">large-scale population declines for </w:t>
      </w:r>
      <w:r w:rsidR="3EAE3CF0" w:rsidRPr="0F72CF47">
        <w:rPr>
          <w:rStyle w:val="normaltextrun"/>
        </w:rPr>
        <w:t xml:space="preserve">both masting trees and </w:t>
      </w:r>
      <w:r w:rsidR="00961B5C">
        <w:rPr>
          <w:rStyle w:val="normaltextrun"/>
        </w:rPr>
        <w:t xml:space="preserve">the dependent </w:t>
      </w:r>
      <w:r w:rsidR="42D79503" w:rsidRPr="0F72CF47">
        <w:rPr>
          <w:rStyle w:val="normaltextrun"/>
        </w:rPr>
        <w:t>seed dispersers</w:t>
      </w:r>
      <w:r w:rsidR="3EAE3CF0" w:rsidRPr="0F72CF47">
        <w:rPr>
          <w:rStyle w:val="normaltextrun"/>
        </w:rPr>
        <w:t xml:space="preserve"> </w:t>
      </w:r>
      <w:r w:rsidR="00671A01" w:rsidRPr="0F72CF47">
        <w:rPr>
          <w:rStyle w:val="normaltextrun"/>
        </w:rPr>
        <w:fldChar w:fldCharType="begin"/>
      </w:r>
      <w:r w:rsidR="00671A01" w:rsidRPr="0F72CF47">
        <w:rPr>
          <w:rStyle w:val="normaltextrun"/>
        </w:rPr>
        <w:instrText xml:space="preserve"> ADDIN ZOTERO_ITEM CSL_CITATION {"citationID":"0BAqTTnk","properties":{"formattedCitation":"(Foest et al., 2024; Mcshea et al., 2007)","plainCitation":"(Foest et al., 2024; Mcshea et al., 2007)","dontUpdate":true,"noteIndex":0},"citationItems":[{"id":3144,"uris":["http://zotero.org/groups/5634119/items/J8XUGFP4"],"itemData":{"id":3144,"type":"article-journal","abstract":"Abstract\n            Climate change effects on tree reproduction are poorly understood, even though the resilience of populations relies on sufficient regeneration to balance increasing rates of mortality. Forest‐forming tree species often mast, i.e. reproduce through synchronised year‐to‐year variation in seed production, which improves pollination and reduces seed predation. Recent observations in European beech show, however, that current climate change can dampen interannual variation and synchrony of seed production and that this masting breakdown drastically reduces the viability of seed crops. Importantly, it is unclear under which conditions masting breakdown occurs and how widespread breakdown is in this pan‐European species. Here, we analysed 50 long‐term datasets of population‐level seed production, sampled across the distribution of European beech, and identified increasing summer temperatures as the general driver of masting breakdown. Specifically, increases in site‐specific mean maximum temperatures during June and July were observed across most of the species range, while the interannual variability of population‐level seed production (CVp) decreased. The declines in CVp were greatest, where temperatures increased most rapidly. Additionally, the occurrence of crop failures and low seed years has decreased during the last four decades, signalling altered starvation effects of masting on seed predators. Notably, CVp did not vary among sites according to site mean summer temperature. Instead, masting breakdown occurs in response to warming local temperatures (i.e. increasing relative temperatures), such that the risk is not restricted to populations growing in warm average conditions. As lowered CVp can reduce viable seed production despite the overall increase in seed count, our results warn that a covert mechanism is underway that may hinder the regeneration potential of European beech under climate change, with great potential to alter forest functioning and community dynamics.","container-title":"Global Change Biology","DOI":"10.1111/gcb.17307","ISSN":"1354-1013, 1365-2486","issue":"5","journalAbbreviation":"Global Change Biology","language":"en","page":"e17307","source":"DOI.org (Crossref)","title":"Widespread breakdown in masting in European beech due to rising summer temperatures","volume":"30","author":[{"family":"Foest","given":"Jessie J."},{"family":"Bogdziewicz","given":"Michał"},{"family":"Pesendorfer","given":"Mario B."},{"family":"Ascoli","given":"Davide"},{"family":"Cutini","given":"Andrea"},{"family":"Nussbaumer","given":"Anita"},{"family":"Verstraeten","given":"Arne"},{"family":"Beudert","given":"Burkhard"},{"family":"Chianucci","given":"Francesco"},{"family":"Mezzavilla","given":"Francesco"},{"family":"Gratzer","given":"Georg"},{"family":"Kunstler","given":"Georges"},{"family":"Meesenburg","given":"Henning"},{"family":"Wagner","given":"Markus"},{"family":"Mund","given":"Martina"},{"family":"Cools","given":"Nathalie"},{"family":"Vacek","given":"Stanislav"},{"family":"Schmidt","given":"Wolfgang"},{"family":"Vacek","given":"Zdeněk"},{"family":"Hacket‐Pain","given":"Andrew"}],"issued":{"date-parts":[["2024",5]]}}},{"id":3146,"uris":["http://zotero.org/groups/5634119/items/VA953K5L"],"itemData":{"id":3146,"type":"article-journal","abstract":"Abstract:\n              Acom production by oaks (\n              Quercus\n              spp.) is an important food resource for wildlife in many deciduous forests. Its role as a hard mast crop that can be either stored or used to build fat reserves for winter survival cannot be replaced by most other potential foods. Changes in forest management, introduced pests and pathogens, and increased deer populations have resulted in significant changes in the demography of oaks in eastern North America, as evident in Forest Inventory and Analysis data. Specifically, maples (\n              Acer\n              spp.) are replacing oaks in many forests through dominance of the younger age classes. These changes are not yet obvious in mast production but will take decades to reverse. Effective forest management for mast production is arguably one of the more important tasks facing wildlife professionals, yet receives scant attention by both public and private land managers. Public forests need to explicitly include mast production in their forest planning and reduce adversarial relationships over forest management. Market forces are driving commercial forests toward forest certification. Private forests compose 80% of our oak forests and are the hardest group to influence. States have not been able to effectively market forest plans and we recommend joining with advocacy groups more adept at motivating the public. Increased communication between wildlife and forestry professionals is needed through agency restructuring and joint meetings of professional agencies at the state level. Professional wildlife and forest managers are encouraged to make increased use of monitoring data and form a multiagency cooperative using a joint venture model, which has been successful for other organizations.","container-title":"The Journal of Wildlife Management","DOI":"10.2193/2006-169","ISSN":"0022-541X, 1937-2817","issue":"5","journalAbbreviation":"J Wildl Manag","language":"en","page":"1717-1728","source":"DOI.org (Crossref)","title":"Forestry Matters: Decline of Oaks Will Impact Wildlife in Hardwood Forests","title-short":"Forestry Matters","volume":"71","author":[{"family":"Mcshea","given":"William J."},{"family":"Healy","given":"William M."},{"family":"Devers","given":"Patrick"},{"family":"Fearer","given":"Todd"},{"family":"Koch","given":"Frank H."},{"family":"Stauffer","given":"Dean"},{"family":"Waldon","given":"Jeff"}],"issued":{"date-parts":[["2007",7]]}}}],"schema":"https://github.com/citation-style-language/schema/raw/master/csl-citation.json"} </w:instrText>
      </w:r>
      <w:r w:rsidR="00671A01" w:rsidRPr="0F72CF47">
        <w:rPr>
          <w:rStyle w:val="normaltextrun"/>
        </w:rPr>
        <w:fldChar w:fldCharType="separate"/>
      </w:r>
      <w:r w:rsidR="53AE0CC4" w:rsidRPr="0F72CF47">
        <w:rPr>
          <w:rStyle w:val="normaltextrun"/>
          <w:noProof/>
        </w:rPr>
        <w:t>(e.g., Foest et al., 2024; Mcshea et al., 2007)</w:t>
      </w:r>
      <w:r w:rsidR="00671A01" w:rsidRPr="0F72CF47">
        <w:rPr>
          <w:rStyle w:val="normaltextrun"/>
        </w:rPr>
        <w:fldChar w:fldCharType="end"/>
      </w:r>
      <w:r w:rsidR="53AE0CC4" w:rsidRPr="0F72CF47">
        <w:rPr>
          <w:rStyle w:val="normaltextrun"/>
        </w:rPr>
        <w:t>.</w:t>
      </w:r>
    </w:p>
    <w:p w14:paraId="23DC3FF4" w14:textId="77C20454" w:rsidR="001C786B" w:rsidRDefault="75934C69" w:rsidP="00564C09">
      <w:pPr>
        <w:pStyle w:val="paragraph"/>
        <w:spacing w:before="0" w:beforeAutospacing="0" w:after="0" w:afterAutospacing="0" w:line="480" w:lineRule="auto"/>
        <w:ind w:firstLine="720"/>
        <w:rPr>
          <w:rStyle w:val="normaltextrun"/>
        </w:rPr>
      </w:pPr>
      <w:r w:rsidRPr="0F72CF47">
        <w:rPr>
          <w:rStyle w:val="normaltextrun"/>
        </w:rPr>
        <w:t xml:space="preserve">In this study, we </w:t>
      </w:r>
      <w:r w:rsidR="0C974318" w:rsidRPr="0F72CF47">
        <w:rPr>
          <w:rStyle w:val="normaltextrun"/>
        </w:rPr>
        <w:t xml:space="preserve">quantify </w:t>
      </w:r>
      <w:r w:rsidR="7E7B1C04" w:rsidRPr="0F72CF47">
        <w:rPr>
          <w:rStyle w:val="normaltextrun"/>
        </w:rPr>
        <w:t>the</w:t>
      </w:r>
      <w:r w:rsidR="0C974318" w:rsidRPr="0F72CF47">
        <w:rPr>
          <w:rStyle w:val="normaltextrun"/>
        </w:rPr>
        <w:t xml:space="preserve"> </w:t>
      </w:r>
      <w:r w:rsidR="7E7B1C04" w:rsidRPr="0F72CF47">
        <w:rPr>
          <w:rStyle w:val="normaltextrun"/>
        </w:rPr>
        <w:t xml:space="preserve">relationship between </w:t>
      </w:r>
      <w:r w:rsidRPr="0F72CF47">
        <w:rPr>
          <w:rStyle w:val="normaltextrun"/>
        </w:rPr>
        <w:t xml:space="preserve">pinyon jay and pinyon </w:t>
      </w:r>
      <w:r w:rsidR="0C974318" w:rsidRPr="0F72CF47">
        <w:rPr>
          <w:rStyle w:val="normaltextrun"/>
        </w:rPr>
        <w:t>pine</w:t>
      </w:r>
      <w:r w:rsidR="14DDE28B" w:rsidRPr="0F72CF47">
        <w:rPr>
          <w:rStyle w:val="normaltextrun"/>
        </w:rPr>
        <w:t xml:space="preserve"> seed</w:t>
      </w:r>
      <w:r w:rsidR="377833DC" w:rsidRPr="0F72CF47">
        <w:rPr>
          <w:rStyle w:val="normaltextrun"/>
        </w:rPr>
        <w:t xml:space="preserve"> </w:t>
      </w:r>
      <w:r w:rsidR="00961B5C">
        <w:rPr>
          <w:rStyle w:val="normaltextrun"/>
        </w:rPr>
        <w:t>(</w:t>
      </w:r>
      <w:r w:rsidR="0C974318" w:rsidRPr="0F72CF47">
        <w:rPr>
          <w:rStyle w:val="normaltextrun"/>
        </w:rPr>
        <w:t>cone</w:t>
      </w:r>
      <w:r w:rsidR="00961B5C">
        <w:rPr>
          <w:rStyle w:val="normaltextrun"/>
        </w:rPr>
        <w:t>)</w:t>
      </w:r>
      <w:r w:rsidR="0C974318" w:rsidRPr="0F72CF47">
        <w:rPr>
          <w:rStyle w:val="normaltextrun"/>
        </w:rPr>
        <w:t xml:space="preserve"> production</w:t>
      </w:r>
      <w:r w:rsidR="3EAE3CF0" w:rsidRPr="0F72CF47">
        <w:rPr>
          <w:rStyle w:val="normaltextrun"/>
        </w:rPr>
        <w:t xml:space="preserve"> by leveraging</w:t>
      </w:r>
      <w:r w:rsidR="79B6FB76" w:rsidRPr="0F72CF47">
        <w:rPr>
          <w:rStyle w:val="normaltextrun"/>
        </w:rPr>
        <w:t xml:space="preserve"> </w:t>
      </w:r>
      <w:r w:rsidR="38249E0E" w:rsidRPr="0F72CF47">
        <w:rPr>
          <w:rStyle w:val="normaltextrun"/>
        </w:rPr>
        <w:t>two</w:t>
      </w:r>
      <w:r w:rsidR="7FD49370" w:rsidRPr="0F72CF47">
        <w:rPr>
          <w:rStyle w:val="normaltextrun"/>
        </w:rPr>
        <w:t xml:space="preserve"> </w:t>
      </w:r>
      <w:r w:rsidR="38249E0E" w:rsidRPr="0F72CF47">
        <w:rPr>
          <w:rStyle w:val="normaltextrun"/>
        </w:rPr>
        <w:t>broad-scale, long-term datasets from the pinyon pine-pinyon jay system</w:t>
      </w:r>
      <w:r w:rsidR="532DF23A" w:rsidRPr="0F72CF47">
        <w:rPr>
          <w:rStyle w:val="normaltextrun"/>
        </w:rPr>
        <w:t xml:space="preserve"> (Fig</w:t>
      </w:r>
      <w:r w:rsidR="000E291F">
        <w:rPr>
          <w:rStyle w:val="normaltextrun"/>
        </w:rPr>
        <w:t>ure 1</w:t>
      </w:r>
      <w:r w:rsidR="532DF23A" w:rsidRPr="0F72CF47">
        <w:rPr>
          <w:rStyle w:val="normaltextrun"/>
        </w:rPr>
        <w:t>)</w:t>
      </w:r>
      <w:r w:rsidR="38249E0E" w:rsidRPr="0F72CF47">
        <w:rPr>
          <w:rStyle w:val="normaltextrun"/>
        </w:rPr>
        <w:t>. We combine a large</w:t>
      </w:r>
      <w:r w:rsidR="79B6FB76" w:rsidRPr="0F72CF47">
        <w:rPr>
          <w:rStyle w:val="normaltextrun"/>
        </w:rPr>
        <w:t xml:space="preserve"> (~800,000 observations) </w:t>
      </w:r>
      <w:r w:rsidR="3EAE3CF0" w:rsidRPr="0F72CF47">
        <w:rPr>
          <w:rStyle w:val="normaltextrun"/>
        </w:rPr>
        <w:t xml:space="preserve">eBird </w:t>
      </w:r>
      <w:r w:rsidR="79B6FB76" w:rsidRPr="0F72CF47">
        <w:rPr>
          <w:rStyle w:val="normaltextrun"/>
        </w:rPr>
        <w:t>dataset</w:t>
      </w:r>
      <w:r w:rsidR="3EAE3CF0" w:rsidRPr="0F72CF47">
        <w:rPr>
          <w:rStyle w:val="normaltextrun"/>
        </w:rPr>
        <w:t xml:space="preserve"> and </w:t>
      </w:r>
      <w:r w:rsidR="00961B5C">
        <w:rPr>
          <w:rStyle w:val="normaltextrun"/>
        </w:rPr>
        <w:t>estimates of</w:t>
      </w:r>
      <w:r w:rsidR="00961B5C" w:rsidRPr="0F72CF47">
        <w:rPr>
          <w:rStyle w:val="normaltextrun"/>
        </w:rPr>
        <w:t xml:space="preserve"> </w:t>
      </w:r>
      <w:r w:rsidR="3EAE3CF0" w:rsidRPr="0F72CF47">
        <w:rPr>
          <w:rStyle w:val="normaltextrun"/>
        </w:rPr>
        <w:t xml:space="preserve">pinyon pine </w:t>
      </w:r>
      <w:r w:rsidR="429035CF" w:rsidRPr="0F72CF47">
        <w:rPr>
          <w:rStyle w:val="normaltextrun"/>
        </w:rPr>
        <w:t xml:space="preserve">cone </w:t>
      </w:r>
      <w:r w:rsidR="3EAE3CF0" w:rsidRPr="0F72CF47">
        <w:rPr>
          <w:rStyle w:val="normaltextrun"/>
        </w:rPr>
        <w:t xml:space="preserve">production </w:t>
      </w:r>
      <w:r w:rsidR="006C55E4" w:rsidRPr="0F72CF47">
        <w:rPr>
          <w:rStyle w:val="normaltextrun"/>
        </w:rPr>
        <w:fldChar w:fldCharType="begin"/>
      </w:r>
      <w:r w:rsidR="00C957C2">
        <w:rPr>
          <w:rStyle w:val="normaltextrun"/>
        </w:rPr>
        <w:instrText xml:space="preserve"> ADDIN ZOTERO_ITEM CSL_CITATION {"citationID":"Qy0GWzWb","properties":{"formattedCitation":"(Sullivan et al., 2009; Wion et al., 2025)","plainCitation":"(Sullivan et al., 2009; Wion et al., 2025)","noteIndex":0},"citationItems":[{"id":2330,"uris":["http://zotero.org/groups/4936574/items/WEAIMI7B"],"itemData":{"id":2330,"type":"article-journal","container-title":"Biological Conservation","DOI":"10.1016/j.biocon.2009.05.006","ISSN":"00063207","issue":"10","journalAbbreviation":"Biological Conservation","language":"en","license":"https://www.elsevier.com/tdm/userlicense/1.0/","page":"2282-2292","source":"DOI.org (Crossref)","title":"eBird: A citizen-based bird observation network in the biological sciences","title-short":"eBird","volume":"142","author":[{"family":"Sullivan","given":"Brian L."},{"family":"Wood","given":"Christopher L."},{"family":"Iliff","given":"Marshall J."},{"family":"Bonney","given":"Rick E."},{"family":"Fink","given":"Daniel"},{"family":"Kelling","given":"Steve"}],"issued":{"date-parts":[["2009",10]]}}},{"id":2858,"uris":["http://zotero.org/groups/5634119/items/5C7JLPYL"],"itemData":{"id":2858,"type":"article-journal","abstract":"SummaryPredicting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C55E4" w:rsidRPr="0F72CF47">
        <w:rPr>
          <w:rStyle w:val="normaltextrun"/>
        </w:rPr>
        <w:fldChar w:fldCharType="separate"/>
      </w:r>
      <w:r w:rsidR="3DDB8282" w:rsidRPr="0F72CF47">
        <w:rPr>
          <w:rStyle w:val="normaltextrun"/>
          <w:noProof/>
        </w:rPr>
        <w:t>(Sullivan et al., 2009; Wion et al., 2025)</w:t>
      </w:r>
      <w:r w:rsidR="006C55E4" w:rsidRPr="0F72CF47">
        <w:rPr>
          <w:rStyle w:val="normaltextrun"/>
        </w:rPr>
        <w:fldChar w:fldCharType="end"/>
      </w:r>
      <w:r w:rsidR="38249E0E" w:rsidRPr="0F72CF47">
        <w:rPr>
          <w:rStyle w:val="normaltextrun"/>
        </w:rPr>
        <w:t>; these datasets cover more than half the range of pinyon jays (Figure 1)</w:t>
      </w:r>
      <w:r w:rsidR="000E291F">
        <w:rPr>
          <w:rStyle w:val="normaltextrun"/>
        </w:rPr>
        <w:t xml:space="preserve">, the full range of pinyon pine, </w:t>
      </w:r>
      <w:r w:rsidR="38249E0E" w:rsidRPr="0F72CF47">
        <w:rPr>
          <w:rStyle w:val="normaltextrun"/>
        </w:rPr>
        <w:t xml:space="preserve">and capture over a decade (2010-2022) of </w:t>
      </w:r>
      <w:r w:rsidR="6A4C17ED" w:rsidRPr="0F72CF47">
        <w:rPr>
          <w:rStyle w:val="normaltextrun"/>
        </w:rPr>
        <w:t>bird abundance</w:t>
      </w:r>
      <w:r w:rsidR="51EA92AB" w:rsidRPr="0F72CF47">
        <w:rPr>
          <w:rStyle w:val="normaltextrun"/>
        </w:rPr>
        <w:t xml:space="preserve"> and</w:t>
      </w:r>
      <w:r w:rsidR="6A4C17ED" w:rsidRPr="0F72CF47">
        <w:rPr>
          <w:rStyle w:val="normaltextrun"/>
        </w:rPr>
        <w:t xml:space="preserve"> </w:t>
      </w:r>
      <w:r w:rsidR="4C2C291A" w:rsidRPr="0F72CF47">
        <w:rPr>
          <w:rStyle w:val="normaltextrun"/>
        </w:rPr>
        <w:t xml:space="preserve">cone </w:t>
      </w:r>
      <w:r w:rsidR="38249E0E" w:rsidRPr="0F72CF47">
        <w:rPr>
          <w:rStyle w:val="normaltextrun"/>
        </w:rPr>
        <w:t>production</w:t>
      </w:r>
      <w:r w:rsidR="00961B5C">
        <w:rPr>
          <w:rStyle w:val="normaltextrun"/>
        </w:rPr>
        <w:t>. This observation period is also characterized by high</w:t>
      </w:r>
      <w:r w:rsidR="1784ED86" w:rsidRPr="0F72CF47">
        <w:rPr>
          <w:rStyle w:val="normaltextrun"/>
        </w:rPr>
        <w:t xml:space="preserve"> variation</w:t>
      </w:r>
      <w:r w:rsidR="38249E0E" w:rsidRPr="0F72CF47">
        <w:rPr>
          <w:rStyle w:val="normaltextrun"/>
        </w:rPr>
        <w:t xml:space="preserve"> </w:t>
      </w:r>
      <w:r w:rsidR="63474710" w:rsidRPr="0F72CF47">
        <w:rPr>
          <w:rStyle w:val="normaltextrun"/>
        </w:rPr>
        <w:t xml:space="preserve">in </w:t>
      </w:r>
      <w:r w:rsidR="00961B5C" w:rsidRPr="0F72CF47">
        <w:rPr>
          <w:rStyle w:val="normaltextrun"/>
        </w:rPr>
        <w:t>climat</w:t>
      </w:r>
      <w:r w:rsidR="00961B5C">
        <w:rPr>
          <w:rStyle w:val="normaltextrun"/>
        </w:rPr>
        <w:t>e</w:t>
      </w:r>
      <w:r w:rsidR="00961B5C" w:rsidRPr="0F72CF47">
        <w:rPr>
          <w:rStyle w:val="normaltextrun"/>
        </w:rPr>
        <w:t xml:space="preserve"> </w:t>
      </w:r>
      <w:r w:rsidR="006C55E4" w:rsidRPr="0F72CF47">
        <w:rPr>
          <w:rStyle w:val="normaltextrun"/>
        </w:rPr>
        <w:fldChar w:fldCharType="begin"/>
      </w:r>
      <w:r w:rsidR="006C55E4" w:rsidRPr="0F72CF47">
        <w:rPr>
          <w:rStyle w:val="normaltextrun"/>
        </w:rPr>
        <w:instrText xml:space="preserve"> ADDIN ZOTERO_ITEM CSL_CITATION {"citationID":"ZXMBS40d","properties":{"formattedCitation":"(Williams et al., 2022)","plainCitation":"(Williams et al., 2022)","noteIndex":0},"citationItems":[{"id":3032,"uris":["http://zotero.org/users/6391447/items/22JTLFLQ"],"itemData":{"id":3032,"type":"article-journal","container-title":"Nature Climate Change","DOI":"10.1038/s41558-022-01290-z","ISSN":"1758-678X, 1758-6798","issue":"3","journalAbbreviation":"Nat. Clim. Chang.","language":"en","page":"232-234","source":"DOI.org (Crossref)","title":"Rapid intensification of the emerging southwestern North American megadrought in 2020–2021","volume":"12","author":[{"family":"Williams","given":"A. Park"},{"family":"Cook","given":"Benjamin I."},{"family":"Smerdon","given":"Jason E."}],"issued":{"date-parts":[["2022",3]]}}}],"schema":"https://github.com/citation-style-language/schema/raw/master/csl-citation.json"} </w:instrText>
      </w:r>
      <w:r w:rsidR="006C55E4" w:rsidRPr="0F72CF47">
        <w:rPr>
          <w:rStyle w:val="normaltextrun"/>
        </w:rPr>
        <w:fldChar w:fldCharType="separate"/>
      </w:r>
      <w:r w:rsidR="00E417A7" w:rsidRPr="0F72CF47">
        <w:rPr>
          <w:rStyle w:val="normaltextrun"/>
          <w:noProof/>
        </w:rPr>
        <w:t>(Williams et al., 2022)</w:t>
      </w:r>
      <w:r w:rsidR="006C55E4" w:rsidRPr="0F72CF47">
        <w:rPr>
          <w:rStyle w:val="normaltextrun"/>
        </w:rPr>
        <w:fldChar w:fldCharType="end"/>
      </w:r>
      <w:r w:rsidR="38249E0E" w:rsidRPr="0F72CF47">
        <w:rPr>
          <w:rStyle w:val="normaltextrun"/>
        </w:rPr>
        <w:t xml:space="preserve"> and</w:t>
      </w:r>
      <w:bookmarkStart w:id="8" w:name="_Hlk214871944"/>
      <w:r w:rsidR="6B7BB519" w:rsidRPr="0F72CF47">
        <w:rPr>
          <w:rStyle w:val="normaltextrun"/>
        </w:rPr>
        <w:t xml:space="preserve"> </w:t>
      </w:r>
      <w:r w:rsidR="4A9EE74D" w:rsidRPr="0F72CF47">
        <w:rPr>
          <w:rStyle w:val="normaltextrun"/>
        </w:rPr>
        <w:t>habitat</w:t>
      </w:r>
      <w:r w:rsidR="0C974318" w:rsidRPr="0F72CF47">
        <w:rPr>
          <w:rStyle w:val="normaltextrun"/>
        </w:rPr>
        <w:t xml:space="preserve"> conditions</w:t>
      </w:r>
      <w:r w:rsidR="377833DC" w:rsidRPr="0F72CF47">
        <w:rPr>
          <w:rStyle w:val="normaltextrun"/>
        </w:rPr>
        <w:t xml:space="preserve"> </w:t>
      </w:r>
      <w:r w:rsidR="006C55E4" w:rsidRPr="0F72CF47">
        <w:rPr>
          <w:rStyle w:val="normaltextrun"/>
        </w:rPr>
        <w:fldChar w:fldCharType="begin"/>
      </w:r>
      <w:r w:rsidR="006C55E4" w:rsidRPr="0F72CF47">
        <w:rPr>
          <w:rStyle w:val="normaltextrun"/>
        </w:rPr>
        <w:instrText xml:space="preserve"> ADDIN ZOTERO_ITEM CSL_CITATION {"citationID":"Vzm3Rkcs","properties":{"formattedCitation":"(Romme et al., 2009)","plainCitation":"(Romme et al., 2009)","noteIndex":0},"citationItems":[{"id":3157,"uris":["http://zotero.org/groups/5634119/items/ER7GV9CU"],"itemData":{"id":3157,"type":"article-journal","container-title":"Rangeland Ecology &amp; Management","DOI":"10.2111/08-188R1.1","ISSN":"15507424","issue":"3","journalAbbreviation":"Rangeland Ecology &amp; Management","language":"en","license":"https://www.elsevier.com/tdm/userlicense/1.0/","page":"203-222","source":"DOI.org (Crossref)","title":"Historical and Modern Disturbance Regimes, Stand Structures, and Landscape Dynamics in Piñon–Juniper Vegetation of the Western United States","volume":"62","author":[{"family":"Romme","given":"William H."},{"family":"Allen","given":"Craig D."},{"family":"Bailey","given":"John D."},{"family":"Baker","given":"William L."},{"family":"Bestelmeyer","given":"Brandon T."},{"family":"Brown","given":"Peter M."},{"family":"Eisenhart","given":"Karen S."},{"family":"Floyd","given":"M. Lisa"},{"family":"Huffman","given":"David W."},{"family":"Jacobs","given":"Brian F."},{"family":"Miller","given":"Richard F."},{"family":"Muldavin","given":"Esteban H."},{"family":"Swetnam","given":"Thomas W."},{"family":"Tausch","given":"Robin J."},{"family":"Weisberg","given":"Peter J."}],"issued":{"date-parts":[["2009",5]]}}}],"schema":"https://github.com/citation-style-language/schema/raw/master/csl-citation.json"} </w:instrText>
      </w:r>
      <w:r w:rsidR="006C55E4" w:rsidRPr="0F72CF47">
        <w:rPr>
          <w:rStyle w:val="normaltextrun"/>
        </w:rPr>
        <w:fldChar w:fldCharType="separate"/>
      </w:r>
      <w:r w:rsidR="16620848" w:rsidRPr="0F72CF47">
        <w:rPr>
          <w:rStyle w:val="normaltextrun"/>
          <w:noProof/>
        </w:rPr>
        <w:t>(Romme et al., 2009)</w:t>
      </w:r>
      <w:r w:rsidR="006C55E4" w:rsidRPr="0F72CF47">
        <w:rPr>
          <w:rStyle w:val="normaltextrun"/>
        </w:rPr>
        <w:fldChar w:fldCharType="end"/>
      </w:r>
      <w:r w:rsidR="498CD07B" w:rsidRPr="0F72CF47">
        <w:rPr>
          <w:rStyle w:val="normaltextrun"/>
        </w:rPr>
        <w:t>.</w:t>
      </w:r>
      <w:bookmarkEnd w:id="8"/>
      <w:r w:rsidR="006C55E4" w:rsidRPr="0F72CF47">
        <w:rPr>
          <w:rStyle w:val="normaltextrun"/>
        </w:rPr>
        <w:fldChar w:fldCharType="begin"/>
      </w:r>
      <w:r w:rsidR="00C957C2">
        <w:rPr>
          <w:rStyle w:val="normaltextrun"/>
        </w:rPr>
        <w:instrText xml:space="preserve"> ADDIN ZOTERO_ITEM CSL_CITATION {"citationID":"oKQ2ybj7","properties":{"formattedCitation":"(Williams et al., 2022)","plainCitation":"(Williams et al., 2022)","dontUpdate":true,"noteIndex":0},"citationItems":[{"id":3032,"uris":["http://zotero.org/users/6391447/items/22JTLFLQ"],"itemData":{"id":3032,"type":"article-journal","container-title":"Nature Climate Change","DOI":"10.1038/s41558-022-01290-z","ISSN":"1758-678X, 1758-6798","issue":"3","journalAbbreviation":"Nat. Clim. Chang.","language":"en","page":"232-234","source":"DOI.org (Crossref)","title":"Rapid intensification of the emerging southwestern North American megadrought in 2020–2021","volume":"12","author":[{"family":"Williams","given":"A. Park"},{"family":"Cook","given":"Benjamin I."},{"family":"Smerdon","given":"Jason E."}],"issued":{"date-parts":[["2022",3]]}}}],"schema":"https://github.com/citation-style-language/schema/raw/master/csl-citation.json"} </w:instrText>
      </w:r>
      <w:r w:rsidR="006C55E4" w:rsidRPr="0F72CF47">
        <w:rPr>
          <w:rStyle w:val="normaltextrun"/>
        </w:rPr>
        <w:fldChar w:fldCharType="separate"/>
      </w:r>
      <w:r w:rsidR="006C55E4" w:rsidRPr="0F72CF47">
        <w:rPr>
          <w:rStyle w:val="normaltextrun"/>
        </w:rPr>
        <w:fldChar w:fldCharType="end"/>
      </w:r>
      <w:r w:rsidRPr="0F72CF47">
        <w:rPr>
          <w:rStyle w:val="normaltextrun"/>
        </w:rPr>
        <w:t xml:space="preserve"> We explicitly model the temporal dynamics of this mutualism using a stochastic antecedent model</w:t>
      </w:r>
      <w:r w:rsidR="0C974318" w:rsidRPr="0F72CF47">
        <w:rPr>
          <w:rStyle w:val="normaltextrun"/>
        </w:rPr>
        <w:t xml:space="preserve">ing </w:t>
      </w:r>
      <w:r w:rsidR="4DAE7D95" w:rsidRPr="0F72CF47">
        <w:rPr>
          <w:rStyle w:val="normaltextrun"/>
        </w:rPr>
        <w:t xml:space="preserve">(SAM) </w:t>
      </w:r>
      <w:r w:rsidR="0C974318" w:rsidRPr="0F72CF47">
        <w:rPr>
          <w:rStyle w:val="normaltextrun"/>
        </w:rPr>
        <w:t>framework</w:t>
      </w:r>
      <w:r w:rsidRPr="0F72CF47">
        <w:rPr>
          <w:rStyle w:val="normaltextrun"/>
        </w:rPr>
        <w:t xml:space="preserve"> </w:t>
      </w:r>
      <w:r w:rsidR="006C55E4" w:rsidRPr="0F72CF47">
        <w:rPr>
          <w:rStyle w:val="normaltextrun"/>
        </w:rPr>
        <w:fldChar w:fldCharType="begin"/>
      </w:r>
      <w:r w:rsidR="006C55E4" w:rsidRPr="0F72CF47">
        <w:rPr>
          <w:rStyle w:val="normaltextrun"/>
        </w:rPr>
        <w:instrText xml:space="preserve"> ADDIN ZOTERO_ITEM CSL_CITATION {"citationID":"YpiKcSZu","properties":{"formattedCitation":"(Ogle et al., 2015)","plainCitation":"(Ogle et al., 2015)","noteIndex":0},"citationItems":[{"id":67,"uris":["http://zotero.org/users/6391447/items/HCIC6RJW"],"itemData":{"id":67,"type":"article-journal","abstract":"The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T."}],"editor":[{"family":"Cleland","given":"Elsa"}],"issued":{"date-parts":[["2015",3]]}}}],"schema":"https://github.com/citation-style-language/schema/raw/master/csl-citation.json"} </w:instrText>
      </w:r>
      <w:r w:rsidR="006C55E4" w:rsidRPr="0F72CF47">
        <w:rPr>
          <w:rStyle w:val="normaltextrun"/>
        </w:rPr>
        <w:fldChar w:fldCharType="separate"/>
      </w:r>
      <w:r w:rsidR="0E1E0B3F" w:rsidRPr="0F72CF47">
        <w:rPr>
          <w:rStyle w:val="normaltextrun"/>
          <w:noProof/>
        </w:rPr>
        <w:t>(Ogle et al., 2015)</w:t>
      </w:r>
      <w:r w:rsidR="006C55E4" w:rsidRPr="0F72CF47">
        <w:rPr>
          <w:rStyle w:val="normaltextrun"/>
        </w:rPr>
        <w:fldChar w:fldCharType="end"/>
      </w:r>
      <w:r w:rsidR="0E1E0B3F" w:rsidRPr="0F72CF47">
        <w:rPr>
          <w:rStyle w:val="normaltextrun"/>
        </w:rPr>
        <w:t xml:space="preserve"> </w:t>
      </w:r>
      <w:r w:rsidRPr="0F72CF47">
        <w:rPr>
          <w:rStyle w:val="normaltextrun"/>
        </w:rPr>
        <w:t xml:space="preserve">to examine how populations of </w:t>
      </w:r>
      <w:r w:rsidR="53BB8A2D" w:rsidRPr="0F72CF47">
        <w:rPr>
          <w:rStyle w:val="normaltextrun"/>
        </w:rPr>
        <w:t>pinyon jay</w:t>
      </w:r>
      <w:r w:rsidRPr="0F72CF47">
        <w:rPr>
          <w:rStyle w:val="normaltextrun"/>
        </w:rPr>
        <w:t xml:space="preserve"> respond to resource availability</w:t>
      </w:r>
      <w:r w:rsidR="0C974318" w:rsidRPr="0F72CF47">
        <w:rPr>
          <w:rStyle w:val="normaltextrun"/>
        </w:rPr>
        <w:t xml:space="preserve"> (cones)</w:t>
      </w:r>
      <w:r w:rsidRPr="0F72CF47">
        <w:rPr>
          <w:rStyle w:val="normaltextrun"/>
        </w:rPr>
        <w:t xml:space="preserve"> and climate </w:t>
      </w:r>
      <w:r w:rsidR="0C974318" w:rsidRPr="0F72CF47">
        <w:rPr>
          <w:rStyle w:val="normaltextrun"/>
        </w:rPr>
        <w:t>across space and time</w:t>
      </w:r>
      <w:r w:rsidRPr="0F72CF47">
        <w:rPr>
          <w:rStyle w:val="normaltextrun"/>
        </w:rPr>
        <w:t xml:space="preserve">. </w:t>
      </w:r>
      <w:r w:rsidR="3EAE3CF0" w:rsidRPr="0F72CF47">
        <w:rPr>
          <w:rStyle w:val="normaltextrun"/>
        </w:rPr>
        <w:t xml:space="preserve">We </w:t>
      </w:r>
      <w:r w:rsidRPr="0F72CF47">
        <w:rPr>
          <w:rStyle w:val="normaltextrun"/>
        </w:rPr>
        <w:t xml:space="preserve">address two key questions: 1) </w:t>
      </w:r>
      <w:r w:rsidR="187A0D17" w:rsidRPr="0F72CF47">
        <w:rPr>
          <w:rStyle w:val="normaltextrun"/>
        </w:rPr>
        <w:t>Do pinyon jays</w:t>
      </w:r>
      <w:r w:rsidR="7B142D9D" w:rsidRPr="0F72CF47">
        <w:rPr>
          <w:rStyle w:val="normaltextrun"/>
        </w:rPr>
        <w:t xml:space="preserve"> </w:t>
      </w:r>
      <w:r w:rsidR="15D166C0" w:rsidRPr="0F72CF47">
        <w:rPr>
          <w:rStyle w:val="normaltextrun"/>
        </w:rPr>
        <w:t xml:space="preserve">exhibit </w:t>
      </w:r>
      <w:r w:rsidRPr="0F72CF47">
        <w:rPr>
          <w:rStyle w:val="normaltextrun"/>
        </w:rPr>
        <w:t>anticipatory</w:t>
      </w:r>
      <w:r w:rsidR="7C94A5E6" w:rsidRPr="0F72CF47">
        <w:rPr>
          <w:rStyle w:val="normaltextrun"/>
        </w:rPr>
        <w:t xml:space="preserve">, </w:t>
      </w:r>
      <w:r w:rsidR="4C00A817" w:rsidRPr="0F72CF47">
        <w:rPr>
          <w:rStyle w:val="normaltextrun"/>
        </w:rPr>
        <w:t>immediate</w:t>
      </w:r>
      <w:r w:rsidR="53BB8A2D" w:rsidRPr="0F72CF47">
        <w:rPr>
          <w:rStyle w:val="normaltextrun"/>
        </w:rPr>
        <w:t>,</w:t>
      </w:r>
      <w:r w:rsidR="4C00A817" w:rsidRPr="0F72CF47">
        <w:rPr>
          <w:rStyle w:val="normaltextrun"/>
        </w:rPr>
        <w:t xml:space="preserve"> </w:t>
      </w:r>
      <w:r w:rsidR="435D4032" w:rsidRPr="0F72CF47">
        <w:rPr>
          <w:rStyle w:val="normaltextrun"/>
        </w:rPr>
        <w:t>or</w:t>
      </w:r>
      <w:r w:rsidR="4C00A817" w:rsidRPr="0F72CF47">
        <w:rPr>
          <w:rStyle w:val="normaltextrun"/>
        </w:rPr>
        <w:t xml:space="preserve"> delayed </w:t>
      </w:r>
      <w:r w:rsidRPr="0F72CF47">
        <w:rPr>
          <w:rStyle w:val="normaltextrun"/>
        </w:rPr>
        <w:t xml:space="preserve">relationships </w:t>
      </w:r>
      <w:r w:rsidR="717A90EE" w:rsidRPr="0F72CF47">
        <w:rPr>
          <w:rStyle w:val="normaltextrun"/>
        </w:rPr>
        <w:t>with</w:t>
      </w:r>
      <w:r w:rsidR="410552FD" w:rsidRPr="0F72CF47">
        <w:rPr>
          <w:rStyle w:val="normaltextrun"/>
        </w:rPr>
        <w:t xml:space="preserve"> </w:t>
      </w:r>
      <w:r w:rsidRPr="0F72CF47">
        <w:rPr>
          <w:rStyle w:val="normaltextrun"/>
        </w:rPr>
        <w:t xml:space="preserve">pinyon </w:t>
      </w:r>
      <w:proofErr w:type="gramStart"/>
      <w:r w:rsidRPr="0F72CF47">
        <w:rPr>
          <w:rStyle w:val="normaltextrun"/>
        </w:rPr>
        <w:t>pine cone</w:t>
      </w:r>
      <w:proofErr w:type="gramEnd"/>
      <w:r w:rsidRPr="0F72CF47">
        <w:rPr>
          <w:rStyle w:val="normaltextrun"/>
        </w:rPr>
        <w:t xml:space="preserve"> availability</w:t>
      </w:r>
      <w:r w:rsidR="00B55A8C">
        <w:rPr>
          <w:rStyle w:val="normaltextrun"/>
        </w:rPr>
        <w:t xml:space="preserve"> (Figure 2)</w:t>
      </w:r>
      <w:r w:rsidR="60385F4C" w:rsidRPr="0F72CF47">
        <w:rPr>
          <w:rStyle w:val="normaltextrun"/>
        </w:rPr>
        <w:t>,</w:t>
      </w:r>
      <w:r w:rsidRPr="0F72CF47">
        <w:rPr>
          <w:rStyle w:val="normaltextrun"/>
        </w:rPr>
        <w:t xml:space="preserve"> and 2) </w:t>
      </w:r>
      <w:r w:rsidR="56616527" w:rsidRPr="0F72CF47">
        <w:rPr>
          <w:rStyle w:val="normaltextrun"/>
        </w:rPr>
        <w:t>H</w:t>
      </w:r>
      <w:r w:rsidRPr="0F72CF47">
        <w:rPr>
          <w:rStyle w:val="normaltextrun"/>
        </w:rPr>
        <w:t xml:space="preserve">ow </w:t>
      </w:r>
      <w:r w:rsidR="57CEEC2F" w:rsidRPr="0F72CF47">
        <w:rPr>
          <w:rStyle w:val="normaltextrun"/>
        </w:rPr>
        <w:t>do interactions</w:t>
      </w:r>
      <w:r w:rsidRPr="0F72CF47">
        <w:rPr>
          <w:rStyle w:val="normaltextrun"/>
        </w:rPr>
        <w:t xml:space="preserve"> </w:t>
      </w:r>
      <w:r w:rsidRPr="0F72CF47">
        <w:rPr>
          <w:rStyle w:val="normaltextrun"/>
        </w:rPr>
        <w:lastRenderedPageBreak/>
        <w:t xml:space="preserve">between pinyon jays and pinyon pine vary across a range of habitat </w:t>
      </w:r>
      <w:r w:rsidR="56616527" w:rsidRPr="0F72CF47">
        <w:rPr>
          <w:rStyle w:val="normaltextrun"/>
        </w:rPr>
        <w:t xml:space="preserve">quality </w:t>
      </w:r>
      <w:r w:rsidRPr="0F72CF47">
        <w:rPr>
          <w:rStyle w:val="normaltextrun"/>
        </w:rPr>
        <w:t xml:space="preserve">and climate conditions? Addressing these questions is not only </w:t>
      </w:r>
      <w:r w:rsidR="56616527" w:rsidRPr="0F72CF47">
        <w:rPr>
          <w:rStyle w:val="normaltextrun"/>
        </w:rPr>
        <w:t xml:space="preserve">necessary </w:t>
      </w:r>
      <w:r w:rsidRPr="0F72CF47">
        <w:rPr>
          <w:rStyle w:val="normaltextrun"/>
        </w:rPr>
        <w:t xml:space="preserve">for </w:t>
      </w:r>
      <w:r w:rsidR="7E7B1C04" w:rsidRPr="0F72CF47">
        <w:rPr>
          <w:rStyle w:val="normaltextrun"/>
        </w:rPr>
        <w:t xml:space="preserve">conservation </w:t>
      </w:r>
      <w:r w:rsidR="38249E0E" w:rsidRPr="0F72CF47">
        <w:rPr>
          <w:rStyle w:val="normaltextrun"/>
        </w:rPr>
        <w:t>of</w:t>
      </w:r>
      <w:r w:rsidR="56616527" w:rsidRPr="0F72CF47">
        <w:rPr>
          <w:rStyle w:val="normaltextrun"/>
        </w:rPr>
        <w:t xml:space="preserve"> </w:t>
      </w:r>
      <w:r w:rsidR="7E7B1C04" w:rsidRPr="0F72CF47">
        <w:rPr>
          <w:rStyle w:val="normaltextrun"/>
        </w:rPr>
        <w:t xml:space="preserve">this system </w:t>
      </w:r>
      <w:r w:rsidRPr="0F72CF47">
        <w:rPr>
          <w:rStyle w:val="normaltextrun"/>
        </w:rPr>
        <w:t xml:space="preserve">but also </w:t>
      </w:r>
      <w:r w:rsidR="00961B5C">
        <w:rPr>
          <w:rStyle w:val="normaltextrun"/>
        </w:rPr>
        <w:t>bolsters our</w:t>
      </w:r>
      <w:r w:rsidR="3EAE3CF0" w:rsidRPr="0F72CF47">
        <w:rPr>
          <w:rStyle w:val="normaltextrun"/>
        </w:rPr>
        <w:t xml:space="preserve"> </w:t>
      </w:r>
      <w:r w:rsidR="33FA84BA" w:rsidRPr="0F72CF47">
        <w:rPr>
          <w:rStyle w:val="normaltextrun"/>
        </w:rPr>
        <w:t>understand</w:t>
      </w:r>
      <w:r w:rsidR="00961B5C">
        <w:rPr>
          <w:rStyle w:val="normaltextrun"/>
        </w:rPr>
        <w:t>ing of</w:t>
      </w:r>
      <w:r w:rsidR="3EAE3CF0" w:rsidRPr="0F72CF47">
        <w:rPr>
          <w:rStyle w:val="normaltextrun"/>
        </w:rPr>
        <w:t xml:space="preserve"> how species interactions shape population trends </w:t>
      </w:r>
      <w:r w:rsidR="006C55E4" w:rsidRPr="0F72CF47">
        <w:rPr>
          <w:rStyle w:val="normaltextrun"/>
        </w:rPr>
        <w:fldChar w:fldCharType="begin"/>
      </w:r>
      <w:r w:rsidR="00C957C2">
        <w:rPr>
          <w:rStyle w:val="normaltextrun"/>
        </w:rPr>
        <w:instrText xml:space="preserve"> ADDIN ZOTERO_ITEM CSL_CITATION {"citationID":"DQQrZAaB","properties":{"formattedCitation":"(Belitz et al., 2025)","plainCitation":"(Belitz et al., 2025)","noteIndex":0},"citationItems":[{"id":2877,"uris":["http://zotero.org/groups/5634119/items/ZR9AS8M4"],"itemData":{"id":2877,"type":"article-journal","abstract":"AbstractClimate change is altering the seasonal timing of biological events across the tree of life. Phenological asynchrony has the potential to hasten population declines and disrupt ecosystem function. However, we lack broad comparisons of the degree of sensitivity to common phenological cues across multiple trophic levels. Overcoming the complexity of integrating data across trophic levels is essential for identifying spatial locations and species for which mismatches are most likely to occur.Here, we synthesized over 15 years of data across three trophic levels to estimate the timing of four interacting phenological events in eastern North America: the green‐up of forest canopy trees, emergence of adult Lepidoptera and arrival and subsequent breeding of migratory birds.We next quantified the magnitude of phenological shift per one unit change of springtime temperature accumulation as measured by accumulated growing degree days (GDD). We expected trophic responses to spring temperature accumulation to be related to physiology, thus predicting a weaker response of birds to GDD than that of insects and plants.We found that insect and plant phenology indeed had similarly strong sensitivity to GDD, while bird phenology had lower sensitivity. We also found that vegetation green‐up and bird arrival were more sensitive to GDD in higher latitudes, but the timing of bird breeding was less sensitive to GDD in higher latitudes. Migratory bird species with slow migration pace, early arrivals and more northerly wintering grounds shifted their arrival the most.Across Eastern Temperate Forests, the similar responses of vegetation green‐up and Lepidoptera emergence to temperature shifts support the use of remotely sensed green‐up to track how the timing of bird food resources is shifting in response to climate change. Our results indicate that, across our plant–insect–bird system, the bird–insect phenological link has a greater potential for phenological mismatch than the insect–plant link, with a higher risk of decoupling at higher latitudes.","container-title":"Journal of Animal Ecology","DOI":"10.1111/1365-2656.70007","ISSN":"0021-8790, 1365-2656","issue":"4","language":"en","license":"http://creativecommons.org/licenses/by-nc/4.0/","page":"717-728","publisher":"Wiley","source":"Crossref","title":"Potential for bird–insect phenological mismatch in a tri‐trophic system","volume":"94","author":[{"family":"Belitz","given":"Michael W."},{"family":"Larsen","given":"Elise A."},{"family":"Hurlbert","given":"Allen H."},{"family":"Di Cecco","given":"Grace J."},{"family":"Neupane","given":"Naresh"},{"family":"Ries","given":"Leslie"},{"family":"Tingley","given":"Morgan W."},{"family":"Guralnick","given":"Robert P."},{"family":"Youngflesh","given":"Casey"}],"issued":{"date-parts":[["2025",4]]}}}],"schema":"https://github.com/citation-style-language/schema/raw/master/csl-citation.json"} </w:instrText>
      </w:r>
      <w:r w:rsidR="006C55E4" w:rsidRPr="0F72CF47">
        <w:rPr>
          <w:rStyle w:val="normaltextrun"/>
        </w:rPr>
        <w:fldChar w:fldCharType="separate"/>
      </w:r>
      <w:r w:rsidR="20D8BE5F" w:rsidRPr="0F72CF47">
        <w:rPr>
          <w:rStyle w:val="normaltextrun"/>
          <w:noProof/>
        </w:rPr>
        <w:t>(Belitz et al., 2025)</w:t>
      </w:r>
      <w:r w:rsidR="006C55E4" w:rsidRPr="0F72CF47">
        <w:rPr>
          <w:rStyle w:val="normaltextrun"/>
        </w:rPr>
        <w:fldChar w:fldCharType="end"/>
      </w:r>
      <w:r w:rsidRPr="0F72CF47">
        <w:rPr>
          <w:rStyle w:val="normaltextrun"/>
        </w:rPr>
        <w:t>.</w:t>
      </w:r>
    </w:p>
    <w:p w14:paraId="3A701374" w14:textId="2C546CCB" w:rsidR="001C786B" w:rsidRPr="009A2EB3" w:rsidRDefault="005C16A2" w:rsidP="001C786B">
      <w:pPr>
        <w:pStyle w:val="BodyText"/>
        <w:rPr>
          <w:sz w:val="28"/>
          <w:szCs w:val="28"/>
        </w:rPr>
      </w:pPr>
      <w:r>
        <w:rPr>
          <w:b/>
          <w:bCs/>
          <w:sz w:val="28"/>
          <w:szCs w:val="28"/>
        </w:rPr>
        <w:t>Potential</w:t>
      </w:r>
      <w:r w:rsidR="001C786B" w:rsidRPr="009A2EB3">
        <w:rPr>
          <w:b/>
          <w:bCs/>
          <w:sz w:val="28"/>
          <w:szCs w:val="28"/>
        </w:rPr>
        <w:t xml:space="preserve"> Temporal Relationships Between Pinyon Jays and Pinyon Seeds</w:t>
      </w:r>
    </w:p>
    <w:p w14:paraId="3E28E694" w14:textId="45D0F088" w:rsidR="001C786B" w:rsidRDefault="001C786B" w:rsidP="009A2EB3">
      <w:pPr>
        <w:pStyle w:val="BodyText"/>
        <w:spacing w:before="0" w:after="0"/>
      </w:pPr>
      <w:r>
        <w:t>Previous work suggests that p</w:t>
      </w:r>
      <w:r w:rsidRPr="00186ED6">
        <w:t xml:space="preserve">inyon jays “predict” cone availability </w:t>
      </w:r>
      <w:r>
        <w:t xml:space="preserve">in response to visual cues associated with initial cone development and maturation </w:t>
      </w:r>
      <w:r w:rsidRPr="00186ED6">
        <w:fldChar w:fldCharType="begin"/>
      </w:r>
      <w:r w:rsidRPr="00186ED6">
        <w:instrText xml:space="preserve"> ADDIN ZOTERO_ITEM CSL_CITATION {"citationID":"tFXXiTRH","properties":{"formattedCitation":"(Ligon, 1978)","plainCitation":"(Ligon, 1978)","noteIndex":0},"citationItems":[{"id":2753,"uris":["http://zotero.org/groups/5634119/items/4RGGXF3K"],"itemData":{"id":2753,"type":"article-journal","abstract":"Pinon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rsidRPr="00186ED6">
        <w:fldChar w:fldCharType="separate"/>
      </w:r>
      <w:r w:rsidRPr="00186ED6">
        <w:rPr>
          <w:noProof/>
        </w:rPr>
        <w:t>(Ligon, 1978)</w:t>
      </w:r>
      <w:r w:rsidRPr="00186ED6">
        <w:fldChar w:fldCharType="end"/>
      </w:r>
      <w:r>
        <w:t xml:space="preserve">. Conversely, other work has documented pinyon jays “responding” to masting events by nesting near sites where they cached seeds produced during the previous masting year </w:t>
      </w:r>
      <w:r w:rsidRPr="00186ED6">
        <w:fldChar w:fldCharType="begin"/>
      </w:r>
      <w:r w:rsidRPr="00186ED6">
        <w:instrText xml:space="preserve"> ADDIN ZOTERO_ITEM CSL_CITATION {"citationID":"3ILg4EqR","properties":{"formattedCitation":"(Stotz &amp; Balda, 1995)","plainCitation":"(Stotz &amp; Balda, 1995)","noteIndex":0},"citationItems":[{"id":2860,"uris":["http://zotero.org/groups/5634119/items/MRSH59Y5"],"itemData":{"id":2860,"type":"article-journal","container-title":"The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Pr="00186ED6">
        <w:fldChar w:fldCharType="separate"/>
      </w:r>
      <w:r w:rsidRPr="00186ED6">
        <w:rPr>
          <w:noProof/>
        </w:rPr>
        <w:t>(Stotz &amp; Balda, 1995)</w:t>
      </w:r>
      <w:r w:rsidRPr="00186ED6">
        <w:fldChar w:fldCharType="end"/>
      </w:r>
      <w:r w:rsidRPr="00186ED6">
        <w:t xml:space="preserve">. </w:t>
      </w:r>
      <w:r>
        <w:t xml:space="preserve">In addition, pinyon jays undergo delayed maturity such that individuals enter the breeding population 1.5-2 years after fledging </w:t>
      </w:r>
      <w:r>
        <w:fldChar w:fldCharType="begin"/>
      </w:r>
      <w:r>
        <w:instrText xml:space="preserve"> ADDIN ZOTERO_ITEM CSL_CITATION {"citationID":"uJmFfHDE","properties":{"formattedCitation":"(Marzluff &amp; Balda, 1988)","plainCitation":"(Marzluff &amp; Balda, 1988)","noteIndex":0},"citationItems":[{"id":2861,"uris":["http://zotero.org/groups/5634119/items/CQUD9PTD"],"itemData":{"id":2861,"type":"article-journal","container-title":"The Auk","DOI":"10.2307/4087492","ISSN":"0004-8038, 1938-4254","issue":"2","page":"286-295","publisher":"Oxford University Press (OUP)","source":"Crossref","title":"The Advantages of, and Constraints Forcing, Mate Fidelity in Pinyon Jays","volume":"105","author":[{"family":"Marzluff","given":"John M."},{"family":"Balda","given":"Russell P."}],"issued":{"date-parts":[["1988",4]]}}}],"schema":"https://github.com/citation-style-language/schema/raw/master/csl-citation.json"} </w:instrText>
      </w:r>
      <w:r>
        <w:fldChar w:fldCharType="separate"/>
      </w:r>
      <w:r>
        <w:rPr>
          <w:noProof/>
        </w:rPr>
        <w:t>(Marzluff &amp; Balda, 1988)</w:t>
      </w:r>
      <w:r>
        <w:fldChar w:fldCharType="end"/>
      </w:r>
      <w:r>
        <w:t xml:space="preserve">. Thus, pinyon seed resource pulses may have delayed effects on pinyon jay abundance if these resource pulses stimulate events earlier in the life cycle (e.g., productivity or fledging success). The typical lifespan of a pinyon jay is 5-6 years </w:t>
      </w:r>
      <w:r>
        <w:fldChar w:fldCharType="begin"/>
      </w:r>
      <w:r w:rsidR="00EC0CE3">
        <w:instrText xml:space="preserve"> ADDIN ZOTERO_ITEM CSL_CITATION {"citationID":"ZF3pC3Xh","properties":{"formattedCitation":"(Marzluff &amp; Balda, 1992)","plainCitation":"(Marzluff &amp; Balda, 1992)","noteIndex":0},"citationItems":[{"id":3031,"uris":["http://zotero.org/users/6391447/items/ADY52QPF"],"itemData":{"id":3031,"type":"book","publisher":"T &amp; AD Poyser Ltd","publisher-place":"London","title":"The Pinyon Jay: Behavioral Ecology of a Colonial and Cooperative Corvid","author":[{"family":"Marzluff","given":""},{"family":"Balda","given":"Russell P"}],"issued":{"date-parts":[["1992"]]}}}],"schema":"https://github.com/citation-style-language/schema/raw/master/csl-citation.json"} </w:instrText>
      </w:r>
      <w:r>
        <w:fldChar w:fldCharType="separate"/>
      </w:r>
      <w:r>
        <w:rPr>
          <w:noProof/>
        </w:rPr>
        <w:t>(Marzluff &amp; Balda, 1992)</w:t>
      </w:r>
      <w:r>
        <w:fldChar w:fldCharType="end"/>
      </w:r>
      <w:r>
        <w:t xml:space="preserve"> and high cone production (“masting”) events in pinyon pines in the southwestern USA occurred infrequently during the study period (~1-2 events in any location; </w:t>
      </w:r>
      <w:r>
        <w:fldChar w:fldCharType="begin"/>
      </w:r>
      <w:r>
        <w:instrText xml:space="preserve"> ADDIN ZOTERO_ITEM CSL_CITATION {"citationID":"f0TgtLM7","properties":{"formattedCitation":"(Wion et al., 2020)","plainCitation":"(Wion et al., 2020)","dontUpdate":true,"noteIndex":0},"citationItems":[{"id":3033,"uris":["http://zotero.org/users/6391447/items/ELR5CA5R"],"itemData":{"id":3033,"type":"article-journal","abstract":"Masting, or the synchronous and irregular production of seed crops, is controlled by environmental conditions and resource budgets. Increasing temperatures and shifting precipitation regimes may alter the frequency and magnitude of masting, especially in species that experience chronic resource stress. Yet the effects of a changing climate on seed production are unlikely to be uniform across populations, particularly those that span broad abiotic gradients. In this study, we assessed the spatiotemporal patterns of masting across the latitudinal distribution of a widely distributed dryland conifer species, piñon pine\n              Pinus edulis\n              . We quantified seed cone production from 2004 to 2017 using cone abscission scars in 187 trees from 28 sites along an 1100 km latitudinal gradient to investigate the spatiotemporal drivers of seed cone production and synchrony across populations. Populations from chronically hot and dry areas (greater climatic water deficits and less monsoonal precipitation) tended to have greater interannual variability in seed cone production and smaller crop sizes. Mast years generally followed years with low vapor pressure deficits and high precipitation during key periods of the reproductive process, but the strength of these relationships varied across the region. Populations that received greater monsoonal precipitation were less sensitive to late summer vapor pressure deficits during seed cone initiation yet more sensitive to spring vapor pressure deficits during pollination. Spatially correlated patterns of vapor pressure deficit better predicted synchrony in seed cone production than geographic distance, and these patterns were conserved at distances up to 500 km. These results demonstrate that aridity drives spatiotemporal variability in seed cone production. As a result, projected increases in aridity are likely to decrease the frequency and magnitude of masting in these dry forests and woodlands. Declines in seed production may compound climatic limitations to recruitment and impede tree regeneration, with cascading effects for numerous wildlife species.","container-title":"Ecography","DOI":"10.1111/ecog.04856","ISSN":"0906-7590, 1600-0587","issue":"4","journalAbbreviation":"Ecography","language":"en","page":"569-580","source":"DOI.org (Crossref)","title":"Aridity drives spatiotemporal patterns of masting across the latitudinal range of a dryland conifer","volume":"43","author":[{"family":"Wion","given":"Andreas P."},{"family":"Weisberg","given":"Peter J."},{"family":"Pearse","given":"Ian S."},{"family":"Redmond","given":"Miranda D."}],"issued":{"date-parts":[["2020",4]]}}}],"schema":"https://github.com/citation-style-language/schema/raw/master/csl-citation.json"} </w:instrText>
      </w:r>
      <w:r>
        <w:fldChar w:fldCharType="separate"/>
      </w:r>
      <w:r>
        <w:rPr>
          <w:noProof/>
        </w:rPr>
        <w:t>Wion et al., 2020)</w:t>
      </w:r>
      <w:r>
        <w:fldChar w:fldCharType="end"/>
      </w:r>
      <w:r>
        <w:t xml:space="preserve">. Further, the timing of these masting events can be highly variable. Thus, pinyon jays may experience </w:t>
      </w:r>
      <w:r w:rsidR="005C16A2">
        <w:t xml:space="preserve">only </w:t>
      </w:r>
      <w:r>
        <w:t xml:space="preserve">one or two high cone events during their lifetime, despite relying heavily on pinyon seeds when seeds are available </w:t>
      </w:r>
      <w:r>
        <w:fldChar w:fldCharType="begin"/>
      </w:r>
      <w:r>
        <w:instrText xml:space="preserve"> ADDIN ZOTERO_ITEM CSL_CITATION {"citationID":"nei9nhMQ","properties":{"formattedCitation":"(Ligon, 1978)","plainCitation":"(Ligon, 1978)","noteIndex":0},"citationItems":[{"id":2753,"uris":["http://zotero.org/groups/5634119/items/4RGGXF3K"],"itemData":{"id":2753,"type":"article-journal","abstract":"Pinon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fldChar w:fldCharType="separate"/>
      </w:r>
      <w:r>
        <w:rPr>
          <w:noProof/>
        </w:rPr>
        <w:t>(Ligon, 1978)</w:t>
      </w:r>
      <w:r>
        <w:fldChar w:fldCharType="end"/>
      </w:r>
      <w:r>
        <w:t xml:space="preserve">. </w:t>
      </w:r>
    </w:p>
    <w:p w14:paraId="58C73DF2" w14:textId="7014A03B" w:rsidR="00564C09" w:rsidRDefault="001C786B" w:rsidP="009A2EB3">
      <w:pPr>
        <w:pStyle w:val="BodyText"/>
        <w:spacing w:before="0" w:after="0"/>
        <w:ind w:firstLine="720"/>
      </w:pPr>
      <w:r>
        <w:t xml:space="preserve">Given the potential for multiple, non-exclusive temporal coupling patterns between </w:t>
      </w:r>
      <w:r w:rsidR="005C16A2">
        <w:t xml:space="preserve">pinyon jay abundance and </w:t>
      </w:r>
      <w:r>
        <w:t xml:space="preserve">pinyon masting, we developed a model with a stochastic component that simultaneously incorporates three hypothesized temporal relationships between pinyon jays and pinyon cones (a proxy for seeds, see Figure 2). The first (H1) hypothesizes that pinyon jays exhibit predictive or anticipatory behavior whereby their population abundance correlates with </w:t>
      </w:r>
      <w:r>
        <w:lastRenderedPageBreak/>
        <w:t xml:space="preserve">pinyon seed availability in subsequent (future) years. This anticipatory response would occur if jays visually respond to production of young, developing cones and/or they use seeds from other plant species that develop more quickly in response to favorable climate conditions that also stimulate pinyon pine cone formation (e.g., juniper berries and acorns; </w:t>
      </w:r>
      <w:r>
        <w:fldChar w:fldCharType="begin"/>
      </w:r>
      <w:r>
        <w:instrText xml:space="preserve"> ADDIN ZOTERO_ITEM CSL_CITATION {"citationID":"R1TLYn3E","properties":{"formattedCitation":"(Parmenter et al., 2018)","plainCitation":"(Parmenter et al., 2018)","noteIndex":0},"citationItems":[{"id":2755,"uris":["http://zotero.org/groups/5634119/items/IJSSXJYX"],"itemData":{"id":2755,"type":"article-journal","abstract":"Abstract\n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fldChar w:fldCharType="separate"/>
      </w:r>
      <w:r w:rsidRPr="0F72CF47">
        <w:rPr>
          <w:noProof/>
        </w:rPr>
        <w:t>(Parmenter et al., 2018)</w:t>
      </w:r>
      <w:r>
        <w:fldChar w:fldCharType="end"/>
      </w:r>
      <w:r>
        <w:t>). The second (H2) hypothesizes that pinyon jays respond quickly to pinyon pine seed availability such that jay abundance in the spring breeding season is highly correlated with seeds produced during the prior fall or winter. This immediate response would likely be due to birds nesting near cache</w:t>
      </w:r>
      <w:r w:rsidR="005C16A2">
        <w:t xml:space="preserve"> </w:t>
      </w:r>
      <w:r>
        <w:t>s</w:t>
      </w:r>
      <w:r w:rsidR="005C16A2">
        <w:t>ites</w:t>
      </w:r>
      <w:r>
        <w:t xml:space="preserve"> from the previous fall and winter. Finally, the third (H3) describes a delayed response whereby pinyon jay abundance is highly correlated with seed availability during previous years (e.g., 1 or 2 fall seasons prior), reflecting a growth in the breeding jay population 1.5-2 years following pinyon seed resource pulses. Importantly, </w:t>
      </w:r>
      <w:r w:rsidR="005C16A2">
        <w:t>we implemented a</w:t>
      </w:r>
      <w:r>
        <w:t xml:space="preserve"> modeling framework</w:t>
      </w:r>
      <w:r w:rsidR="005C16A2">
        <w:t xml:space="preserve"> that</w:t>
      </w:r>
      <w:r>
        <w:t xml:space="preserve"> facilit</w:t>
      </w:r>
      <w:r w:rsidR="005C16A2">
        <w:t>ates</w:t>
      </w:r>
      <w:r>
        <w:t xml:space="preserve"> explicit quantification of the relative importance of each of these hypotheses, and it allows for the possibility that one or more can occur simultaneously allowing for individual variation. These predicted temporal relationships between pinyon jays and pinyon cone (seed) production are illustrated in Figure 2. </w:t>
      </w:r>
    </w:p>
    <w:p w14:paraId="1FA0F477" w14:textId="63947A11" w:rsidR="00D8681D" w:rsidRDefault="00D8681D" w:rsidP="00D8681D">
      <w:pPr>
        <w:pStyle w:val="BodyText"/>
        <w:spacing w:before="0" w:after="0"/>
        <w:rPr>
          <w:b/>
          <w:bCs/>
          <w:sz w:val="28"/>
          <w:szCs w:val="28"/>
        </w:rPr>
      </w:pPr>
      <w:r w:rsidRPr="00D8681D">
        <w:rPr>
          <w:b/>
          <w:bCs/>
          <w:sz w:val="28"/>
          <w:szCs w:val="28"/>
        </w:rPr>
        <w:t>Results</w:t>
      </w:r>
    </w:p>
    <w:p w14:paraId="00A1C2F0" w14:textId="52DB7E6D" w:rsidR="00D8681D" w:rsidRDefault="00D8681D" w:rsidP="00D8681D">
      <w:pPr>
        <w:pStyle w:val="BodyText"/>
        <w:spacing w:after="0"/>
      </w:pPr>
      <w:r w:rsidRPr="00D8681D">
        <w:rPr>
          <w:b/>
          <w:bCs/>
        </w:rPr>
        <w:t>Coupling of Pinyon Jay Abundance and Pinyon Cone Production.</w:t>
      </w:r>
      <w:r>
        <w:rPr>
          <w:b/>
          <w:bCs/>
        </w:rPr>
        <w:t xml:space="preserve"> </w:t>
      </w:r>
      <w:r w:rsidRPr="00D8681D">
        <w:t xml:space="preserve">To quantify coupling between pinyon jay abundance and pinyon cone (seed) production across various timescales and seasonal periods, we fit an N-mixture (occupancy) model to the jay abundance data. The model explicitly accounts for the effects of spatially and temporally varying pinyon seed availability, climate conditions (e.g., seasonal temperature and precipitation), and pinyon basal area, and site-specific </w:t>
      </w:r>
      <w:proofErr w:type="spellStart"/>
      <w:r w:rsidRPr="00D8681D">
        <w:t>monsoonality</w:t>
      </w:r>
      <w:proofErr w:type="spellEnd"/>
      <w:r w:rsidRPr="00D8681D">
        <w:t>, which describes the contribution of summer rainfall to total annual precipitation</w:t>
      </w:r>
      <w:r>
        <w:t xml:space="preserve"> and shapes alternative food availability for jays (e.g., invertebrates</w:t>
      </w:r>
      <w:r w:rsidR="00BF3CA7">
        <w:t xml:space="preserve">, </w:t>
      </w:r>
      <w:r w:rsidR="00BF3CA7">
        <w:fldChar w:fldCharType="begin"/>
      </w:r>
      <w:r w:rsidR="00BF3CA7">
        <w:instrText xml:space="preserve"> ADDIN ZOTERO_ITEM CSL_CITATION {"citationID":"6Atc92ob","properties":{"formattedCitation":"(Branson, 2008)","plainCitation":"(Branson, 2008)","noteIndex":0},"citationItems":[{"id":2498,"uris":["http://zotero.org/users/6391447/items/VVC4E3XE"],"itemData":{"id":2498,"type":"article-journal","container-title":"Environmental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H."}],"issued":{"date-parts":[["2008",6,1]]}}}],"schema":"https://github.com/citation-style-language/schema/raw/master/csl-citation.json"} </w:instrText>
      </w:r>
      <w:r w:rsidR="00BF3CA7">
        <w:fldChar w:fldCharType="separate"/>
      </w:r>
      <w:r w:rsidR="00BF3CA7">
        <w:rPr>
          <w:noProof/>
        </w:rPr>
        <w:t>Branson, 2008)</w:t>
      </w:r>
      <w:r w:rsidR="00BF3CA7">
        <w:fldChar w:fldCharType="end"/>
      </w:r>
      <w:r w:rsidRPr="00D8681D">
        <w:t xml:space="preserve">. </w:t>
      </w:r>
      <w:r w:rsidRPr="00D8681D">
        <w:lastRenderedPageBreak/>
        <w:t xml:space="preserve">Importantly, we included interactions between cone production and the other predictor variables (precipitation, temperature, basal area, and </w:t>
      </w:r>
      <w:proofErr w:type="spellStart"/>
      <w:r w:rsidRPr="00D8681D">
        <w:t>monsoonality</w:t>
      </w:r>
      <w:proofErr w:type="spellEnd"/>
      <w:r w:rsidRPr="00D8681D">
        <w:t>) to understand how these climate and habit factors modulate the coupling between pinyon jays and cone production. Importantly, we simultaneously estimated the most influential seasonal and lagged periods for which jay abundance is most strongly coupled to climate and cone production, thus quantifying the relative importance of anticipatory, immediate, and delayed responses.</w:t>
      </w:r>
    </w:p>
    <w:p w14:paraId="4D766D1A" w14:textId="6C5E53DB" w:rsidR="00D8681D" w:rsidRDefault="00D8681D" w:rsidP="00EC0CE3">
      <w:pPr>
        <w:pStyle w:val="BodyText"/>
        <w:spacing w:after="0"/>
        <w:ind w:firstLine="720"/>
      </w:pPr>
      <w:r w:rsidRPr="00D8681D">
        <w:t>Our analysis clearly shows that pinyon jay abundance was positively related to pinyon cone availability (posterior mean and 95% CI for the cone availability effect, a</w:t>
      </w:r>
      <w:r w:rsidRPr="00D8681D">
        <w:rPr>
          <w:vertAlign w:val="subscript"/>
        </w:rPr>
        <w:t>3</w:t>
      </w:r>
      <w:r w:rsidRPr="00D8681D">
        <w:t xml:space="preserve">: 0.95 [0.92, 0.98]; Figure 3). Pinyon jays had a strong, immediate response to cone production, with greater bird abundance in the late winter and spring months after prolific cone years (lag, </w:t>
      </w:r>
      <w:r w:rsidRPr="00D8681D">
        <w:rPr>
          <w:i/>
          <w:iCs/>
        </w:rPr>
        <w:t>l</w:t>
      </w:r>
      <w:r w:rsidRPr="00D8681D">
        <w:t xml:space="preserve"> = -1 (prior year); importance weight, </w:t>
      </w:r>
      <w:r w:rsidRPr="00D8681D">
        <w:rPr>
          <w:i/>
          <w:iCs/>
        </w:rPr>
        <w:t>w</w:t>
      </w:r>
      <w:proofErr w:type="gramStart"/>
      <w:r w:rsidRPr="00D8681D">
        <w:rPr>
          <w:vertAlign w:val="subscript"/>
        </w:rPr>
        <w:t>1,-</w:t>
      </w:r>
      <w:proofErr w:type="gramEnd"/>
      <w:r w:rsidRPr="00D8681D">
        <w:rPr>
          <w:vertAlign w:val="subscript"/>
        </w:rPr>
        <w:t>1</w:t>
      </w:r>
      <w:r w:rsidRPr="00D8681D">
        <w:t xml:space="preserve">, estimate: 0.64 [0.60, 0.67]; Figure 4). Jays also had a moderate, delayed response, wherein local populations remained high for 2-3 years after large cone years (importance of cones produced 2-years ago: </w:t>
      </w:r>
      <w:r w:rsidRPr="00D8681D">
        <w:rPr>
          <w:i/>
          <w:iCs/>
        </w:rPr>
        <w:t>w</w:t>
      </w:r>
      <w:proofErr w:type="gramStart"/>
      <w:r w:rsidRPr="00D8681D">
        <w:rPr>
          <w:vertAlign w:val="subscript"/>
        </w:rPr>
        <w:t>1,-</w:t>
      </w:r>
      <w:proofErr w:type="gramEnd"/>
      <w:r w:rsidRPr="00D8681D">
        <w:rPr>
          <w:vertAlign w:val="subscript"/>
        </w:rPr>
        <w:t>2</w:t>
      </w:r>
      <w:r w:rsidRPr="00D8681D">
        <w:t xml:space="preserve">= 0.13 [0.07, 0.18], and 3-years ago: </w:t>
      </w:r>
      <w:r w:rsidRPr="00D8681D">
        <w:rPr>
          <w:i/>
          <w:iCs/>
        </w:rPr>
        <w:t>w</w:t>
      </w:r>
      <w:proofErr w:type="gramStart"/>
      <w:r w:rsidRPr="00D8681D">
        <w:rPr>
          <w:vertAlign w:val="subscript"/>
        </w:rPr>
        <w:t>1,-</w:t>
      </w:r>
      <w:proofErr w:type="gramEnd"/>
      <w:r w:rsidRPr="00D8681D">
        <w:rPr>
          <w:vertAlign w:val="subscript"/>
        </w:rPr>
        <w:t>3</w:t>
      </w:r>
      <w:r w:rsidRPr="00D8681D">
        <w:t xml:space="preserve"> = 0.21 [0.17, 0.25]). Conversely, jays demonstrated no anticipatory response; negligible importance weights were estimated for cones (seeds) produced in years after jay abundance was observed (</w:t>
      </w:r>
      <w:r w:rsidRPr="00D8681D">
        <w:rPr>
          <w:i/>
          <w:iCs/>
        </w:rPr>
        <w:t>w</w:t>
      </w:r>
      <w:proofErr w:type="gramStart"/>
      <w:r w:rsidRPr="00D8681D">
        <w:rPr>
          <w:vertAlign w:val="subscript"/>
        </w:rPr>
        <w:t>1,+</w:t>
      </w:r>
      <w:proofErr w:type="gramEnd"/>
      <w:r w:rsidRPr="00D8681D">
        <w:rPr>
          <w:vertAlign w:val="subscript"/>
        </w:rPr>
        <w:t>1</w:t>
      </w:r>
      <w:r w:rsidRPr="00D8681D">
        <w:t xml:space="preserve"> = 0.01 [0, 0.06] and </w:t>
      </w:r>
      <w:r w:rsidRPr="00D8681D">
        <w:rPr>
          <w:i/>
          <w:iCs/>
        </w:rPr>
        <w:t>w</w:t>
      </w:r>
      <w:proofErr w:type="gramStart"/>
      <w:r w:rsidRPr="00D8681D">
        <w:rPr>
          <w:vertAlign w:val="subscript"/>
        </w:rPr>
        <w:t>1,+</w:t>
      </w:r>
      <w:proofErr w:type="gramEnd"/>
      <w:r w:rsidRPr="00D8681D">
        <w:rPr>
          <w:vertAlign w:val="subscript"/>
        </w:rPr>
        <w:t>2</w:t>
      </w:r>
      <w:r w:rsidRPr="00D8681D">
        <w:t xml:space="preserve"> = 0.01 [0, 0.03] for 1- and 2-years after, respectively). Overall, jay abundance in the spring breeding season had a strong, positive relationship with cone production in the prior fall, and jay abundance remained relatively high in these same areas for up to three years after cones were produced.</w:t>
      </w:r>
      <w:bookmarkStart w:id="9" w:name="results"/>
      <w:bookmarkEnd w:id="0"/>
      <w:bookmarkEnd w:id="7"/>
    </w:p>
    <w:p w14:paraId="6A624CCD" w14:textId="77777777" w:rsidR="00D8681D" w:rsidRDefault="007E08DA" w:rsidP="00D8681D">
      <w:pPr>
        <w:pStyle w:val="BodyText"/>
        <w:spacing w:after="0"/>
      </w:pPr>
      <w:r w:rsidRPr="009A2EB3">
        <w:rPr>
          <w:b/>
          <w:bCs/>
        </w:rPr>
        <w:t xml:space="preserve">Climate and </w:t>
      </w:r>
      <w:r w:rsidR="009D1DEF">
        <w:rPr>
          <w:b/>
          <w:bCs/>
        </w:rPr>
        <w:t>H</w:t>
      </w:r>
      <w:r w:rsidR="009D1DEF" w:rsidRPr="009A2EB3">
        <w:rPr>
          <w:b/>
          <w:bCs/>
        </w:rPr>
        <w:t xml:space="preserve">abitat </w:t>
      </w:r>
      <w:r w:rsidR="009D1DEF">
        <w:rPr>
          <w:b/>
          <w:bCs/>
        </w:rPr>
        <w:t>E</w:t>
      </w:r>
      <w:r w:rsidR="009D1DEF" w:rsidRPr="009A2EB3">
        <w:rPr>
          <w:b/>
          <w:bCs/>
        </w:rPr>
        <w:t>ffects</w:t>
      </w:r>
      <w:r w:rsidR="009D1DEF">
        <w:rPr>
          <w:b/>
          <w:bCs/>
        </w:rPr>
        <w:t>.</w:t>
      </w:r>
      <w:r w:rsidR="009D1DEF">
        <w:t xml:space="preserve"> </w:t>
      </w:r>
      <w:r>
        <w:t xml:space="preserve">All four of the climate and habitat covariates also supported statistically significant main effects (Figure 3). </w:t>
      </w:r>
      <w:proofErr w:type="gramStart"/>
      <w:r>
        <w:t>In particular, pinyon</w:t>
      </w:r>
      <w:proofErr w:type="gramEnd"/>
      <w:r>
        <w:t xml:space="preserve"> jay abundance was negatively related to precipitation (</w:t>
      </w:r>
      <w:r w:rsidRPr="0F72CF47">
        <w:rPr>
          <w:rFonts w:ascii="Symbol" w:eastAsia="Symbol" w:hAnsi="Symbol" w:cs="Symbol"/>
        </w:rPr>
        <w:t>a</w:t>
      </w:r>
      <w:r w:rsidRPr="0F72CF47">
        <w:rPr>
          <w:vertAlign w:val="subscript"/>
        </w:rPr>
        <w:t>4</w:t>
      </w:r>
      <w:r>
        <w:t xml:space="preserve"> = -2.62 [-2.72, -2.53]) and maximum temperature (</w:t>
      </w:r>
      <w:r w:rsidRPr="0F72CF47">
        <w:rPr>
          <w:rFonts w:ascii="Symbol" w:eastAsia="Symbol" w:hAnsi="Symbol" w:cs="Symbol"/>
        </w:rPr>
        <w:t>a</w:t>
      </w:r>
      <w:r w:rsidRPr="0F72CF47">
        <w:rPr>
          <w:vertAlign w:val="subscript"/>
        </w:rPr>
        <w:t>5</w:t>
      </w:r>
      <w:r>
        <w:t xml:space="preserve"> = -0.92 [-0.96, -0.88]</w:t>
      </w:r>
      <w:proofErr w:type="gramStart"/>
      <w:r>
        <w:t>), but</w:t>
      </w:r>
      <w:proofErr w:type="gramEnd"/>
      <w:r>
        <w:t xml:space="preserve"> positively associated with </w:t>
      </w:r>
      <w:r w:rsidR="000A3268">
        <w:t>pinyon basal area (</w:t>
      </w:r>
      <w:r w:rsidR="000A3268" w:rsidRPr="0F72CF47">
        <w:rPr>
          <w:rFonts w:ascii="Symbol" w:eastAsia="Symbol" w:hAnsi="Symbol" w:cs="Symbol"/>
        </w:rPr>
        <w:t>a</w:t>
      </w:r>
      <w:r w:rsidR="000A3268" w:rsidRPr="0F72CF47">
        <w:rPr>
          <w:vertAlign w:val="subscript"/>
        </w:rPr>
        <w:t>2</w:t>
      </w:r>
      <w:r w:rsidR="000A3268">
        <w:t xml:space="preserve"> = 0.27 [0.25, 0.29]) and </w:t>
      </w:r>
      <w:proofErr w:type="spellStart"/>
      <w:r>
        <w:lastRenderedPageBreak/>
        <w:t>monsoonality</w:t>
      </w:r>
      <w:proofErr w:type="spellEnd"/>
      <w:r w:rsidR="000A3268">
        <w:t xml:space="preserve"> </w:t>
      </w:r>
      <w:r>
        <w:t>(</w:t>
      </w:r>
      <w:r w:rsidRPr="0F72CF47">
        <w:rPr>
          <w:rFonts w:ascii="Symbol" w:eastAsia="Symbol" w:hAnsi="Symbol" w:cs="Symbol"/>
        </w:rPr>
        <w:t>a</w:t>
      </w:r>
      <w:r w:rsidRPr="0F72CF47">
        <w:rPr>
          <w:vertAlign w:val="subscript"/>
        </w:rPr>
        <w:t>1</w:t>
      </w:r>
      <w:r>
        <w:t xml:space="preserve"> = 0.51 [0.46, 0.56]</w:t>
      </w:r>
      <w:r w:rsidR="000A3268">
        <w:t>)</w:t>
      </w:r>
      <w:r>
        <w:t xml:space="preserve">. Temperature and precipitation were most influential during certain </w:t>
      </w:r>
      <w:r w:rsidR="000A3268">
        <w:t xml:space="preserve">seasonal </w:t>
      </w:r>
      <w:r>
        <w:t xml:space="preserve">periods, as indicated by variation in their importance </w:t>
      </w:r>
      <w:r w:rsidRPr="00212B65">
        <w:t xml:space="preserve">weights (SI Figure </w:t>
      </w:r>
      <w:r w:rsidR="00212B65" w:rsidRPr="00212B65">
        <w:t>1</w:t>
      </w:r>
      <w:r w:rsidRPr="00212B65">
        <w:t>). For</w:t>
      </w:r>
      <w:r>
        <w:t xml:space="preserve"> example, key seasons for precipitation included, in order of importance: two years ago during the spring/summer fledging season, three years ago during the spring breeding season, two years ago during breeding, and one year ago during fledging (</w:t>
      </w:r>
      <w:r w:rsidR="000A3268">
        <w:t>importance weight</w:t>
      </w:r>
      <w:r w:rsidR="00564C09">
        <w:t>s</w:t>
      </w:r>
      <w:r w:rsidR="000A3268">
        <w:t xml:space="preserve">, </w:t>
      </w:r>
      <w:r w:rsidR="000A3268" w:rsidRPr="0F72CF47">
        <w:rPr>
          <w:i/>
          <w:iCs/>
        </w:rPr>
        <w:t>w</w:t>
      </w:r>
      <w:r w:rsidR="000A3268" w:rsidRPr="0F72CF47">
        <w:rPr>
          <w:vertAlign w:val="subscript"/>
        </w:rPr>
        <w:t>2</w:t>
      </w:r>
      <w:r w:rsidR="000A3268">
        <w:t xml:space="preserve">, </w:t>
      </w:r>
      <w:r>
        <w:t xml:space="preserve">estimates = 0.37 [0.35, 0.39], 0.20 [0.18, 0.21], 0.16 [0.14, 0.18], and 0.12 [0.10, 0.14], respectively). All other precipitation weights were comparably small, indicating lack of importance of </w:t>
      </w:r>
      <w:r w:rsidR="000A3268">
        <w:t xml:space="preserve">precipitation </w:t>
      </w:r>
      <w:r>
        <w:t>during other seasonal perio</w:t>
      </w:r>
      <w:r w:rsidRPr="00212B65">
        <w:t>ds (SI Figure</w:t>
      </w:r>
      <w:r w:rsidR="00212B65" w:rsidRPr="00212B65">
        <w:t xml:space="preserve"> 1</w:t>
      </w:r>
      <w:r w:rsidRPr="00212B65">
        <w:t>). In</w:t>
      </w:r>
      <w:r>
        <w:t xml:space="preserve"> other words, pinyon jay abundance was negatively influenced by precipitation during the breeding and fledging seasons two years prior</w:t>
      </w:r>
      <w:r w:rsidR="00564C09">
        <w:t xml:space="preserve">, which </w:t>
      </w:r>
      <w:r>
        <w:t xml:space="preserve">roughly corresponds to the time to reproductive maturity </w:t>
      </w:r>
      <w:r>
        <w:fldChar w:fldCharType="begin"/>
      </w:r>
      <w:r>
        <w:instrText xml:space="preserve"> ADDIN ZOTERO_ITEM CSL_CITATION {"citationID":"DRMpU6oJ","properties":{"formattedCitation":"(Marzluff &amp; Balda, 1988)","plainCitation":"(Marzluff &amp; Balda, 1988)","noteIndex":0},"citationItems":[{"id":2861,"uris":["http://zotero.org/groups/5634119/items/CQUD9PTD"],"itemData":{"id":2861,"type":"article-journal","container-title":"The Auk","DOI":"10.2307/4087492","ISSN":"0004-8038, 1938-4254","issue":"2","page":"286-295","publisher":"Oxford University Press (OUP)","source":"Crossref","title":"The Advantages of, and Constraints Forcing, Mate Fidelity in Pinyon Jays","volume":"105","author":[{"family":"Marzluff","given":"John M."},{"family":"Balda","given":"Russell P."}],"issued":{"date-parts":[["1988",4]]}}}],"schema":"https://github.com/citation-style-language/schema/raw/master/csl-citation.json"} </w:instrText>
      </w:r>
      <w:r>
        <w:fldChar w:fldCharType="separate"/>
      </w:r>
      <w:r w:rsidRPr="0F72CF47">
        <w:rPr>
          <w:noProof/>
        </w:rPr>
        <w:t>(Marzluff &amp; Balda, 1988)</w:t>
      </w:r>
      <w:r>
        <w:fldChar w:fldCharType="end"/>
      </w:r>
      <w:r>
        <w:t>, with some negative influence from precipitation during the prior fledging season and during the breeding season three years prior. Important seasons for maximum temperature included the spring breeding and spring/summer fledging seasons two years prior (</w:t>
      </w:r>
      <w:r w:rsidR="000A3268">
        <w:t>importance weight</w:t>
      </w:r>
      <w:r w:rsidR="00564C09">
        <w:t>s</w:t>
      </w:r>
      <w:r w:rsidR="000A3268">
        <w:t xml:space="preserve">, </w:t>
      </w:r>
      <w:r w:rsidR="000A3268" w:rsidRPr="0F72CF47">
        <w:rPr>
          <w:i/>
          <w:iCs/>
        </w:rPr>
        <w:t>w</w:t>
      </w:r>
      <w:r w:rsidR="000A3268" w:rsidRPr="0F72CF47">
        <w:rPr>
          <w:vertAlign w:val="subscript"/>
        </w:rPr>
        <w:t>3</w:t>
      </w:r>
      <w:r w:rsidR="000A3268">
        <w:t xml:space="preserve">, </w:t>
      </w:r>
      <w:r>
        <w:t xml:space="preserve">estimates = 0.60 [0.50, 0.69] and 0.34 [0.25, 0.44] for the breeding and fledging seasons, respectively). All other weights were </w:t>
      </w:r>
      <w:r w:rsidR="00564C09">
        <w:t>near zero</w:t>
      </w:r>
      <w:r>
        <w:t xml:space="preserve">, indicating that temperature during other seasons and lag periods was </w:t>
      </w:r>
      <w:r w:rsidR="000A3268">
        <w:t>inconsequential for</w:t>
      </w:r>
      <w:r>
        <w:t xml:space="preserve"> jay abundance (</w:t>
      </w:r>
      <w:r w:rsidRPr="00212B65">
        <w:t xml:space="preserve">SI Figure </w:t>
      </w:r>
      <w:r w:rsidR="00212B65" w:rsidRPr="00212B65">
        <w:t>1</w:t>
      </w:r>
      <w:r>
        <w:t xml:space="preserve">). In summary, high temperatures during the breeding </w:t>
      </w:r>
      <w:r>
        <w:t xml:space="preserve">and fledging season two years ago had a negative effect on pinyon jay abundance. </w:t>
      </w:r>
      <w:bookmarkStart w:id="10" w:name="_Hlk214971578"/>
    </w:p>
    <w:p w14:paraId="158EBCD3" w14:textId="0985BAF7" w:rsidR="000C6F45" w:rsidRDefault="3F852923" w:rsidP="00D8681D">
      <w:pPr>
        <w:pStyle w:val="BodyText"/>
        <w:spacing w:after="0"/>
      </w:pPr>
      <w:r w:rsidRPr="009A2EB3">
        <w:rPr>
          <w:b/>
          <w:bCs/>
        </w:rPr>
        <w:t xml:space="preserve">Mediating </w:t>
      </w:r>
      <w:r w:rsidR="000A3268">
        <w:rPr>
          <w:b/>
          <w:bCs/>
        </w:rPr>
        <w:t>E</w:t>
      </w:r>
      <w:r w:rsidR="000A3268" w:rsidRPr="009A2EB3">
        <w:rPr>
          <w:b/>
          <w:bCs/>
        </w:rPr>
        <w:t xml:space="preserve">ffects </w:t>
      </w:r>
      <w:r w:rsidRPr="009A2EB3">
        <w:rPr>
          <w:b/>
          <w:bCs/>
        </w:rPr>
        <w:t xml:space="preserve">of </w:t>
      </w:r>
      <w:r w:rsidR="000A3268">
        <w:rPr>
          <w:b/>
          <w:bCs/>
        </w:rPr>
        <w:t>H</w:t>
      </w:r>
      <w:r w:rsidR="000A3268" w:rsidRPr="009A2EB3">
        <w:rPr>
          <w:b/>
          <w:bCs/>
        </w:rPr>
        <w:t xml:space="preserve">abitat </w:t>
      </w:r>
      <w:r w:rsidRPr="009A2EB3">
        <w:rPr>
          <w:b/>
          <w:bCs/>
        </w:rPr>
        <w:t xml:space="preserve">and </w:t>
      </w:r>
      <w:r w:rsidR="000A3268">
        <w:rPr>
          <w:b/>
          <w:bCs/>
        </w:rPr>
        <w:t>C</w:t>
      </w:r>
      <w:r w:rsidR="000A3268" w:rsidRPr="009A2EB3">
        <w:rPr>
          <w:b/>
          <w:bCs/>
        </w:rPr>
        <w:t>limate</w:t>
      </w:r>
      <w:r w:rsidR="000A3268">
        <w:rPr>
          <w:b/>
          <w:bCs/>
        </w:rPr>
        <w:t>.</w:t>
      </w:r>
      <w:bookmarkEnd w:id="10"/>
      <w:r w:rsidR="000A3268">
        <w:t xml:space="preserve"> </w:t>
      </w:r>
      <w:r w:rsidR="50D91AD8">
        <w:t>All c</w:t>
      </w:r>
      <w:r w:rsidR="7CBE2B20">
        <w:t xml:space="preserve">limate and </w:t>
      </w:r>
      <w:r w:rsidR="50D91AD8">
        <w:t>habit</w:t>
      </w:r>
      <w:r w:rsidR="391E5300">
        <w:t>at</w:t>
      </w:r>
      <w:r w:rsidR="50D91AD8">
        <w:t xml:space="preserve"> covariates modif</w:t>
      </w:r>
      <w:r w:rsidR="007E08DA">
        <w:t>ied</w:t>
      </w:r>
      <w:r w:rsidR="50D91AD8">
        <w:t xml:space="preserve"> the relationship </w:t>
      </w:r>
      <w:r w:rsidR="007E08DA">
        <w:t>between pinyon jay abundance and</w:t>
      </w:r>
      <w:r w:rsidR="50D91AD8">
        <w:t xml:space="preserve"> pinyon seed availability (significant interaction effects</w:t>
      </w:r>
      <w:r w:rsidR="0035031D">
        <w:t xml:space="preserve">; </w:t>
      </w:r>
      <w:r w:rsidR="4B2301A3">
        <w:t>Figure 3)</w:t>
      </w:r>
      <w:r w:rsidR="50D91AD8">
        <w:t xml:space="preserve">. The interaction effects indicate that </w:t>
      </w:r>
      <w:r w:rsidR="0E088529">
        <w:t>the relationship between pinyon jay abundance and cone availability was stronge</w:t>
      </w:r>
      <w:r w:rsidR="0F152E20">
        <w:t>st</w:t>
      </w:r>
      <w:r w:rsidR="0E088529">
        <w:t xml:space="preserve"> </w:t>
      </w:r>
      <w:r w:rsidR="50D91AD8">
        <w:t>(more positive) under wet</w:t>
      </w:r>
      <w:r w:rsidR="00564C09">
        <w:t>ter</w:t>
      </w:r>
      <w:r w:rsidR="50D91AD8">
        <w:t xml:space="preserve"> conditions (</w:t>
      </w:r>
      <w:r w:rsidR="0E088529">
        <w:t>higher precipitation</w:t>
      </w:r>
      <w:r w:rsidR="50D91AD8">
        <w:t xml:space="preserve">; </w:t>
      </w:r>
      <w:r w:rsidR="0035031D">
        <w:t xml:space="preserve">interaction effect, </w:t>
      </w:r>
      <w:r w:rsidR="50D91AD8" w:rsidRPr="0F72CF47">
        <w:rPr>
          <w:rFonts w:ascii="Symbol" w:eastAsia="Symbol" w:hAnsi="Symbol" w:cs="Symbol"/>
        </w:rPr>
        <w:t>a</w:t>
      </w:r>
      <w:r w:rsidR="2FB2BA6B" w:rsidRPr="0F72CF47">
        <w:rPr>
          <w:vertAlign w:val="subscript"/>
        </w:rPr>
        <w:t>8</w:t>
      </w:r>
      <w:r w:rsidR="50D91AD8">
        <w:t xml:space="preserve"> </w:t>
      </w:r>
      <w:r w:rsidR="0E088529">
        <w:t>= 0.60 [0.56, 0.66])</w:t>
      </w:r>
      <w:r w:rsidR="50D91AD8">
        <w:t>, hot</w:t>
      </w:r>
      <w:r w:rsidR="00564C09">
        <w:t>ter</w:t>
      </w:r>
      <w:r w:rsidR="50D91AD8">
        <w:t xml:space="preserve"> conditions (higher </w:t>
      </w:r>
      <w:r w:rsidR="0E088529">
        <w:t xml:space="preserve">maximum </w:t>
      </w:r>
      <w:r w:rsidR="0E088529">
        <w:lastRenderedPageBreak/>
        <w:t>temperature</w:t>
      </w:r>
      <w:r w:rsidR="50D91AD8">
        <w:t xml:space="preserve">; </w:t>
      </w:r>
      <w:r w:rsidR="50D91AD8" w:rsidRPr="0F72CF47">
        <w:rPr>
          <w:rFonts w:ascii="Symbol" w:eastAsia="Symbol" w:hAnsi="Symbol" w:cs="Symbol"/>
        </w:rPr>
        <w:t>a</w:t>
      </w:r>
      <w:r w:rsidR="2FB2BA6B" w:rsidRPr="0F72CF47">
        <w:rPr>
          <w:vertAlign w:val="subscript"/>
        </w:rPr>
        <w:t>9</w:t>
      </w:r>
      <w:r w:rsidR="50D91AD8">
        <w:t xml:space="preserve"> = 0</w:t>
      </w:r>
      <w:r w:rsidR="0E088529">
        <w:t>.37 [0.33, 0.40])</w:t>
      </w:r>
      <w:r w:rsidR="50D91AD8">
        <w:t>, in sparse</w:t>
      </w:r>
      <w:r w:rsidR="00564C09">
        <w:t>r</w:t>
      </w:r>
      <w:r w:rsidR="50D91AD8">
        <w:t xml:space="preserve"> woodlands (lower pinyon basal area; </w:t>
      </w:r>
      <w:r w:rsidR="50D91AD8" w:rsidRPr="0F72CF47">
        <w:rPr>
          <w:rFonts w:ascii="Symbol" w:eastAsia="Symbol" w:hAnsi="Symbol" w:cs="Symbol"/>
        </w:rPr>
        <w:t>a</w:t>
      </w:r>
      <w:r w:rsidR="49A05A02" w:rsidRPr="0F72CF47">
        <w:rPr>
          <w:vertAlign w:val="subscript"/>
        </w:rPr>
        <w:t>7</w:t>
      </w:r>
      <w:r w:rsidR="0E088529">
        <w:t xml:space="preserve"> = -0.12 [-0.14, -0.11])</w:t>
      </w:r>
      <w:r w:rsidR="50D91AD8">
        <w:t xml:space="preserve">, and in sites defined by lower or weaker </w:t>
      </w:r>
      <w:proofErr w:type="spellStart"/>
      <w:r w:rsidR="0E088529">
        <w:t>monsoonality</w:t>
      </w:r>
      <w:proofErr w:type="spellEnd"/>
      <w:r w:rsidR="0E088529">
        <w:t xml:space="preserve"> (</w:t>
      </w:r>
      <w:r w:rsidR="50D91AD8" w:rsidRPr="0F72CF47">
        <w:rPr>
          <w:rFonts w:ascii="Symbol" w:eastAsia="Symbol" w:hAnsi="Symbol" w:cs="Symbol"/>
        </w:rPr>
        <w:t>a</w:t>
      </w:r>
      <w:r w:rsidR="49A05A02" w:rsidRPr="0F72CF47">
        <w:rPr>
          <w:vertAlign w:val="subscript"/>
        </w:rPr>
        <w:t>6</w:t>
      </w:r>
      <w:r w:rsidR="50D91AD8">
        <w:t xml:space="preserve"> </w:t>
      </w:r>
      <w:r w:rsidR="0E088529">
        <w:t>= -0.21 [-0.25, -0.19]</w:t>
      </w:r>
      <w:r w:rsidR="42E936E9">
        <w:t>; Figure 5</w:t>
      </w:r>
      <w:r w:rsidR="0E088529">
        <w:t>).</w:t>
      </w:r>
      <w:r w:rsidR="12AF3BD9">
        <w:t xml:space="preserve"> In summary, pinyon jays more closely track cone abundance </w:t>
      </w:r>
      <w:r w:rsidR="6F778787">
        <w:t xml:space="preserve">during unseasonably </w:t>
      </w:r>
      <w:r w:rsidR="12AF3BD9">
        <w:t xml:space="preserve">wet and hot </w:t>
      </w:r>
      <w:r w:rsidR="0035031D">
        <w:t>periods</w:t>
      </w:r>
      <w:r w:rsidR="007E08DA">
        <w:t xml:space="preserve">, which are </w:t>
      </w:r>
      <w:r w:rsidR="0035031D">
        <w:t xml:space="preserve">also </w:t>
      </w:r>
      <w:r w:rsidR="007E08DA">
        <w:t>conditions that decrease jay abundance</w:t>
      </w:r>
      <w:r w:rsidR="00564C09">
        <w:t xml:space="preserve"> (see their negative main effects, Figure 3)</w:t>
      </w:r>
      <w:r w:rsidR="12AF3BD9">
        <w:t>. Conversely, pinyon jays have a weaker dependence on cone abundance in areas with more pinyon basal area and monsoon</w:t>
      </w:r>
      <w:r w:rsidR="2831CF70">
        <w:t>al</w:t>
      </w:r>
      <w:r w:rsidR="12AF3BD9">
        <w:t xml:space="preserve"> moisture</w:t>
      </w:r>
      <w:r w:rsidR="007E08DA">
        <w:t>, which are conditions that increase jay abundance (</w:t>
      </w:r>
      <w:r w:rsidR="0035031D">
        <w:t xml:space="preserve">see </w:t>
      </w:r>
      <w:r w:rsidR="00564C09">
        <w:t xml:space="preserve">positive </w:t>
      </w:r>
      <w:r w:rsidR="007E08DA">
        <w:t>main effects, Figure 3)</w:t>
      </w:r>
      <w:r w:rsidR="12AF3BD9">
        <w:t xml:space="preserve">. </w:t>
      </w:r>
    </w:p>
    <w:p w14:paraId="6B83AEBB" w14:textId="14AE1C1A" w:rsidR="00A065AD" w:rsidRPr="009A2EB3" w:rsidRDefault="00A63129" w:rsidP="00D351AD">
      <w:pPr>
        <w:pStyle w:val="Heading1"/>
        <w:spacing w:before="180" w:after="180"/>
        <w:rPr>
          <w:sz w:val="28"/>
          <w:szCs w:val="28"/>
        </w:rPr>
      </w:pPr>
      <w:r w:rsidRPr="009A2EB3">
        <w:rPr>
          <w:sz w:val="28"/>
          <w:szCs w:val="28"/>
        </w:rPr>
        <w:t>Discussion</w:t>
      </w:r>
    </w:p>
    <w:p w14:paraId="41F6347B" w14:textId="21992D6A" w:rsidR="00B10674" w:rsidRDefault="1DB6BCC1" w:rsidP="009A2EB3">
      <w:pPr>
        <w:pStyle w:val="BodyText"/>
        <w:spacing w:before="0" w:after="0"/>
      </w:pPr>
      <w:r>
        <w:t xml:space="preserve">In this study, we demonstrate that </w:t>
      </w:r>
      <w:r w:rsidR="0CB181C2">
        <w:t>the link between</w:t>
      </w:r>
      <w:r w:rsidR="7FD49370">
        <w:t xml:space="preserve"> </w:t>
      </w:r>
      <w:r w:rsidR="007E6A97">
        <w:t xml:space="preserve">pinyon jay abundance and </w:t>
      </w:r>
      <w:r w:rsidR="7FD49370">
        <w:t>pinyon pine</w:t>
      </w:r>
      <w:r w:rsidR="0CB181C2">
        <w:t xml:space="preserve"> seed availability is key </w:t>
      </w:r>
      <w:r w:rsidR="0035031D">
        <w:t>to</w:t>
      </w:r>
      <w:r w:rsidR="0CB181C2">
        <w:t xml:space="preserve"> understanding </w:t>
      </w:r>
      <w:r w:rsidR="7FD49370">
        <w:t xml:space="preserve">pinyon jay </w:t>
      </w:r>
      <w:r w:rsidR="0CB181C2">
        <w:t xml:space="preserve">population trends. </w:t>
      </w:r>
      <w:r w:rsidR="6B9E0E99">
        <w:t>As expected</w:t>
      </w:r>
      <w:r w:rsidR="7FD49370">
        <w:t xml:space="preserve">, we observed </w:t>
      </w:r>
      <w:r w:rsidR="0B3BFF21">
        <w:t xml:space="preserve">a positive relationship between </w:t>
      </w:r>
      <w:r w:rsidR="0035031D">
        <w:t xml:space="preserve">bird abundance and </w:t>
      </w:r>
      <w:r w:rsidR="0B3BFF21">
        <w:t xml:space="preserve">cone </w:t>
      </w:r>
      <w:r w:rsidR="0035031D">
        <w:t>(or seed) availability</w:t>
      </w:r>
      <w:r w:rsidR="7FD49370">
        <w:t xml:space="preserve">. </w:t>
      </w:r>
      <w:r w:rsidR="007E6A97">
        <w:t xml:space="preserve">Pinyon jays </w:t>
      </w:r>
      <w:r w:rsidR="0CB181C2">
        <w:t xml:space="preserve">exhibited temporal relationships with cone availability in support of two hypotheses </w:t>
      </w:r>
      <w:r w:rsidR="007E6A97">
        <w:t xml:space="preserve">describing </w:t>
      </w:r>
      <w:r w:rsidR="0CB181C2">
        <w:t xml:space="preserve">behavior and reproduction in this species. Specifically, birds aggregate near sites where they cached </w:t>
      </w:r>
      <w:r w:rsidR="007E6A97">
        <w:t xml:space="preserve">(buried) </w:t>
      </w:r>
      <w:r w:rsidR="00443C58">
        <w:t>s</w:t>
      </w:r>
      <w:r w:rsidR="0CB181C2">
        <w:t xml:space="preserve">eeds produced during the previous fall (“immediate” response) and the legacy of population boons from masting years can be observed up to three years after </w:t>
      </w:r>
      <w:r w:rsidR="007E6A97">
        <w:t xml:space="preserve">high </w:t>
      </w:r>
      <w:r w:rsidR="0CB181C2">
        <w:t xml:space="preserve">seed production </w:t>
      </w:r>
      <w:r w:rsidR="007E6A97">
        <w:t xml:space="preserve">year </w:t>
      </w:r>
      <w:r w:rsidR="0CB181C2">
        <w:t xml:space="preserve">(“delayed” response, Figure 2). </w:t>
      </w:r>
      <w:r w:rsidR="0B3BFF21">
        <w:t xml:space="preserve">Furthermore, </w:t>
      </w:r>
      <w:r w:rsidR="0AB804DF">
        <w:t xml:space="preserve">we found that </w:t>
      </w:r>
      <w:r w:rsidR="0B3BFF21">
        <w:t>t</w:t>
      </w:r>
      <w:r w:rsidR="1F854AD9">
        <w:t>he</w:t>
      </w:r>
      <w:r w:rsidR="0BC8729F">
        <w:t xml:space="preserve"> relationship between pinyon jay abundance and seed availability is mediated by </w:t>
      </w:r>
      <w:r w:rsidR="7FD49370">
        <w:t>habitat and climate</w:t>
      </w:r>
      <w:r w:rsidR="6145B4FE">
        <w:t xml:space="preserve">. </w:t>
      </w:r>
      <w:r w:rsidR="0BC8729F">
        <w:t xml:space="preserve">These interactive relationships suggest </w:t>
      </w:r>
      <w:r w:rsidR="0EF53AAA">
        <w:t xml:space="preserve">two ecological mediators of the jay-seed dependency: birds </w:t>
      </w:r>
      <w:r w:rsidR="007E6A97">
        <w:t>are more reliant</w:t>
      </w:r>
      <w:r w:rsidR="0EF53AAA">
        <w:t xml:space="preserve"> on </w:t>
      </w:r>
      <w:r w:rsidR="007E6A97">
        <w:t xml:space="preserve">pinyon </w:t>
      </w:r>
      <w:r w:rsidR="0EF53AAA">
        <w:t xml:space="preserve">seeds </w:t>
      </w:r>
      <w:r w:rsidR="0BC8729F">
        <w:t>following “stressful” climatic conditions during the nesting season and</w:t>
      </w:r>
      <w:r w:rsidR="0EF53AAA">
        <w:t xml:space="preserve"> </w:t>
      </w:r>
      <w:r w:rsidR="007E6A97">
        <w:t>less reliant</w:t>
      </w:r>
      <w:r w:rsidR="0EF53AAA">
        <w:t xml:space="preserve"> on </w:t>
      </w:r>
      <w:r w:rsidR="007E6A97">
        <w:t xml:space="preserve">pinyon </w:t>
      </w:r>
      <w:r w:rsidR="0EF53AAA">
        <w:t>seeds</w:t>
      </w:r>
      <w:r w:rsidR="0BC8729F">
        <w:t xml:space="preserve"> in more “suitable” habitat. </w:t>
      </w:r>
      <w:r w:rsidR="0CB181C2">
        <w:t>While climate is clearly a</w:t>
      </w:r>
      <w:r w:rsidR="0EF53AAA">
        <w:t xml:space="preserve"> strong </w:t>
      </w:r>
      <w:r w:rsidR="0CB181C2">
        <w:t>proxima</w:t>
      </w:r>
      <w:r w:rsidR="0EF53AAA">
        <w:t>te</w:t>
      </w:r>
      <w:r w:rsidR="0CB181C2">
        <w:t xml:space="preserve"> driver of population abundance in </w:t>
      </w:r>
      <w:r w:rsidR="7FD49370">
        <w:t>pinyon jays</w:t>
      </w:r>
      <w:r w:rsidR="0CB181C2">
        <w:t xml:space="preserve">, </w:t>
      </w:r>
      <w:r w:rsidR="007E6A97">
        <w:t>dependence upon</w:t>
      </w:r>
      <w:r w:rsidR="0CB181C2">
        <w:t xml:space="preserve"> </w:t>
      </w:r>
      <w:r w:rsidR="1C0E4786">
        <w:t xml:space="preserve">pinyon pine </w:t>
      </w:r>
      <w:r w:rsidR="7FD49370">
        <w:t>seed availability</w:t>
      </w:r>
      <w:r w:rsidR="0CB181C2">
        <w:t xml:space="preserve"> is </w:t>
      </w:r>
      <w:r w:rsidR="3E52C3D5">
        <w:t xml:space="preserve">of </w:t>
      </w:r>
      <w:r w:rsidR="0EF53AAA">
        <w:t>comparable</w:t>
      </w:r>
      <w:r w:rsidR="3E52C3D5">
        <w:t xml:space="preserve"> importance</w:t>
      </w:r>
      <w:r w:rsidR="0EF53AAA">
        <w:t xml:space="preserve"> to climate. </w:t>
      </w:r>
      <w:r w:rsidR="007E6A97">
        <w:t xml:space="preserve">This tight biotic interaction (pinyon jays and </w:t>
      </w:r>
      <w:r w:rsidR="007E6A97">
        <w:lastRenderedPageBreak/>
        <w:t>pinyon seeds) is likely an important factor underlying contemporary declines in</w:t>
      </w:r>
      <w:r w:rsidR="31F7DBEB">
        <w:t xml:space="preserve"> pinyon jay</w:t>
      </w:r>
      <w:r w:rsidR="007E6A97">
        <w:t xml:space="preserve"> populations that have been occurring in tandem with </w:t>
      </w:r>
      <w:r w:rsidR="31F7DBEB">
        <w:t xml:space="preserve">declines in pinyon cone production </w:t>
      </w:r>
      <w:r w:rsidR="00662164">
        <w:fldChar w:fldCharType="begin"/>
      </w:r>
      <w:r w:rsidR="007E08DA">
        <w:instrText xml:space="preserve"> ADDIN ZOTERO_ITEM CSL_CITATION {"citationID":"gYufm6Tp","properties":{"formattedCitation":"(Redmond et al., 2012; Wion et al., 2025)","plainCitation":"(Redmond et al., 2012; Wion et al., 2025)","noteIndex":0},"citationItems":[{"id":2972,"uris":["http://zotero.org/groups/5634119/items/7M2FKU8S"],"itemData":{"id":2972,"type":"article-journal","abstract":"Global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62164">
        <w:fldChar w:fldCharType="separate"/>
      </w:r>
      <w:r w:rsidR="007E08DA">
        <w:rPr>
          <w:noProof/>
        </w:rPr>
        <w:t>(Redmond et al., 2012; Wion et al., 2025)</w:t>
      </w:r>
      <w:r w:rsidR="00662164">
        <w:fldChar w:fldCharType="end"/>
      </w:r>
      <w:r w:rsidR="007E6A97">
        <w:t>. As</w:t>
      </w:r>
      <w:r w:rsidR="0CB181C2">
        <w:t xml:space="preserve"> the pinyon pine-pinyon jay system continues to change,</w:t>
      </w:r>
      <w:r w:rsidR="0B3BFF21">
        <w:t xml:space="preserve"> </w:t>
      </w:r>
      <w:r w:rsidR="0153D0CA">
        <w:t>incorporating</w:t>
      </w:r>
      <w:r w:rsidR="5286A4F7">
        <w:t xml:space="preserve"> interac</w:t>
      </w:r>
      <w:r w:rsidR="5BFC726F">
        <w:t>tions</w:t>
      </w:r>
      <w:r w:rsidR="0CB181C2">
        <w:t xml:space="preserve"> between these species into </w:t>
      </w:r>
      <w:r w:rsidR="01843E9D">
        <w:t>population models</w:t>
      </w:r>
      <w:r w:rsidR="0CB181C2">
        <w:t xml:space="preserve"> will be key for identifying conservation priorities</w:t>
      </w:r>
      <w:r w:rsidR="008F6893">
        <w:t>.</w:t>
      </w:r>
    </w:p>
    <w:p w14:paraId="4B2C871D" w14:textId="085CDFDA" w:rsidR="002E21C0" w:rsidRDefault="007E6A97" w:rsidP="009A2EB3">
      <w:pPr>
        <w:pStyle w:val="BodyText"/>
      </w:pPr>
      <w:r>
        <w:rPr>
          <w:b/>
          <w:bCs/>
        </w:rPr>
        <w:t>I</w:t>
      </w:r>
      <w:r w:rsidRPr="009A2EB3">
        <w:rPr>
          <w:b/>
          <w:bCs/>
        </w:rPr>
        <w:t xml:space="preserve">mmediate </w:t>
      </w:r>
      <w:r w:rsidR="001E115E" w:rsidRPr="009A2EB3">
        <w:rPr>
          <w:b/>
          <w:bCs/>
        </w:rPr>
        <w:t xml:space="preserve">and </w:t>
      </w:r>
      <w:r>
        <w:rPr>
          <w:b/>
          <w:bCs/>
        </w:rPr>
        <w:t>D</w:t>
      </w:r>
      <w:r w:rsidRPr="009A2EB3">
        <w:rPr>
          <w:b/>
          <w:bCs/>
        </w:rPr>
        <w:t xml:space="preserve">elayed </w:t>
      </w:r>
      <w:r>
        <w:rPr>
          <w:b/>
          <w:bCs/>
        </w:rPr>
        <w:t>R</w:t>
      </w:r>
      <w:r w:rsidRPr="009A2EB3">
        <w:rPr>
          <w:b/>
          <w:bCs/>
        </w:rPr>
        <w:t xml:space="preserve">esponses </w:t>
      </w:r>
      <w:r>
        <w:rPr>
          <w:b/>
          <w:bCs/>
        </w:rPr>
        <w:t xml:space="preserve">of Jays </w:t>
      </w:r>
      <w:r w:rsidR="001E115E" w:rsidRPr="009A2EB3">
        <w:rPr>
          <w:b/>
          <w:bCs/>
        </w:rPr>
        <w:t xml:space="preserve">to </w:t>
      </w:r>
      <w:r>
        <w:rPr>
          <w:b/>
          <w:bCs/>
        </w:rPr>
        <w:t>C</w:t>
      </w:r>
      <w:r w:rsidRPr="009A2EB3">
        <w:rPr>
          <w:b/>
          <w:bCs/>
        </w:rPr>
        <w:t xml:space="preserve">one </w:t>
      </w:r>
      <w:r>
        <w:rPr>
          <w:b/>
          <w:bCs/>
        </w:rPr>
        <w:t>A</w:t>
      </w:r>
      <w:r w:rsidRPr="009A2EB3">
        <w:rPr>
          <w:b/>
          <w:bCs/>
        </w:rPr>
        <w:t>vailability</w:t>
      </w:r>
      <w:r>
        <w:rPr>
          <w:b/>
          <w:bCs/>
        </w:rPr>
        <w:t xml:space="preserve">. </w:t>
      </w:r>
      <w:r w:rsidR="3E52C3D5">
        <w:t xml:space="preserve">Populations of seed dispersers and predators have various temporal responses to seed availability </w:t>
      </w:r>
      <w:r w:rsidR="002E21C0">
        <w:fldChar w:fldCharType="begin"/>
      </w:r>
      <w:r w:rsidR="002E21C0">
        <w:instrText xml:space="preserve"> ADDIN ZOTERO_ITEM CSL_CITATION {"citationID":"6azbzg2h","properties":{"formattedCitation":"(Bergeron et al., 2011; Boutin et al., 2006; Fietz et al., 2009)","plainCitation":"(Bergeron et al., 2011; Boutin et al., 2006; Fietz et al., 2009)","dontUpdate":true,"noteIndex":0},"citationItems":[{"id":2983,"uris":["http://zotero.org/groups/5634119/items/JHIYW3CU"],"itemData":{"id":2983,"type":"article-journal","abstract":"Mast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M."},{"family":"Garant","given":"Dany"}],"issued":{"date-parts":[["2011",11]]}}},{"id":3039,"uris":["http://zotero.org/users/6391447/items/6BQYI7CS"],"itemData":{"id":3039,"type":"article-journal","container-title":"Journal of Comparative Physiology B","DOI":"10.1007/s00360-009-0364-2","ISSN":"0174-1578, 1432-136X","issue":"7","journalAbbreviation":"J Comp Physiol B","language":"en","license":"http://www.springer.com/tdm","page":"829-837","source":"DOI.org (Crossref)","title":"Is energy supply the trigger for reproductive activity in male edible dormice (Glis glis)?","volume":"179","author":[{"family":"Fietz","given":"Joanna"},{"family":"Kager","given":"Timo"},{"family":"Schauer","given":"Sebastian"}],"issued":{"date-parts":[["2009",10]]}}}],"schema":"https://github.com/citation-style-language/schema/raw/master/csl-citation.json"} </w:instrText>
      </w:r>
      <w:r w:rsidR="002E21C0">
        <w:fldChar w:fldCharType="separate"/>
      </w:r>
      <w:r w:rsidR="3E52C3D5" w:rsidRPr="0F72CF47">
        <w:rPr>
          <w:noProof/>
        </w:rPr>
        <w:t xml:space="preserve">("anticipatory": Bergeron et al., 2011; Boutin et al., 2006; Fietz et al., 2009; "immediate" and "delayed": </w:t>
      </w:r>
      <w:r w:rsidR="3E52C3D5" w:rsidRPr="0F72CF47">
        <w:rPr>
          <w:rFonts w:cs="Times New Roman"/>
        </w:rPr>
        <w:t>Lindén et al., 2011; Schnurr et al., 2002; Selonen et al., 2015</w:t>
      </w:r>
      <w:r w:rsidR="3E52C3D5" w:rsidRPr="0F72CF47">
        <w:rPr>
          <w:noProof/>
        </w:rPr>
        <w:t>)</w:t>
      </w:r>
      <w:r w:rsidR="002E21C0">
        <w:fldChar w:fldCharType="end"/>
      </w:r>
      <w:r w:rsidR="3E52C3D5">
        <w:t xml:space="preserve">. Understanding which of these relationships shape seed disperser population responses is </w:t>
      </w:r>
      <w:r>
        <w:t>central to identifying</w:t>
      </w:r>
      <w:r w:rsidR="3E52C3D5">
        <w:t xml:space="preserve"> conservation strategies</w:t>
      </w:r>
      <w:r w:rsidR="766389F7">
        <w:t>, such as managing for or conserving critical habitat elements</w:t>
      </w:r>
      <w:r w:rsidR="3E52C3D5">
        <w:t xml:space="preserve">. In this case, we </w:t>
      </w:r>
      <w:r w:rsidR="77C80E12">
        <w:t>observed larger aggregations of pinyon jays</w:t>
      </w:r>
      <w:r w:rsidR="3E52C3D5">
        <w:t xml:space="preserve"> in the spring breeding</w:t>
      </w:r>
      <w:r w:rsidR="671EFE87">
        <w:t xml:space="preserve"> </w:t>
      </w:r>
      <w:r w:rsidR="3E52C3D5">
        <w:t xml:space="preserve">season </w:t>
      </w:r>
      <w:r w:rsidR="4FC66E07">
        <w:t xml:space="preserve">following </w:t>
      </w:r>
      <w:r>
        <w:t xml:space="preserve">pinyon pine </w:t>
      </w:r>
      <w:r w:rsidR="4FC66E07">
        <w:t xml:space="preserve">mast years, likely because </w:t>
      </w:r>
      <w:proofErr w:type="spellStart"/>
      <w:r w:rsidR="4FC66E07">
        <w:t>birds</w:t>
      </w:r>
      <w:proofErr w:type="spellEnd"/>
      <w:r w:rsidR="4FC66E07">
        <w:t xml:space="preserve"> nest near seed </w:t>
      </w:r>
      <w:r>
        <w:t xml:space="preserve">cache sites </w:t>
      </w:r>
      <w:r w:rsidR="002E21C0">
        <w:fldChar w:fldCharType="begin"/>
      </w:r>
      <w:r w:rsidR="00EC0CE3">
        <w:instrText xml:space="preserve"> ADDIN ZOTERO_ITEM CSL_CITATION {"citationID":"6WYDHRuN","properties":{"formattedCitation":"(Marzluff &amp; Balda, 1992)","plainCitation":"(Marzluff &amp; Balda, 1992)","noteIndex":0},"citationItems":[{"id":3031,"uris":["http://zotero.org/users/6391447/items/ADY52QPF"],"itemData":{"id":3031,"type":"book","publisher":"T &amp; AD Poyser Ltd","publisher-place":"London","title":"The Pinyon Jay: Behavioral Ecology of a Colonial and Cooperative Corvid","author":[{"family":"Marzluff","given":""},{"family":"Balda","given":"Russell P"}],"issued":{"date-parts":[["1992"]]}}}],"schema":"https://github.com/citation-style-language/schema/raw/master/csl-citation.json"} </w:instrText>
      </w:r>
      <w:r w:rsidR="002E21C0">
        <w:fldChar w:fldCharType="separate"/>
      </w:r>
      <w:r w:rsidR="4FC66E07" w:rsidRPr="0F72CF47">
        <w:rPr>
          <w:noProof/>
        </w:rPr>
        <w:t>(Marzluff &amp; Balda, 1992)</w:t>
      </w:r>
      <w:r w:rsidR="002E21C0">
        <w:fldChar w:fldCharType="end"/>
      </w:r>
      <w:r w:rsidR="3E52C3D5">
        <w:t xml:space="preserve">. While </w:t>
      </w:r>
      <w:r w:rsidR="77C80E12">
        <w:t>the reproductive output of these aggregations is unmeasured</w:t>
      </w:r>
      <w:r w:rsidR="3E52C3D5">
        <w:t xml:space="preserve">, we </w:t>
      </w:r>
      <w:r w:rsidR="77C80E12">
        <w:t>observe</w:t>
      </w:r>
      <w:r>
        <w:t>d</w:t>
      </w:r>
      <w:r w:rsidR="3E52C3D5">
        <w:t xml:space="preserve"> a legacy</w:t>
      </w:r>
      <w:r w:rsidR="146726CC">
        <w:t xml:space="preserve"> effect</w:t>
      </w:r>
      <w:r w:rsidR="77C80E12">
        <w:t xml:space="preserve"> of masting</w:t>
      </w:r>
      <w:r w:rsidR="3E52C3D5">
        <w:t xml:space="preserve"> for the </w:t>
      </w:r>
      <w:r>
        <w:t xml:space="preserve">subsequent </w:t>
      </w:r>
      <w:r w:rsidR="3E52C3D5">
        <w:t>two breeding seasons</w:t>
      </w:r>
      <w:r w:rsidR="6FEDE6C8">
        <w:t>,</w:t>
      </w:r>
      <w:r w:rsidR="77C80E12">
        <w:t xml:space="preserve"> suggesting a </w:t>
      </w:r>
      <w:r w:rsidR="4FC66E07">
        <w:t>three-year</w:t>
      </w:r>
      <w:r w:rsidR="77C80E12">
        <w:t xml:space="preserve"> population increase</w:t>
      </w:r>
      <w:r w:rsidR="59A06263">
        <w:t xml:space="preserve"> in jays</w:t>
      </w:r>
      <w:r w:rsidR="77C80E12">
        <w:t xml:space="preserve"> following a masting event. </w:t>
      </w:r>
      <w:r w:rsidR="005A43F6">
        <w:t>We did not uncover an</w:t>
      </w:r>
      <w:r w:rsidR="3E52C3D5">
        <w:t xml:space="preserve"> “anticipatory” response to cone availability</w:t>
      </w:r>
      <w:r w:rsidR="005A43F6">
        <w:t>, which</w:t>
      </w:r>
      <w:r w:rsidR="3E52C3D5">
        <w:t xml:space="preserve"> goes against some published observations (e.g., </w:t>
      </w:r>
      <w:r w:rsidR="002E21C0">
        <w:fldChar w:fldCharType="begin"/>
      </w:r>
      <w:r w:rsidR="002E21C0">
        <w:instrText xml:space="preserve"> ADDIN ZOTERO_ITEM CSL_CITATION {"citationID":"1RPFgqVU","properties":{"formattedCitation":"(Ligon, 1973)","plainCitation":"(Ligon, 1973)","dontUpdate":true,"noteIndex":0},"citationItems":[{"id":42,"uris":["http://zotero.org/users/6391447/items/GTLZTBRN"],"itemData":{"id":42,"type":"article-journal","container-title":"The Auk","issue":"4","page":"862-869","title":"Foraging behavior of the white-headed woodpecker in Idaho","volume":"90","author":[{"family":"Ligon","given":"J. David"}],"issued":{"date-parts":[["1973"]]}}}],"schema":"https://github.com/citation-style-language/schema/raw/master/csl-citation.json"} </w:instrText>
      </w:r>
      <w:r w:rsidR="002E21C0">
        <w:fldChar w:fldCharType="separate"/>
      </w:r>
      <w:r w:rsidR="3E52C3D5" w:rsidRPr="0F72CF47">
        <w:rPr>
          <w:noProof/>
        </w:rPr>
        <w:t>Ligon, 1973)</w:t>
      </w:r>
      <w:r w:rsidR="002E21C0">
        <w:fldChar w:fldCharType="end"/>
      </w:r>
      <w:r w:rsidR="3E52C3D5">
        <w:t xml:space="preserve">. </w:t>
      </w:r>
      <w:r w:rsidR="65589FAE">
        <w:t>Pinyon cone maturation takes multiple years</w:t>
      </w:r>
      <w:r w:rsidR="604EDEE4">
        <w:t>,</w:t>
      </w:r>
      <w:r w:rsidR="65589FAE">
        <w:t xml:space="preserve"> and cones </w:t>
      </w:r>
      <w:r w:rsidR="1E2E19F3">
        <w:t>often</w:t>
      </w:r>
      <w:r w:rsidR="65589FAE">
        <w:t xml:space="preserve"> abort</w:t>
      </w:r>
      <w:r w:rsidR="77853E06">
        <w:t xml:space="preserve"> before maturity</w:t>
      </w:r>
      <w:r w:rsidR="65589FAE">
        <w:t xml:space="preserve"> </w:t>
      </w:r>
      <w:r w:rsidR="002E21C0">
        <w:fldChar w:fldCharType="begin"/>
      </w:r>
      <w:r w:rsidR="002E21C0">
        <w:instrText xml:space="preserve"> ADDIN ZOTERO_ITEM CSL_CITATION {"citationID":"4Wq78QD0","properties":{"formattedCitation":"(Parmenter et al., 2018)","plainCitation":"(Parmenter et al., 2018)","noteIndex":0},"citationItems":[{"id":2755,"uris":["http://zotero.org/groups/5634119/items/IJSSXJYX"],"itemData":{"id":2755,"type":"article-journal","abstract":"Abstract\n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rsidR="002E21C0">
        <w:fldChar w:fldCharType="separate"/>
      </w:r>
      <w:r w:rsidR="3E52C3D5" w:rsidRPr="0F72CF47">
        <w:rPr>
          <w:noProof/>
        </w:rPr>
        <w:t>(Parmenter et al., 2018)</w:t>
      </w:r>
      <w:r w:rsidR="002E21C0">
        <w:fldChar w:fldCharType="end"/>
      </w:r>
      <w:r w:rsidR="65589FAE">
        <w:t xml:space="preserve">. Thus, it may </w:t>
      </w:r>
      <w:r w:rsidR="005A43F6">
        <w:t>be</w:t>
      </w:r>
      <w:r w:rsidR="65589FAE">
        <w:t xml:space="preserve"> </w:t>
      </w:r>
      <w:r w:rsidR="005A43F6">
        <w:t>mal</w:t>
      </w:r>
      <w:r w:rsidR="65589FAE">
        <w:t>adaptive for jays to predict a seed year when visual cues are not reliable</w:t>
      </w:r>
      <w:r w:rsidR="3E52C3D5">
        <w:t>. In other systems where anticipatory responses have been observed (e.g., red squirrels in both North America and Europe</w:t>
      </w:r>
      <w:r w:rsidR="005A43F6">
        <w:t xml:space="preserve"> in response to seeds production of </w:t>
      </w:r>
      <w:r w:rsidR="3E52C3D5">
        <w:t xml:space="preserve">multiple </w:t>
      </w:r>
      <w:r w:rsidR="3E52C3D5">
        <w:t xml:space="preserve">tree species, </w:t>
      </w:r>
      <w:r w:rsidR="002E21C0">
        <w:fldChar w:fldCharType="begin"/>
      </w:r>
      <w:r w:rsidR="00C957C2">
        <w:instrText xml:space="preserve"> ADDIN ZOTERO_ITEM CSL_CITATION {"citationID":"dq2eWUJL","properties":{"formattedCitation":"(Boutin et al., 2006)","plainCitation":"(Boutin et al., 2006)","dontUpdate":true,"noteIndex":0},"citationItems":[{"id":2983,"uris":["http://zotero.org/groups/5634119/items/JHIYW3CU"],"itemData":{"id":2983,"type":"article-journal","abstract":"Mast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A."}],"issued":{"date-parts":[["2006",12,22]]}}}],"schema":"https://github.com/citation-style-language/schema/raw/master/csl-citation.json"} </w:instrText>
      </w:r>
      <w:r w:rsidR="002E21C0">
        <w:fldChar w:fldCharType="separate"/>
      </w:r>
      <w:r w:rsidR="3E52C3D5" w:rsidRPr="0F72CF47">
        <w:rPr>
          <w:noProof/>
        </w:rPr>
        <w:t>Boutin et al., 2006)</w:t>
      </w:r>
      <w:r w:rsidR="002E21C0">
        <w:fldChar w:fldCharType="end"/>
      </w:r>
      <w:r w:rsidR="3E52C3D5">
        <w:t>, the anticipatory and synchronous responses are often reproductive, not behavioral. Thus, anticipatory or synchronous responses may be more likely in</w:t>
      </w:r>
      <w:r w:rsidR="65589FAE">
        <w:t xml:space="preserve"> systems where masting plants have </w:t>
      </w:r>
      <w:r w:rsidR="65589FAE">
        <w:lastRenderedPageBreak/>
        <w:t xml:space="preserve">more reliable visual cues for realized seed availability or where </w:t>
      </w:r>
      <w:r w:rsidR="3E52C3D5">
        <w:t xml:space="preserve">seed-eating species have more </w:t>
      </w:r>
      <w:r w:rsidR="00D8681D">
        <w:t>flexible</w:t>
      </w:r>
      <w:r w:rsidR="3E52C3D5">
        <w:t xml:space="preserve"> reproduction (e.g., rodents)</w:t>
      </w:r>
      <w:r w:rsidR="65589FAE">
        <w:t>.</w:t>
      </w:r>
    </w:p>
    <w:p w14:paraId="1225A10F" w14:textId="57B9B701" w:rsidR="00E255F5" w:rsidRDefault="00EB3D45" w:rsidP="00D8681D">
      <w:pPr>
        <w:pStyle w:val="BodyText"/>
      </w:pPr>
      <w:r w:rsidRPr="00D8681D">
        <w:rPr>
          <w:b/>
          <w:bCs/>
        </w:rPr>
        <w:t xml:space="preserve">Habitat and </w:t>
      </w:r>
      <w:r w:rsidR="005A43F6">
        <w:rPr>
          <w:b/>
          <w:bCs/>
        </w:rPr>
        <w:t>C</w:t>
      </w:r>
      <w:r w:rsidR="005A43F6" w:rsidRPr="00D8681D">
        <w:rPr>
          <w:b/>
          <w:bCs/>
        </w:rPr>
        <w:t xml:space="preserve">limate </w:t>
      </w:r>
      <w:r w:rsidR="005A43F6">
        <w:rPr>
          <w:b/>
          <w:bCs/>
        </w:rPr>
        <w:t>S</w:t>
      </w:r>
      <w:r w:rsidR="005A43F6" w:rsidRPr="00D8681D">
        <w:rPr>
          <w:b/>
          <w:bCs/>
        </w:rPr>
        <w:t xml:space="preserve">hape </w:t>
      </w:r>
      <w:r w:rsidRPr="00D8681D">
        <w:rPr>
          <w:b/>
          <w:bCs/>
        </w:rPr>
        <w:t xml:space="preserve">the </w:t>
      </w:r>
      <w:r w:rsidR="005A43F6">
        <w:rPr>
          <w:b/>
          <w:bCs/>
        </w:rPr>
        <w:t>R</w:t>
      </w:r>
      <w:r w:rsidR="005A43F6" w:rsidRPr="00D8681D">
        <w:rPr>
          <w:b/>
          <w:bCs/>
        </w:rPr>
        <w:t xml:space="preserve">elationship </w:t>
      </w:r>
      <w:r w:rsidR="005A43F6">
        <w:rPr>
          <w:b/>
          <w:bCs/>
        </w:rPr>
        <w:t>B</w:t>
      </w:r>
      <w:r w:rsidR="005A43F6" w:rsidRPr="00D8681D">
        <w:rPr>
          <w:b/>
          <w:bCs/>
        </w:rPr>
        <w:t xml:space="preserve">etween </w:t>
      </w:r>
      <w:r w:rsidR="005A43F6">
        <w:rPr>
          <w:b/>
          <w:bCs/>
        </w:rPr>
        <w:t>J</w:t>
      </w:r>
      <w:r w:rsidR="005A43F6" w:rsidRPr="00D8681D">
        <w:rPr>
          <w:b/>
          <w:bCs/>
        </w:rPr>
        <w:t xml:space="preserve">ays </w:t>
      </w:r>
      <w:r w:rsidRPr="00D8681D">
        <w:rPr>
          <w:b/>
          <w:bCs/>
        </w:rPr>
        <w:t xml:space="preserve">and </w:t>
      </w:r>
      <w:r w:rsidR="005A43F6">
        <w:rPr>
          <w:b/>
          <w:bCs/>
        </w:rPr>
        <w:t>P</w:t>
      </w:r>
      <w:r w:rsidR="005A43F6" w:rsidRPr="00D8681D">
        <w:rPr>
          <w:b/>
          <w:bCs/>
        </w:rPr>
        <w:t xml:space="preserve">inyon </w:t>
      </w:r>
      <w:r w:rsidR="005A43F6">
        <w:rPr>
          <w:b/>
          <w:bCs/>
        </w:rPr>
        <w:t>S</w:t>
      </w:r>
      <w:r w:rsidR="005A43F6" w:rsidRPr="00D8681D">
        <w:rPr>
          <w:b/>
          <w:bCs/>
        </w:rPr>
        <w:t>eeds.</w:t>
      </w:r>
      <w:r w:rsidR="005A43F6">
        <w:t xml:space="preserve"> </w:t>
      </w:r>
      <w:r w:rsidR="58F392EE">
        <w:t>In addition to the temporal legacies of cone availability, we also observed</w:t>
      </w:r>
      <w:r w:rsidR="1757D548">
        <w:t xml:space="preserve"> </w:t>
      </w:r>
      <w:r w:rsidR="58F392EE">
        <w:t xml:space="preserve">that the importance of seed availability to pinyon jay populations </w:t>
      </w:r>
      <w:r w:rsidR="5F5DD38F">
        <w:t xml:space="preserve">varies with environmental </w:t>
      </w:r>
      <w:r w:rsidR="58F392EE">
        <w:t>conditions</w:t>
      </w:r>
      <w:r w:rsidR="1757D548">
        <w:t xml:space="preserve">. </w:t>
      </w:r>
      <w:r w:rsidR="6F976DAF">
        <w:t>We found two predictable patterns</w:t>
      </w:r>
      <w:r w:rsidR="1757D548">
        <w:t xml:space="preserve"> in these dynamics. </w:t>
      </w:r>
      <w:r w:rsidR="6F976DAF">
        <w:t xml:space="preserve">First, jays rely more heavily on cones following climatic conditions that </w:t>
      </w:r>
      <w:r w:rsidR="3691EFA8">
        <w:t>are</w:t>
      </w:r>
      <w:r w:rsidR="6F976DAF">
        <w:t xml:space="preserve"> unfavorable for reproduction and population growth (Figure 5a, 5b) </w:t>
      </w:r>
      <w:r w:rsidR="002C2F27">
        <w:fldChar w:fldCharType="begin"/>
      </w:r>
      <w:r w:rsidR="00C957C2">
        <w:instrText xml:space="preserve"> ADDIN ZOTERO_ITEM CSL_CITATION {"citationID":"wCJt3ADZ","properties":{"formattedCitation":"(Ligon, 1978; Marzluff, 1988)","plainCitation":"(Ligon, 1978; Marzluff, 1988)","noteIndex":0},"citationItems":[{"id":2753,"uris":["http://zotero.org/groups/5634119/items/4RGGXF3K"],"itemData":{"id":2753,"type":"article-journal","abstract":"Pinon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David"}],"issued":{"date-parts":[["1978",3]]}}},{"id":2862,"uris":["http://zotero.org/groups/5634119/items/PYGWLTH3"],"itemData":{"id":2862,"type":"article-journal","container-title":"Animal Behaviour","DOI":"10.1016/s0003-3472(88)80244-6","ISSN":"0003-3472","issue":"1","language":"en","license":"https://www.elsevier.com/tdm/userlicense/1.0/","page":"1-10","publisher":"Elsevier BV","source":"Crossref","title":"Do pinyon jays alter nest placement based on prior experience?","volume":"36","author":[{"family":"Marzluff","given":"John M."}],"issued":{"date-parts":[["1988",2]]}}}],"schema":"https://github.com/citation-style-language/schema/raw/master/csl-citation.json"} </w:instrText>
      </w:r>
      <w:r w:rsidR="002C2F27">
        <w:fldChar w:fldCharType="separate"/>
      </w:r>
      <w:r w:rsidR="6F976DAF" w:rsidRPr="0F72CF47">
        <w:rPr>
          <w:noProof/>
        </w:rPr>
        <w:t>(Ligon, 1978; Marzluff, 1988)</w:t>
      </w:r>
      <w:r w:rsidR="002C2F27">
        <w:fldChar w:fldCharType="end"/>
      </w:r>
      <w:r w:rsidR="6F976DAF">
        <w:t xml:space="preserve">. Second, jays are less reliant on cones in areas with more favorable habitat (Figure 5c, 5d) </w:t>
      </w:r>
      <w:r w:rsidR="002C2F27">
        <w:fldChar w:fldCharType="begin"/>
      </w:r>
      <w:r w:rsidR="00C957C2">
        <w:instrText xml:space="preserve"> ADDIN ZOTERO_ITEM CSL_CITATION {"citationID":"RlgxL6Qz","properties":{"formattedCitation":"(Boone et al., 2018; Johnson et al., 2016; Ligon, 1978; Neilson &amp; Wullstein, 1983; Van Lanen et al., 2023)","plainCitation":"(Boone et al., 2018; Johnson et al., 2016; Ligon, 1978; Neilson &amp; Wullstein, 1983; Van Lanen et al., 2023)","noteIndex":0},"citationItems":[{"id":2748,"uris":["http://zotero.org/groups/5634119/items/YTCPHGE5"],"itemData":{"id":2748,"type":"chapter","abstract":"The Pinyon Jay (Gymnorhinus cyanocephalus) is closely associated with piñon–juniper woodlands in the Intermountain West and Southwest regions of the United States. It is of conservation concern, given it is one of the landbirds declining the fastest and most persistently in these regions, at an average rate of –3.6% from 1968 to 2015, according to the Breeding Bird Survey. Despite the population’s falling by &gt;50% over this period, the Pinyon Jay has not been widely studied, and little is known about the factors responsible for its diminishing numbers. Although the Pinyon Jay’s rate of decline exceeds that of the Greater SageGrouse (Centrocercus urophasianus)—a species targeted for significant conservation efforts—no comprehensive effort designed to benefit this jay has been implemented. Current management in Great Basin piñon–juniper woodlands includes removal of trees to create or protect shrublands for the benefit of sage-grouse and other sagebrush-associated wildlife, and southwestern piñon–juniper woodlands are being thinned for fuels reduction or management of other wildlife. The effect of these treatments on the Pinyon Jay and other piñon–juniper birds, however, has been little studied. Thus further research is needed to clarify the causes of the jay’s decline, develop habitat models for this and other piñon–juniper species, and devise approaches for management of piñon–juniper woodland that balance the interests of the Pinyon Jay and other species of concern, including the Greater Sage-Grouse.","container-title":"Trends and Traditions: Avifaunal Change in Western North America","DOI":"10.21199/SWB3.10","ISBN":"978-0-9790585-3-0","page":"190-197","publisher":"Western Field Ornithologists","source":"DOI.org (Crossref)","title":"Long-term declines in the Pinyon Jay and management implications for piñon–juniper woodlands","URL":"https://westernfieldornithologists.org/docs/2020/Avifaunal_Change/Boone/Boone-Avifaunal_Change.pdf","container-author":[{"family":"Shuford","given":"W. David"},{"family":"Gill","given":"Robert E."},{"family":"Handel","given":"Colleen M."}],"author":[{"family":"Boone","given":"John D."},{"family":"Ammon","given":"Elisabeth"},{"family":"Johnson","given":"Kristine"}],"accessed":{"date-parts":[["2024",10,10]]},"issued":{"date-parts":[["2018",9,1]]}}},{"id":2903,"uris":["http://zotero.org/groups/5634119/items/XYDLLE9X"],"itemData":{"id":2903,"type":"article-journal","container-title":"Avian Conservation and Ecology","DOI":"10.5751/ace-00890-110206","ISSN":"1712-6568","issue":"2","journalAbbreviation":"ACE","language":"en","publisher":"Resilience Alliance, Inc.","source":"Crossref","title":"Home range- and colony-scale habitat models for Pinyon Jays in piñon-juniper woodlands of New Mexico, USA","URL":"http://www.ace-eco.org/vol11/iss2/art6/","volume":"11","author":[{"family":"Johnson","given":"Kristine"},{"family":"Neville","given":"Teri B."},{"family":"Smith","given":"Jacqueline W."},{"family":"Horner","given":"Mark W."}],"accessed":{"date-parts":[["2025",7,16]]},"issued":{"date-parts":[["2016"]]}}},{"id":2753,"uris":["http://zotero.org/groups/5634119/items/4RGGXF3K"],"itemData":{"id":2753,"type":"article-journal","abstract":"Pinon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L."}],"issued":{"date-parts":[["2023",4]]}}},{"id":3003,"uris":["http://zotero.org/users/6391447/items/7P8TEDBC"],"itemData":{"id":3003,"type":"article-journal","container-title":"Journal of Biogeography","DOI":"10.2307/2844738","ISSN":"03050270","issue":"4","journalAbbreviation":"Journal of Biogeography","page":"275","source":"DOI.org (Crossref)","title":"Biogeography of Two Southwest American Oaks in Relation to Atmospheric Dynamics","volume":"10","author":[{"family":"Neilson","given":"R. P."},{"family":"Wullstein","given":"L. H."}],"issued":{"date-parts":[["1983",7]]}}}],"schema":"https://github.com/citation-style-language/schema/raw/master/csl-citation.json"} </w:instrText>
      </w:r>
      <w:r w:rsidR="002C2F27">
        <w:fldChar w:fldCharType="separate"/>
      </w:r>
      <w:r w:rsidR="6F976DAF" w:rsidRPr="0F72CF47">
        <w:rPr>
          <w:noProof/>
        </w:rPr>
        <w:t>(Boone et al., 2018; Johnson et al., 2016; Ligon, 1978; Neilson &amp; Wullstein, 1983; Van Lanen et al., 2023)</w:t>
      </w:r>
      <w:r w:rsidR="002C2F27">
        <w:fldChar w:fldCharType="end"/>
      </w:r>
      <w:r w:rsidR="006E14D9">
        <w:t>, as such areas are likely to support a greater diversity of food resources</w:t>
      </w:r>
      <w:r w:rsidR="00EC0CE3">
        <w:t xml:space="preserve"> (e.g., invertebrates in areas with higher monsoon moisture; </w:t>
      </w:r>
      <w:r w:rsidR="00EC0CE3">
        <w:fldChar w:fldCharType="begin"/>
      </w:r>
      <w:r w:rsidR="00EC0CE3">
        <w:instrText xml:space="preserve"> ADDIN ZOTERO_ITEM CSL_CITATION {"citationID":"qcPxPtcp","properties":{"formattedCitation":"(Branson, 2008)","plainCitation":"(Branson, 2008)","noteIndex":0},"citationItems":[{"id":2498,"uris":["http://zotero.org/users/6391447/items/VVC4E3XE"],"itemData":{"id":2498,"type":"article-journal","container-title":"Environmental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H."}],"issued":{"date-parts":[["2008",6,1]]}}}],"schema":"https://github.com/citation-style-language/schema/raw/master/csl-citation.json"} </w:instrText>
      </w:r>
      <w:r w:rsidR="00EC0CE3">
        <w:fldChar w:fldCharType="separate"/>
      </w:r>
      <w:r w:rsidR="00EC0CE3">
        <w:rPr>
          <w:noProof/>
        </w:rPr>
        <w:t>Branson, 2008)</w:t>
      </w:r>
      <w:r w:rsidR="00EC0CE3">
        <w:fldChar w:fldCharType="end"/>
      </w:r>
      <w:r w:rsidR="6F976DAF">
        <w:t xml:space="preserve">. </w:t>
      </w:r>
      <w:r w:rsidR="3691EFA8">
        <w:t>Project</w:t>
      </w:r>
      <w:r w:rsidR="49AEA974">
        <w:t>ions of future</w:t>
      </w:r>
      <w:r w:rsidR="3691EFA8">
        <w:t xml:space="preserve"> climate change in the </w:t>
      </w:r>
      <w:r w:rsidR="006E14D9">
        <w:t>s</w:t>
      </w:r>
      <w:r w:rsidR="3691EFA8">
        <w:t>outhwest</w:t>
      </w:r>
      <w:r w:rsidR="006E14D9">
        <w:t xml:space="preserve">ern </w:t>
      </w:r>
      <w:r w:rsidR="006E14D9" w:rsidRPr="00A01F05">
        <w:t>US</w:t>
      </w:r>
      <w:r w:rsidR="00A01F05" w:rsidRPr="00A01F05">
        <w:t>A</w:t>
      </w:r>
      <w:r w:rsidR="3691EFA8">
        <w:t xml:space="preserve"> </w:t>
      </w:r>
      <w:r w:rsidR="7B63924A">
        <w:t>suggest both</w:t>
      </w:r>
      <w:r w:rsidR="3691EFA8">
        <w:t xml:space="preserve"> increased</w:t>
      </w:r>
      <w:r w:rsidR="4E96AB7B">
        <w:t xml:space="preserve"> temperatures</w:t>
      </w:r>
      <w:r w:rsidR="3691EFA8">
        <w:t xml:space="preserve"> and</w:t>
      </w:r>
      <w:r w:rsidR="651FCE4F">
        <w:t xml:space="preserve"> more</w:t>
      </w:r>
      <w:r w:rsidR="3691EFA8">
        <w:t xml:space="preserve"> intense winter precipitation </w:t>
      </w:r>
      <w:r w:rsidR="002C2F27">
        <w:fldChar w:fldCharType="begin"/>
      </w:r>
      <w:r w:rsidR="00EC0CE3">
        <w:instrText xml:space="preserve"> ADDIN ZOTERO_ITEM CSL_CITATION {"citationID":"sw8rHzl5","properties":{"formattedCitation":"(Garfin et al., 2013)","plainCitation":"(Garfin et al., 2013)","noteIndex":0},"citationItems":[{"id":3149,"uris":["http://zotero.org/groups/5634119/items/U69K2EZF"],"itemData":{"id":3149,"type":"book","abstract":"Assessment of Climate Change in the Southwest United States, one of a series of regional reports prepared for the 2013 National Climate Assessment, is a landmark study in terms of its breadth and depth of coverage. Coordinated by the Southwest Climate Alliance--a consortium of researchers affiliated with the NOAA Regional Integrated Sciences and Assessments in the Southwest (California-Nevada Applications Program, Climate Assessment for the Southwest, Western Water Assessment) and the Department of the Interior Southwest Climate Science Center--the report blends the contributions of 120 experts in climate science, economics, ecology, engineering, geography, hydrology, planning, resource management, and other disciplines to provide the most comprehensive, and understandable, analysis to date about climate and its effects on the people and landscapes of Arizona, California, Colorado, Nevada, New Mexico, and Utah--including the U.S.- Mexico border region and the lands of Native Nations. What is the climate of the Southwest like today? What has it been like in the past, and how is it projected to change over the 21st century? How will that affect water resources, ecosystems, agricultural production, energy supply and delivery, transportation, human health, and a host of other areas? How vulnerable is the region to climate change? What else do we need to know about it, and how can we limit its adverse effects? This report addresses these and other questions, offering decision makers and stakeholders a substantial basis from which to make informed choices that will affect the well-being of the region's inhabitants in the decades to come","collection-title":"National Climate Assessment regional technical input report series","ISBN":"978-1-61091-446-8","language":"eng","number-of-pages":"506","publisher":"Island Press","publisher-place":"Washington, [DC]","source":"K10plus ISBN","title":"Assessment of climate change in southwest United States: a report prepared for the National Climate Assessment","title-short":"Assessment of climate change in southwest United States","editor":[{"family":"Garfin","given":"Gregg"},{"family":"Jardine","given":"Angela"},{"family":"Merideth","given":"Robert"},{"family":"Black","given":"Mary"},{"family":"LeRoy","given":"Sarah"}],"issued":{"date-parts":[["2013"]]}}}],"schema":"https://github.com/citation-style-language/schema/raw/master/csl-citation.json"} </w:instrText>
      </w:r>
      <w:r w:rsidR="002C2F27">
        <w:fldChar w:fldCharType="separate"/>
      </w:r>
      <w:r w:rsidR="3691EFA8" w:rsidRPr="0F72CF47">
        <w:rPr>
          <w:noProof/>
        </w:rPr>
        <w:t>(Garfin et al., 2013)</w:t>
      </w:r>
      <w:r w:rsidR="002C2F27">
        <w:fldChar w:fldCharType="end"/>
      </w:r>
      <w:r w:rsidR="651FCE4F">
        <w:t xml:space="preserve">. </w:t>
      </w:r>
      <w:r w:rsidR="00A01F05">
        <w:t xml:space="preserve">From the pinyon jay’s perspective, future climate conditions will likely be more </w:t>
      </w:r>
      <w:r w:rsidR="1757D548">
        <w:t>“stressful</w:t>
      </w:r>
      <w:r w:rsidR="00A01F05">
        <w:t>,</w:t>
      </w:r>
      <w:r w:rsidR="1757D548">
        <w:t xml:space="preserve">” </w:t>
      </w:r>
      <w:r w:rsidR="00A01F05">
        <w:t>making them more reliant on pinyon pine</w:t>
      </w:r>
      <w:r w:rsidR="6549146B">
        <w:t xml:space="preserve">, </w:t>
      </w:r>
      <w:r w:rsidR="00A01F05">
        <w:t>which are expected to continue to d</w:t>
      </w:r>
      <w:r w:rsidR="6549146B">
        <w:t>eclin</w:t>
      </w:r>
      <w:r w:rsidR="00A01F05">
        <w:t>e</w:t>
      </w:r>
      <w:r w:rsidR="3691EFA8">
        <w:t>.</w:t>
      </w:r>
      <w:r w:rsidR="00A01F05">
        <w:t xml:space="preserve"> This will likely exacerbate the downward trajectory of pinyon jays in the southwestern USA.</w:t>
      </w:r>
      <w:r w:rsidR="3691EFA8">
        <w:t xml:space="preserve"> </w:t>
      </w:r>
    </w:p>
    <w:p w14:paraId="09A51109" w14:textId="35FEE9B2" w:rsidR="008F6893" w:rsidRDefault="7793253A" w:rsidP="00D8681D">
      <w:pPr>
        <w:pStyle w:val="BodyText"/>
        <w:spacing w:before="0" w:after="0"/>
      </w:pPr>
      <w:r w:rsidRPr="00D8681D">
        <w:rPr>
          <w:b/>
          <w:bCs/>
        </w:rPr>
        <w:t xml:space="preserve">The </w:t>
      </w:r>
      <w:r w:rsidR="00A01F05">
        <w:rPr>
          <w:b/>
          <w:bCs/>
        </w:rPr>
        <w:t>S</w:t>
      </w:r>
      <w:r w:rsidR="00A01F05" w:rsidRPr="00D8681D">
        <w:rPr>
          <w:b/>
          <w:bCs/>
        </w:rPr>
        <w:t xml:space="preserve">tatus </w:t>
      </w:r>
      <w:r w:rsidRPr="00D8681D">
        <w:rPr>
          <w:b/>
          <w:bCs/>
        </w:rPr>
        <w:t xml:space="preserve">of the </w:t>
      </w:r>
      <w:r w:rsidR="00A01F05">
        <w:rPr>
          <w:b/>
          <w:bCs/>
        </w:rPr>
        <w:t>P</w:t>
      </w:r>
      <w:r w:rsidR="00A01F05" w:rsidRPr="00D8681D">
        <w:rPr>
          <w:b/>
          <w:bCs/>
        </w:rPr>
        <w:t xml:space="preserve">inyon </w:t>
      </w:r>
      <w:r w:rsidR="00A01F05">
        <w:rPr>
          <w:b/>
          <w:bCs/>
        </w:rPr>
        <w:t>J</w:t>
      </w:r>
      <w:r w:rsidR="00A01F05" w:rsidRPr="00D8681D">
        <w:rPr>
          <w:b/>
          <w:bCs/>
        </w:rPr>
        <w:t>ay</w:t>
      </w:r>
      <w:r w:rsidRPr="00D8681D">
        <w:rPr>
          <w:b/>
          <w:bCs/>
        </w:rPr>
        <w:t>–</w:t>
      </w:r>
      <w:r w:rsidR="00A01F05">
        <w:rPr>
          <w:b/>
          <w:bCs/>
        </w:rPr>
        <w:t>P</w:t>
      </w:r>
      <w:r w:rsidRPr="00D8681D">
        <w:rPr>
          <w:b/>
          <w:bCs/>
        </w:rPr>
        <w:t xml:space="preserve">inyon </w:t>
      </w:r>
      <w:r w:rsidR="00A01F05">
        <w:rPr>
          <w:b/>
          <w:bCs/>
        </w:rPr>
        <w:t>P</w:t>
      </w:r>
      <w:r w:rsidR="00A01F05" w:rsidRPr="00D8681D">
        <w:rPr>
          <w:b/>
          <w:bCs/>
        </w:rPr>
        <w:t xml:space="preserve">ine </w:t>
      </w:r>
      <w:r w:rsidR="00A01F05">
        <w:rPr>
          <w:b/>
          <w:bCs/>
        </w:rPr>
        <w:t>S</w:t>
      </w:r>
      <w:r w:rsidR="00A01F05" w:rsidRPr="00D8681D">
        <w:rPr>
          <w:b/>
          <w:bCs/>
        </w:rPr>
        <w:t>ystem</w:t>
      </w:r>
      <w:r w:rsidR="00A01F05">
        <w:rPr>
          <w:b/>
          <w:bCs/>
        </w:rPr>
        <w:t>.</w:t>
      </w:r>
      <w:r w:rsidR="00A01F05">
        <w:t xml:space="preserve"> Changes in </w:t>
      </w:r>
      <w:r w:rsidR="006D4F7F">
        <w:t xml:space="preserve">pinyon jay-pinyon pine interactions </w:t>
      </w:r>
      <w:r w:rsidR="00A01F05">
        <w:t xml:space="preserve">over </w:t>
      </w:r>
      <w:r w:rsidR="008F6893">
        <w:t>the</w:t>
      </w:r>
      <w:r w:rsidR="006D4F7F">
        <w:t xml:space="preserve"> </w:t>
      </w:r>
      <w:r w:rsidR="00A01F05">
        <w:t xml:space="preserve">past </w:t>
      </w:r>
      <w:r w:rsidR="006D4F7F">
        <w:t>decade likely already reflect the effects of changing climate, habitat, and resource availability</w:t>
      </w:r>
      <w:r w:rsidR="008F6893">
        <w:t xml:space="preserve"> </w:t>
      </w:r>
      <w:r w:rsidR="008F6893">
        <w:fldChar w:fldCharType="begin"/>
      </w:r>
      <w:r w:rsidR="008F6893">
        <w:instrText xml:space="preserve"> ADDIN ZOTERO_ITEM CSL_CITATION {"citationID":"3RwaGzMC","properties":{"formattedCitation":"(Breshears et al., 2005; Redmond et al., 2012; Rodman et al., 2025; Shriver et al., 2022; Wion et al., 2025)","plainCitation":"(Breshears et al., 2005; Redmond et al., 2012; Rodman et al., 2025; Shriver et al., 2022; Wion et al., 2025)","noteIndex":0},"citationItems":[{"id":2967,"uris":["http://zotero.org/groups/5634119/items/XUACEC5I"],"itemData":{"id":2967,"type":"article-journal","abstract":"Future drought is projected to occur under warmer temperature conditions as climate change progresses, referred to here as global-change-type drought, yet quantitative assessments of the triggers and potential extent of drought-induced vegetation die-off remain pivotal uncertainties in assessing climate-change impacts. Of particular concern is regional-scale mortality of overstory trees, which rapidly alters ecosystem type, associated ecosystem properties, and land surface conditions for decades. Here, we quantify regional-scale vegetation die-off across southwestern North American woodlands in 2002-2003 in response to drought and associated bark beetle infestations. At an intensively studied site within the region, we quantified that after 15 months of depleted soil water content, &gt;90% of the dominant, overstory tree species (\n              Pinus edulis\n              , a piñon) died. The die-off was reflected in changes in a remotely sensed index of vegetation greenness (Normalized Difference Vegetation Index), not only at the intensively studied site but also across the region, extending over 12,000 km\n              2\n              or more; aerial and field surveys confirmed the general extent of the die-off. Notably, the recent drought was warmer than the previous subcontinental drought of the 1950s. The limited, available observations suggest that die-off from the recent drought was more extensive than that from the previous drought, extending into wetter sites within the tree species' distribution. Our results quantify a trigger leading to rapid, drought-induced die-off of overstory woody plants at subcontinental scale and highlight the potential for such die-off to be more severe and extensive for future global-change-type drought under warmer conditions.","container-title":"Proceedings of the National Academy of Sciences","DOI":"10.1073/pnas.0505734102","ISSN":"0027-8424, 1091-6490","issue":"42","journalAbbreviation":"Proc. Natl. Acad. Sci. U.S.A.","language":"en","page":"15144-15148","source":"DOI.org (Crossref)","title":"Regional vegetation die-off in response to global-change-type drought","volume":"102","author":[{"family":"Breshears","given":"David D."},{"family":"Cobb","given":"Neil S."},{"family":"Rich","given":"Paul M."},{"family":"Price","given":"Kevin P."},{"family":"Allen","given":"Craig D."},{"family":"Balice","given":"Randy G."},{"family":"Romme","given":"William H."},{"family":"Kastens","given":"Jude H."},{"family":"Floyd","given":"M. Lisa"},{"family":"Belnap","given":"Jayne"},{"family":"Anderson","given":"Jesse J."},{"family":"Myers","given":"Orrin B."},{"family":"Meyer","given":"Clifton W."}],"issued":{"date-parts":[["2005",10,18]]}}},{"id":2972,"uris":["http://zotero.org/groups/5634119/items/7M2FKU8S"],"itemData":{"id":2972,"type":"article-journal","abstract":"Global climate change is expected to produce large shifts in vegetation distribution and has already increased tree mortality, altering forest structure. However, long‐term shifts will be partly dependent on the ability of species to reproduce under a novel climate. Few studies have examined the impact of climate change on the reproductive output of long‐lived ‘masting' species, or species characterized by episodic reproductive events. Here, we show that seed cone production among pinyon pine (\n              Pinus edulis\n              ), a masting species, declined by 40% from the 1974 decade (1969–1978) to the 2008 decade (2003–2012) in revisited stands throughout New Mexico and northwestern Oklahoma. Seed cone production was highly correlated with late summer temperatures at the time of cone initiation. Further, declines in seed cone production were greatest among populations that experienced the greatest increases in growing season temperatures, which were the populations located at the cooler, upper elevations. As growing season temperatures are predicted to increase across this region over the next century, these findings suggest seed cone production may be an increasingly important bottleneck for future pinyon pine regeneration, especially in areas with greater increases in temperature. Declines in seed cone production may not only affect pinyon pine population dynamics but also the various wildlife species that rely on pinyon pine seeds. Because pinyon pine has similar reproductive strategies as other semi‐arid pine species, increasing temperature may negatively influence reproductive output of other conifers. Further investigation into the full geographic and taxonomic extent of these seed declines is warranted.","container-title":"Ecosphere","DOI":"10.1890/ES12-00306.1","ISSN":"2150-8925, 2150-8925","issue":"12","journalAbbreviation":"Ecosphere","language":"en","license":"http://creativecommons.org/licenses/by/3.0/","page":"1-14","source":"DOI.org (Crossref)","title":"Declines in pinyon pine cone production associated with regional warming","volume":"3","author":[{"family":"Redmond","given":"Miranda D."},{"family":"Forcella","given":"Frank"},{"family":"Barger","given":"Nichole N."}],"issued":{"date-parts":[["2012",12]]}}},{"id":3177,"uris":["http://zotero.org/users/6391447/items/LHWSJL5A"],"itemData":{"id":3177,"type":"article-journal","abstract":"ABSTRACT\n            Global changes in temperature and aridity are increasing the frequency of extreme drought events. Such changes can have pronounced impacts on dryland ecosystems, which exist at the margins of plant physiological tolerances. Pinyon–juniper (PJ) woodlands—a dryland vegetation type spanning 40 million ha in western North America—are a model system for the impacts of drought, where recurrent short‐interval drought events may trigger feedback mechanisms that influence future drought resistance. Leveraging a long‐term monitoring network in PJ woodlands of the United States (US) Southwest, we sought to understand how interactions between recurrent drought events influence tree mortality risk. We developed generalized linear mixed models to predict patterns of recent (i.e., 2014–2023) tree mortality based on biophysical variables, tree size, and prior drought‐driven changes (ca. 1998–2014) in forest conditions. We then used these models to quantify how mortality risk has shifted over time. Tree density and stand basal area declined substantially throughout our 1998–2023 monitoring period. Since 2014, tree mortality was more common and spatially extensive than new tree recruitment, and nearly half of the surviving trees experienced crown dieback. Tree size influenced biotic interactions and responses to environmental conditions, and soil organic matter and mycorrhizal fungi communities buffered individuals against drought. Shifts in woodland demographics (e.g., reduced stand densities, crown dieback) led to a 28.2% increase in mortality risk between 2014 and 2023 for trees that survived this period, a pattern that was consistent across species. Recent drought events have triggered widespread tree mortality and dieback in PJ woodlands of the US Southwest. These events also increase future tree mortality risk, overcoming system inertia created by local edaphic conditions and compensatory responses.","container-title":"Ecology and Evolution","DOI":"10.1002/ece3.72667","ISSN":"2045-7758, 2045-7758","issue":"12","journalAbbreviation":"Ecology and Evolution","language":"en","page":"e72667","source":"DOI.org (Crossref)","title":"Positive Drought Feedbacks Increase Tree Mortality Risk in Dry Woodlands of the &lt;span style=\"font-variant:small-caps;\"&gt;US&lt;/span&gt; Southwest","title-short":"Positive Drought Feedbacks Increase Tree Mortality Risk in Dry Woodlands of the &lt;span style=\"font-variant","volume":"15","author":[{"family":"Rodman","given":"Kyle C."},{"family":"Wilkerson","given":"Kaylie J."},{"family":"Wion","given":"Andreas P."},{"family":"Huffman","given":"David W."},{"family":"Antoninka","given":"Anita J."},{"family":"Barrera","given":"Mariola"},{"family":"Cobb","given":"Neil S."},{"family":"Redmond","given":"Miranda D."}],"issued":{"date-parts":[["2025",12]]}}},{"id":3179,"uris":["http://zotero.org/users/6391447/items/IRZKEIEX"],"itemData":{"id":3179,"type":"article-journal","abstract":"Aim: Anticipating when and where changes in species' demographic rates will lead to range shifts in response to changing climate remains a major challenge. Despite evidence of increasing mortality in dry forests across the globe in response to drought and warming temperatures, the overall impacts on the distribution of dry forests are largely unknown because we lack comparable large-scale data on tree recruitment rates. Here, our aim was to develop range-wide population models for dry forest tree species (pinyon pine and juniper), quantifying both mortality and recruitment, to better understand where and under what conditions species range contractions are occurring.","container-title":"Global Ecology and Biogeography","DOI":"10.1111/geb.13582","ISSN":"1466-822X, 1466-8238","issue":"11","journalAbbreviation":"Global Ecol Biogeogr","language":"en","page":"2259-2269","source":"DOI.org (Crossref)","title":"Dry forest decline is driven by both declining recruitment and increasing mortality in response to warm, dry conditions","volume":"31","author":[{"family":"Shriver","given":"Robert K."},{"family":"Yackulic","given":"Charles B."},{"family":"Bell","given":"David M."},{"family":"Bradford","given":"John B."}],"issued":{"date-parts":[["2022",11]]}}},{"id":2858,"uris":["http://zotero.org/groups/5634119/items/5C7JLPYL"],"itemData":{"id":2858,"type":"article-journal","abstract":"SummaryPredicting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8F6893">
        <w:fldChar w:fldCharType="separate"/>
      </w:r>
      <w:r w:rsidR="008F6893">
        <w:rPr>
          <w:noProof/>
        </w:rPr>
        <w:t>(Breshears et al., 2005; Redmond et al., 2012; Rodman et al., 2025; Shriver et al., 2022; Wion et al., 2025)</w:t>
      </w:r>
      <w:r w:rsidR="008F6893">
        <w:fldChar w:fldCharType="end"/>
      </w:r>
      <w:r w:rsidR="008F6893">
        <w:t xml:space="preserve">. </w:t>
      </w:r>
      <w:r w:rsidR="006D4F7F">
        <w:t xml:space="preserve">Across the varied landscape of the region, however, there are opportunities to prioritize conservation or management. For example, because we know </w:t>
      </w:r>
      <w:r w:rsidR="00A01F05">
        <w:t xml:space="preserve">pinyon jay </w:t>
      </w:r>
      <w:r w:rsidR="006D4F7F">
        <w:t xml:space="preserve">populations persist in areas of high cone production, we can prioritize conservation in areas where cone production has been relatively stable through time (e.g., central Utah; </w:t>
      </w:r>
      <w:r w:rsidR="006D4F7F">
        <w:fldChar w:fldCharType="begin"/>
      </w:r>
      <w:r w:rsidR="006D4F7F">
        <w:instrText xml:space="preserve"> ADDIN ZOTERO_ITEM CSL_CITATION {"citationID":"qUGdmaqP","properties":{"formattedCitation":"(Wion et al., 2025)","plainCitation":"(Wion et al., 2025)","dontUpdate":true,"noteIndex":0},"citationItems":[{"id":2858,"uris":["http://zotero.org/groups/5634119/items/5C7JLPYL"],"itemData":{"id":2858,"type":"article-journal","abstract":"SummaryPredicting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6D4F7F">
        <w:fldChar w:fldCharType="separate"/>
      </w:r>
      <w:r w:rsidR="006D4F7F" w:rsidRPr="0F72CF47">
        <w:rPr>
          <w:noProof/>
        </w:rPr>
        <w:t xml:space="preserve">Figure 4 </w:t>
      </w:r>
      <w:r w:rsidR="006D4F7F" w:rsidRPr="0F72CF47">
        <w:rPr>
          <w:noProof/>
        </w:rPr>
        <w:lastRenderedPageBreak/>
        <w:t>in Wion et al., 2025)</w:t>
      </w:r>
      <w:r w:rsidR="006D4F7F">
        <w:fldChar w:fldCharType="end"/>
      </w:r>
      <w:r w:rsidR="006D4F7F">
        <w:t>. Further, while habitat variables had much weaker effects</w:t>
      </w:r>
      <w:r w:rsidR="00A01F05">
        <w:t xml:space="preserve"> on jay abundance</w:t>
      </w:r>
      <w:r w:rsidR="006D4F7F">
        <w:t xml:space="preserve">, areas with higher pinyon basal area and </w:t>
      </w:r>
      <w:r w:rsidR="00A01F05">
        <w:t xml:space="preserve">greater </w:t>
      </w:r>
      <w:r w:rsidR="006D4F7F">
        <w:t>summer monsoonal moisture may be key for supporting local populations.</w:t>
      </w:r>
      <w:r w:rsidR="008F6893">
        <w:t xml:space="preserve"> More generally, future population assessments can use results from this study to </w:t>
      </w:r>
      <w:r w:rsidR="006D4F7F">
        <w:t xml:space="preserve">develop informed moving windows for evaluating </w:t>
      </w:r>
      <w:r w:rsidR="008F6893">
        <w:t xml:space="preserve">population </w:t>
      </w:r>
      <w:r w:rsidR="006D4F7F">
        <w:t xml:space="preserve">trends (e.g., using a three-year broken window cutoff based on our observed temporal legacy; </w:t>
      </w:r>
      <w:r w:rsidR="006D4F7F">
        <w:fldChar w:fldCharType="begin"/>
      </w:r>
      <w:r w:rsidR="006D4F7F">
        <w:instrText xml:space="preserve"> ADDIN ZOTERO_ITEM CSL_CITATION {"citationID":"9hnaTHbT","properties":{"formattedCitation":"(Bahlai et al., 2021)","plainCitation":"(Bahlai et al., 2021)","dontUpdate":true,"noteIndex":0},"citationItems":[{"id":3147,"uris":["http://zotero.org/users/6391447/items/CJGZ64T5"],"itemData":{"id":3147,"type":"article-journal","container-title":"Ecological Informatics","DOI":"10.1016/j.ecoinf.2021.101336","ISSN":"15749541","journalAbbreviation":"Ecological Informatics","language":"en","page":"101336","source":"DOI.org (Crossref)","title":"The broken window: An algorithm for quantifying and characterizing misleading trajectories in ecological processes","title-short":"The broken window","volume":"64","author":[{"family":"Bahlai","given":"Christie A."},{"family":"White","given":"Easton R."},{"family":"Perrone","given":"Julia D."},{"family":"Cusser","given":"Sarah"},{"family":"Stack Whitney","given":"Kaitlin"}],"issued":{"date-parts":[["2021",9]]}}}],"schema":"https://github.com/citation-style-language/schema/raw/master/csl-citation.json"} </w:instrText>
      </w:r>
      <w:r w:rsidR="006D4F7F">
        <w:fldChar w:fldCharType="separate"/>
      </w:r>
      <w:r w:rsidR="006D4F7F" w:rsidRPr="0F72CF47">
        <w:rPr>
          <w:noProof/>
        </w:rPr>
        <w:t>Bahlai et al., 2021)</w:t>
      </w:r>
      <w:r w:rsidR="006D4F7F">
        <w:fldChar w:fldCharType="end"/>
      </w:r>
      <w:r w:rsidR="006D4F7F">
        <w:t>.</w:t>
      </w:r>
      <w:r w:rsidR="008F6893">
        <w:t xml:space="preserve"> </w:t>
      </w:r>
      <w:r w:rsidR="006D4F7F">
        <w:t>Importantly, our results highlight the importance of including biotic interactions in examinations of population status</w:t>
      </w:r>
      <w:r w:rsidR="00A01F05">
        <w:t xml:space="preserve"> given that</w:t>
      </w:r>
      <w:r w:rsidR="006D4F7F">
        <w:t xml:space="preserve"> seed availability is one of the main drivers of abundance for pinyon jays. In this and other systems, population models that include biotic interactions will likely predict population responses better than models that ignore them </w:t>
      </w:r>
      <w:r w:rsidR="006D4F7F">
        <w:fldChar w:fldCharType="begin"/>
      </w:r>
      <w:r w:rsidR="006D4F7F">
        <w:instrText xml:space="preserve"> ADDIN ZOTERO_ITEM CSL_CITATION {"citationID":"vrA0fAXJ","properties":{"formattedCitation":"(Lee\\uc0\\u8208{}Yaw et al., 2022)","plainCitation":"(Lee‐Yaw et al., 2022)","noteIndex":0},"citationItems":[{"id":3140,"uris":["http://zotero.org/groups/5634119/items/QGZFIRV9"],"itemData":{"id":3140,"type":"article-journal","container-title":"Ecography","DOI":"10.1111/ecog.05877","ISSN":"0906-7590, 1600-0587","issue":"6","journalAbbreviation":"Ecography","language":"en","source":"DOI.org (Crossref)","title":"Species distribution models rarely predict the biology of real populations","URL":"https://onlinelibrary.wiley.com/doi/10.1111/ecog.05877","volume":"2022","author":[{"family":"Lee‐Yaw","given":"Julie A."},{"family":"McCune","given":"Jenny L."},{"family":"Pironon","given":"Samuel"},{"family":"Sheth","given":"Seema N"}],"accessed":{"date-parts":[["2023",3,27]]},"issued":{"date-parts":[["2022",6]]}}}],"schema":"https://github.com/citation-style-language/schema/raw/master/csl-citation.json"} </w:instrText>
      </w:r>
      <w:r w:rsidR="006D4F7F">
        <w:fldChar w:fldCharType="separate"/>
      </w:r>
      <w:r w:rsidR="006D4F7F" w:rsidRPr="0F72CF47">
        <w:rPr>
          <w:rFonts w:cs="Times New Roman"/>
        </w:rPr>
        <w:t>(Lee‐Yaw et al., 2022)</w:t>
      </w:r>
      <w:r w:rsidR="006D4F7F">
        <w:fldChar w:fldCharType="end"/>
      </w:r>
      <w:r w:rsidR="006D4F7F">
        <w:t>.</w:t>
      </w:r>
      <w:r>
        <w:t xml:space="preserve"> </w:t>
      </w:r>
    </w:p>
    <w:p w14:paraId="68ED2782" w14:textId="0B18B201" w:rsidR="009E6BD1" w:rsidRDefault="2E7783CD" w:rsidP="00D8681D">
      <w:pPr>
        <w:pStyle w:val="BodyText"/>
        <w:spacing w:after="0"/>
      </w:pPr>
      <w:r w:rsidRPr="00D8681D">
        <w:rPr>
          <w:b/>
          <w:bCs/>
        </w:rPr>
        <w:t xml:space="preserve">Including </w:t>
      </w:r>
      <w:r w:rsidR="00A01F05">
        <w:rPr>
          <w:b/>
          <w:bCs/>
        </w:rPr>
        <w:t>S</w:t>
      </w:r>
      <w:r w:rsidR="00A01F05" w:rsidRPr="00D8681D">
        <w:rPr>
          <w:b/>
          <w:bCs/>
        </w:rPr>
        <w:t xml:space="preserve">pecies </w:t>
      </w:r>
      <w:r w:rsidR="00A01F05">
        <w:rPr>
          <w:b/>
          <w:bCs/>
        </w:rPr>
        <w:t>I</w:t>
      </w:r>
      <w:r w:rsidR="00A01F05" w:rsidRPr="00D8681D">
        <w:rPr>
          <w:b/>
          <w:bCs/>
        </w:rPr>
        <w:t xml:space="preserve">nteractions </w:t>
      </w:r>
      <w:r w:rsidRPr="00D8681D">
        <w:rPr>
          <w:b/>
          <w:bCs/>
        </w:rPr>
        <w:t xml:space="preserve">in </w:t>
      </w:r>
      <w:r w:rsidR="00A01F05">
        <w:rPr>
          <w:b/>
          <w:bCs/>
        </w:rPr>
        <w:t>P</w:t>
      </w:r>
      <w:r w:rsidR="00A01F05" w:rsidRPr="00D8681D">
        <w:rPr>
          <w:b/>
          <w:bCs/>
        </w:rPr>
        <w:t xml:space="preserve">opulation </w:t>
      </w:r>
      <w:r w:rsidR="00A01F05">
        <w:rPr>
          <w:b/>
          <w:bCs/>
        </w:rPr>
        <w:t>M</w:t>
      </w:r>
      <w:r w:rsidR="00A01F05" w:rsidRPr="00D8681D">
        <w:rPr>
          <w:b/>
          <w:bCs/>
        </w:rPr>
        <w:t>odels</w:t>
      </w:r>
      <w:r w:rsidR="00A01F05">
        <w:rPr>
          <w:b/>
          <w:bCs/>
        </w:rPr>
        <w:t>.</w:t>
      </w:r>
      <w:r w:rsidR="00A01F05">
        <w:t xml:space="preserve"> </w:t>
      </w:r>
      <w:r>
        <w:t>In</w:t>
      </w:r>
      <w:r w:rsidR="0C8AC744">
        <w:t>corporating</w:t>
      </w:r>
      <w:r>
        <w:t xml:space="preserve"> species interactions into models of population trends is no small feat</w:t>
      </w:r>
      <w:r w:rsidR="001C786B">
        <w:t xml:space="preserve">; doing so </w:t>
      </w:r>
      <w:r>
        <w:t xml:space="preserve">requires information on </w:t>
      </w:r>
      <w:r w:rsidR="0B6C835A">
        <w:t xml:space="preserve">the abundance or presence of </w:t>
      </w:r>
      <w:r>
        <w:t>multiple species, their interactions, and how those interactions change through space and time. However, we demonstrate that these interactions</w:t>
      </w:r>
      <w:r w:rsidR="7F61DA8A">
        <w:t xml:space="preserve"> can be quantified when reliable, broad-scale data are available, and that interactions</w:t>
      </w:r>
      <w:r>
        <w:t xml:space="preserve"> are likely to be important drivers of population trends.</w:t>
      </w:r>
      <w:r w:rsidR="21FF938A">
        <w:t xml:space="preserve"> Further, we demonstrate the importance of including temporal </w:t>
      </w:r>
      <w:r w:rsidR="3CB61938">
        <w:t>legacies</w:t>
      </w:r>
      <w:r w:rsidR="21FF938A">
        <w:t xml:space="preserve"> and </w:t>
      </w:r>
      <w:r w:rsidR="3CB61938">
        <w:t xml:space="preserve">spatiotemporal </w:t>
      </w:r>
      <w:r w:rsidR="21FF938A">
        <w:t>variation</w:t>
      </w:r>
      <w:r w:rsidR="53FD5E77">
        <w:t xml:space="preserve"> </w:t>
      </w:r>
      <w:r w:rsidR="001C786B">
        <w:t xml:space="preserve">when quantifying such </w:t>
      </w:r>
      <w:r w:rsidR="53FD5E77">
        <w:t>interactions</w:t>
      </w:r>
      <w:r w:rsidR="21FF938A">
        <w:t xml:space="preserve">. </w:t>
      </w:r>
      <w:r w:rsidR="41409EC4">
        <w:t>For seed</w:t>
      </w:r>
      <w:r w:rsidR="558589A6">
        <w:t xml:space="preserve"> consumption and</w:t>
      </w:r>
      <w:r w:rsidR="41409EC4">
        <w:t xml:space="preserve"> dispersal, in particular, our approach advances previous methods</w:t>
      </w:r>
      <w:r>
        <w:t xml:space="preserve"> (e.g., model selection or </w:t>
      </w:r>
      <w:r w:rsidRPr="0F72CF47">
        <w:rPr>
          <w:i/>
          <w:iCs/>
        </w:rPr>
        <w:t xml:space="preserve">a priori </w:t>
      </w:r>
      <w:r>
        <w:t xml:space="preserve">assumptions; </w:t>
      </w:r>
      <w:r w:rsidR="00D94289">
        <w:fldChar w:fldCharType="begin"/>
      </w:r>
      <w:r w:rsidR="00D94289">
        <w:instrText xml:space="preserve"> ADDIN ZOTERO_ITEM CSL_CITATION {"citationID":"iN8m6GZd","properties":{"formattedCitation":"(Bergeron et al., 2011; Boutin et al., 2006; Gamelon et al., 2017; Lind\\uc0\\u233{}n et al., 2011; Selonen et al., 2015)","plainCitation":"(Bergeron et al., 2011; Boutin et al., 2006; Gamelon et al., 2017; Lindén et al., 2011; Selonen et al., 2015)","noteIndex":0},"citationItems":[{"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M."},{"family":"Garant","given":"Dany"}],"issued":{"date-parts":[["2011",11]]}}},{"id":2983,"uris":["http://zotero.org/groups/5634119/items/JHIYW3CU"],"itemData":{"id":2983,"type":"article-journal","abstract":"Mast seeding, the intermittent, synchronous production of large seed crops by a population of plants, is a well-known example of resource pulses that create lagged responses in successive trophic levels of ecological communities. These lags arise because seed predators are thought capable of increasing reproduction and population size only after the resource pulse is available for consumption. The resulting satiation of predators is a widely cited explanation for the evolution of masting. Our study shows that both American and Eurasian tree squirrels anticipate resource pulses and increase reproductive output before a masting event, thereby increasing population size in synchrony with the resource pulse and eliminating the population lag thought to be universal in resource pulse systems.","container-title":"Science","DOI":"10.1126/science.1135520","ISSN":"0036-8075, 1095-9203","issue":"5807","journalAbbreviation":"Science","language":"en","page":"1928-1930","source":"DOI.org (Crossref)","title":"Anticipatory Reproduction and Population Growth in Seed Predators","volume":"314","author":[{"family":"Boutin","given":"Stan"},{"family":"Wauters","given":"Lucas A."},{"family":"McAdam","given":"Andrew G."},{"family":"Humphries","given":"Murray M."},{"family":"Tosi","given":"Guido"},{"family":"Dhondt","given":"André A."}],"issued":{"date-parts":[["2006",12,22]]}}},{"id":3044,"uris":["http://zotero.org/users/6391447/items/LRKIMZTG"],"itemData":{"id":3044,"type":"article-journal","container-title":"Oecologia","DOI":"10.1007/s00442-017-3821-8","ISSN":"0029-8549,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id":3041,"uris":["http://zotero.org/users/6391447/items/CFKW38LX"],"itemData":{"id":3041,"type":"article-journal","abstract":"Irruptive migrants are partially migrating species showing pronounced temporal variation in the number of migrants. Occasional irruptions are often explained by increased population density (per area) or lack of food. Similarly to population dynamics, these explanations are not mutually exclusive, but probably act in concert. Here we do a parallel analysis on the migration intensity and population dynamics of an irruptive migratory bird species, the great spotted woodpecker\n              Dendrocopos major\n              , in southern Finland. Both analyses include simultaneous effects of breeding density and cone crops of Scots pine\n              Pinus sylvestris\n              and Norway spruce\n              Picea abies\n              . A novel model for statistical analyses of irruptive migration intensity is developed. Population dynamics are investigated using log‐linear state‐space models. Woodpecker migration intensity is well explained by lack of spruce cones and increases proportionally to population density. Population dynamics is most successfully described with a density dependent model, where the natural logarithm of spruce cone availability previous autumn has a strong positive effect on population growth. This is likely to be due to lowered winter mortality and lowered emigration rates resulting from plentiful food availability. Although the species uses pine cones as a food resource in winter, the estimated impacts of pine cone crops on migration intensity and population dynamics are low, probably due to low annual variation in crop comparing to spruce cones. Large irruptions also tend to occur earlier in season, often before cones are a crucial food resource for the woodpeckers, suggesting that the woodpeckers use the amount of maturing cones as a cue for upcoming conditions. Our results show that the ecological role of different resources can differ considerably from the expected pattern based on the proportion of the resources in a species’ diet. Advantages of examining patterns of bird migration, population density and dynamics in unison are apparent.","container-title":"Oikos","DOI":"10.1111/j.1600-0706.2010.18970.x","ISSN":"0030-1299, 1600-0706","issue":"7","journalAbbreviation":"Oikos","language":"en","page":"1065-1075","source":"DOI.org (Crossref)","title":"Modelling irruptions and population dynamics of the great spotted woodpecker – joint effects of density and cone crops","volume":"120","author":[{"family":"Lindén","given":"Andreas"},{"family":"Lehikoinen","given":"Aleksi"},{"family":"Hokkanen","given":"Tatu"},{"family":"Väisänen","given":"Risto A."}],"issued":{"date-parts":[["2011",7]]}}},{"id":3040,"uris":["http://zotero.org/users/6391447/items/59M8T9YE"],"itemData":{"id":3040,"type":"article-journal","container-title":"Oecologia","DOI":"10.1007/s00442-014-3148-7","ISSN":"0029-8549, 1432-1939","issue":"2","journalAbbreviation":"Oecologia","language":"en","page":"401-411","source":"DOI.org (Crossref)","title":"Immediate or lagged responses of a red squirrel population to pulsed resources","volume":"177","author":[{"family":"Selonen","given":"Vesa"},{"family":"Varjonen","given":"Rauno"},{"family":"Korpimäki","given":"Erkki"}],"issued":{"date-parts":[["2015",2]]}}}],"schema":"https://github.com/citation-style-language/schema/raw/master/csl-citation.json"} </w:instrText>
      </w:r>
      <w:r w:rsidR="00D94289">
        <w:fldChar w:fldCharType="separate"/>
      </w:r>
      <w:r w:rsidRPr="0F72CF47">
        <w:rPr>
          <w:rFonts w:cs="Times New Roman"/>
        </w:rPr>
        <w:t>(Bergeron et al., 2011; Boutin et al., 2006; Gamelon et al., 2017; Lindén et al., 2011; Selonen et al., 2015)</w:t>
      </w:r>
      <w:r w:rsidR="00D94289">
        <w:fldChar w:fldCharType="end"/>
      </w:r>
      <w:r>
        <w:t xml:space="preserve"> by </w:t>
      </w:r>
      <w:r w:rsidR="6BCCE49B">
        <w:t>jointly evaluating the support for</w:t>
      </w:r>
      <w:r>
        <w:t xml:space="preserve"> multiple competing hypotheses about </w:t>
      </w:r>
      <w:r w:rsidR="001C786B">
        <w:t xml:space="preserve">the focal biotic </w:t>
      </w:r>
      <w:r w:rsidR="0B273139">
        <w:t>interactions</w:t>
      </w:r>
      <w:r>
        <w:t xml:space="preserve">. This modeling framework can help inform observational or experimental studies examining how temporal signals vary across environmental conditions (e.g., </w:t>
      </w:r>
      <w:r w:rsidR="00D94289">
        <w:fldChar w:fldCharType="begin"/>
      </w:r>
      <w:r w:rsidR="00D94289">
        <w:instrText xml:space="preserve"> ADDIN ZOTERO_ITEM CSL_CITATION {"citationID":"0TX8EjTZ","properties":{"formattedCitation":"(Gamelon et al., 2017)","plainCitation":"(Gamelon et al., 2017)","dontUpdate":true,"noteIndex":0},"citationItems":[{"id":3044,"uris":["http://zotero.org/users/6391447/items/LRKIMZTG"],"itemData":{"id":3044,"type":"article-journal","container-title":"Oecologia","DOI":"10.1007/s00442-017-3821-8","ISSN":"0029-8549, 1432-1939","issue":"4","journalAbbreviation":"Oecologia","language":"en","page":"1065-1076","source":"DOI.org (Crossref)","title":"Reproductive allocation in pulsed-resource environments: a comparative study in two populations of wild boar","title-short":"Reproductive allocation in pulsed-resource environments","volume":"183","author":[{"family":"Gamelon","given":"Marlène"},{"family":"Focardi","given":"Stefano"},{"family":"Baubet","given":"Eric"},{"family":"Brandt","given":"Serge"},{"family":"Franzetti","given":"Barbara"},{"family":"Ronchi","given":"Francesca"},{"family":"Venner","given":"Samuel"},{"family":"Sæther","given":"Bernt-Erik"},{"family":"Gaillard","given":"Jean-Michel"}],"issued":{"date-parts":[["2017",4]]}}}],"schema":"https://github.com/citation-style-language/schema/raw/master/csl-citation.json"} </w:instrText>
      </w:r>
      <w:r w:rsidR="00D94289">
        <w:fldChar w:fldCharType="separate"/>
      </w:r>
      <w:r w:rsidRPr="0F72CF47">
        <w:rPr>
          <w:noProof/>
        </w:rPr>
        <w:t>Gamelon et al., 2017)</w:t>
      </w:r>
      <w:r w:rsidR="00D94289">
        <w:fldChar w:fldCharType="end"/>
      </w:r>
      <w:r>
        <w:t>.</w:t>
      </w:r>
      <w:r w:rsidR="21FF938A">
        <w:t xml:space="preserve"> </w:t>
      </w:r>
      <w:r w:rsidR="49DA65EA">
        <w:t xml:space="preserve">In any system, understanding </w:t>
      </w:r>
      <w:r w:rsidR="21FF938A">
        <w:t xml:space="preserve">how species interactions are impacted by temporal legacies and environmental context </w:t>
      </w:r>
      <w:r w:rsidR="49DA65EA">
        <w:t xml:space="preserve">will aid in building </w:t>
      </w:r>
      <w:r w:rsidR="49DA65EA">
        <w:lastRenderedPageBreak/>
        <w:t xml:space="preserve">better predictive models </w:t>
      </w:r>
      <w:r w:rsidR="65589FAE">
        <w:t xml:space="preserve">not only </w:t>
      </w:r>
      <w:r w:rsidR="49DA65EA">
        <w:t xml:space="preserve">of </w:t>
      </w:r>
      <w:r w:rsidR="651FCE4F">
        <w:t>population trends</w:t>
      </w:r>
      <w:r w:rsidR="7319636E">
        <w:t xml:space="preserve"> </w:t>
      </w:r>
      <w:r w:rsidR="00D94289">
        <w:fldChar w:fldCharType="begin"/>
      </w:r>
      <w:r w:rsidR="00D94289">
        <w:instrText xml:space="preserve"> ADDIN ZOTERO_ITEM CSL_CITATION {"citationID":"sJyFar07","properties":{"formattedCitation":"(Bogdziewicz et al., 2016)","plainCitation":"(Bogdziewicz et al., 2016)","noteIndex":0},"citationItems":[{"id":2991,"uris":["http://zotero.org/groups/5634119/items/8NUB2F2E"],"itemData":{"id":2991,"type":"article-journal","abstract":"Mast‐seeding is the synchronized and intermittent production of a large seed crop by a population of plants. The cascading effects of masting on wildlife have been well documented in granivorous rodents. Yet, the effects of mast‐seeding are potentially further reaching, since a number of generalist species can take advantage of mast years. We employed a full‐text search algorithm to identify all papers that discussed effects of mast‐seeding on wildlife, in addition to typical searches of titles and abstracts. We aimed to evaluate the breadth of wildlife species for which mast years are thought to be important drivers. In addition, we tested three hypotheses derived from past reviews: 1) species with lower reproductive potential (lower average litter size) are more likely to show aggregative responses to mast‐seeding, 2) species with lower body sizes (lower mobility) are more likely to show reproductive responses, and 3) indirect consumers of mast (predators) are more likely to show aggregative responses than direct consumers. We found 186 articles including reports of response of 122 species of vertebrates to mast‐seeding. Expectations were partly confirmed: relationships 1) and 2) held for mammals, but not for birds. However, 3) direct consumers were more likely than indirect consumers to show aggregative responses. Our tests of the first two hypotheses question the generality of past predictions for taxa other than mammals. Our test of the third hypothesis suggests that responses of direct and indirect consumers might depend on the type of resource pulse. Many of the examples in our analysis come from systems in which wildlife responses to mast have been less rigorously documented than the examples in past reviews. They suggest the range of wildlife responses to mast‐seeding are more taxonomically and ecologically diverse than past reviews have widely recognized and point to directions for future research.\n            \n              \n                \n                  Synthesis\n                \n                Mast seeding is a pulsed resource with numerous cascading effects on wildlife. Yet, because masting is largely unpredictable, it is inherently difficult to study. We developed a full‐text search algorithm to identify incidental reports as well as deliberate studies of vertebrate reactions to masting. We found that the type of response to mast seeding (reproductive or through immigration) varies predictably as a function of life history traits (litter size and body mass) in mammals, but not in birds.  Our literature search also shows that responses to mast‐seeding are more taxonomically and ecologically diverse than past reviews have recognized.","container-title":"Oikos","DOI":"10.1111/oik.03012","ISSN":"0030-1299, 1600-0706","issue":"3","journalAbbreviation":"Oikos","language":"en","page":"300-307","source":"DOI.org (Crossref)","title":"How do vertebrates respond to mast seeding?","volume":"125","author":[{"family":"Bogdziewicz","given":"Michał"},{"family":"Zwolak","given":"Rafał"},{"family":"Crone","given":"Elizabeth E."}],"issued":{"date-parts":[["2016",3]]}}}],"schema":"https://github.com/citation-style-language/schema/raw/master/csl-citation.json"} </w:instrText>
      </w:r>
      <w:r w:rsidR="00D94289">
        <w:fldChar w:fldCharType="separate"/>
      </w:r>
      <w:r w:rsidR="7319636E" w:rsidRPr="0F72CF47">
        <w:rPr>
          <w:noProof/>
        </w:rPr>
        <w:t>(Bogdziewicz et al., 2016)</w:t>
      </w:r>
      <w:r w:rsidR="00D94289">
        <w:fldChar w:fldCharType="end"/>
      </w:r>
      <w:r w:rsidR="651FCE4F">
        <w:t xml:space="preserve">, </w:t>
      </w:r>
      <w:r w:rsidR="65589FAE">
        <w:t xml:space="preserve">but also </w:t>
      </w:r>
      <w:r w:rsidR="0F3D9A55">
        <w:t>of</w:t>
      </w:r>
      <w:r w:rsidR="21FF938A">
        <w:t xml:space="preserve"> other community patterns such as </w:t>
      </w:r>
      <w:r w:rsidR="7319636E">
        <w:t>multi-trophic food web</w:t>
      </w:r>
      <w:r w:rsidR="0F3D9A55">
        <w:t>s</w:t>
      </w:r>
      <w:r w:rsidR="7319636E">
        <w:t xml:space="preserve"> </w:t>
      </w:r>
      <w:r w:rsidR="00D94289">
        <w:fldChar w:fldCharType="begin"/>
      </w:r>
      <w:r w:rsidR="00D94289">
        <w:instrText xml:space="preserve"> ADDIN ZOTERO_ITEM CSL_CITATION {"citationID":"vyXS2OSa","properties":{"formattedCitation":"(Bergeron et al., 2011; Ostfeld &amp; Keesing, 2000; Poisot et al., 2015)","plainCitation":"(Bergeron et al., 2011; Ostfeld &amp; Keesing, 2000; Poisot et al., 2015)","noteIndex":0},"citationItems":[{"id":3037,"uris":["http://zotero.org/users/6391447/items/KIHP2V4T"],"itemData":{"id":3037,"type":"article-journal","container-title":"Ecology","DOI":"10.1890/11-0766.1","ISSN":"0012-9658","issue":"11","journalAbbreviation":"Ecology","language":"en","license":"http://doi.wiley.com/10.1002/tdm_license_1.1","page":"2027-2034","source":"DOI.org (Crossref)","title":"Anticipation and tracking of pulsed resources drive population dynamics in eastern chipmunks","volume":"92","author":[{"family":"Bergeron","given":"Patrick"},{"family":"Réale","given":"Denis"},{"family":"Humphries","given":"Murray M."},{"family":"Garant","given":"Dany"}],"issued":{"date-parts":[["2011",11]]}}},{"id":2990,"uris":["http://zotero.org/groups/5634119/items/EW2YI756"],"itemData":{"id":2990,"type":"article-journal","container-title":"Trends in Ecology &amp; Evolution","DOI":"10.1016/S0169-5347(00)01862-0","ISSN":"01695347","issue":"6","journalAbbreviation":"Trends in Ecology &amp; Evolution","language":"en","license":"https://www.elsevier.com/tdm/userlicense/1.0/","page":"232-237","source":"DOI.org (Crossref)","title":"Pulsed resources and community dynamics of consumers in terrestrial ecosystems","volume":"15","author":[{"family":"Ostfeld","given":"Richard S."},{"family":"Keesing","given":"Felicia"}],"issued":{"date-parts":[["2000",6]]}}},{"id":2996,"uris":["http://zotero.org/groups/5634119/items/98XVULPE"],"itemData":{"id":2996,"type":"article-journal","abstract":"Community ecology is tasked with the considerable challenge of predicting the structure, and properties, of emerging ecosystems. It requires the ability to understand how and why species interact, as this will allow the development of mechanism‐based predictive models, and as such to better characterize how ecological mechanisms act locally on the existence of inter‐specific interactions. Here we argue that the current conceptualization of species interaction networks is ill‐suited for this task. Instead, we propose that future research must start to account for the intrinsic variability of species interactions, then scale up from here onto complex networks. This can be accomplished simply by recognizing that there exists intra‐specific variability, in traits or properties related to the establishment of species interactions. By shifting the scale towards population‐based processes, we show that this new approach will improve our predictive ability and mechanistic understanding of how species interact over large spatial or temporal scales.\n            \n              \n                \n                  Synthesis\n                \n                Although species interactions are the backbone of ecological communities, we have little insights on how (and why) they vary through space and time. In this article, we build on existing empirical literature to show that the same species may happen to interact in different ways when their local abundances vary, their trait distribution changes, or when the environment affects either of these factors. We discuss how these findings can be integrated in existing frameworks for the analysis and simulation of species interactions.","container-title":"Oikos","DOI":"10.1111/oik.01719","ISSN":"0030-1299, 1600-0706","issue":"3","journalAbbreviation":"Oikos","language":"en","page":"243-251","source":"DOI.org (Crossref)","title":"Beyond species: why ecological interaction networks vary through space and time","title-short":"Beyond species","volume":"124","author":[{"family":"Poisot","given":"Timothée"},{"family":"Stouffer","given":"Daniel B."},{"family":"Gravel","given":"Dominique"}],"issued":{"date-parts":[["2015",3]]}}}],"schema":"https://github.com/citation-style-language/schema/raw/master/csl-citation.json"} </w:instrText>
      </w:r>
      <w:r w:rsidR="00D94289">
        <w:fldChar w:fldCharType="separate"/>
      </w:r>
      <w:r w:rsidR="65589FAE" w:rsidRPr="0F72CF47">
        <w:rPr>
          <w:noProof/>
        </w:rPr>
        <w:t>(Bergeron et al., 2011; Ostfeld &amp; Keesing, 2000; Poisot et al., 2015)</w:t>
      </w:r>
      <w:r w:rsidR="00D94289">
        <w:fldChar w:fldCharType="end"/>
      </w:r>
      <w:r w:rsidR="7319636E">
        <w:t xml:space="preserve"> and </w:t>
      </w:r>
      <w:r w:rsidR="41409EC4">
        <w:t>disease dynamics</w:t>
      </w:r>
      <w:r w:rsidR="49DA65EA">
        <w:t xml:space="preserve"> </w:t>
      </w:r>
      <w:r w:rsidR="00D94289">
        <w:fldChar w:fldCharType="begin"/>
      </w:r>
      <w:r w:rsidR="00D94289">
        <w:instrText xml:space="preserve"> ADDIN ZOTERO_ITEM CSL_CITATION {"citationID":"5xEMvllo","properties":{"formattedCitation":"(Bregnard et al., 2021)","plainCitation":"(Bregnard et al., 2021)","noteIndex":0},"citationItems":[{"id":2988,"uris":["http://zotero.org/groups/5634119/items/VDENFAUA"],"itemData":{"id":2988,"type":"article-journal","abstract":"Abstract\n            \n              Background\n              \n                The incidence of Lyme borreliosis and other tick-borne diseases is increasing in Europe and North America. There is currently much interest in identifying the ecological factors that determine the density of infected ticks as this variable determines the risk of Lyme borreliosis to vertebrate hosts, including humans. Lyme borreliosis is caused by the bacterium\n                Borrelia burgdorferi\n                sensu lato (s.l.) and in western Europe, the hard tick\n                Ixodes ricinus\n                is the most important vector.\n              \n            \n            \n              Methods\n              \n                Over a 15-year period (2004–2018), we monitored the monthly abundance of\n                I. ricinus\n                ticks (nymphs and adults) and their\n                B. burgdorferi\n                s.l. infection status at four different elevations on a mountain in western Switzerland. We collected climate variables in the field and from nearby weather stations. We obtained data on beech tree seed production (masting) from the literature, as the abundance of\n                Ixodes\n                nymphs can increase dramatically 2 years after a masting event. We used generalized linear mixed effects models and AIC-based model selection to identify the ecological factors that influence inter-annual variation in the nymphal infection prevalence (NIP) and the density of infected nymphs (DIN).\n              \n            \n            \n              Results\n              \n                We found that the NIP decreased by 78% over the study period. Inter-annual variation in the NIP was explained by the mean precipitation in the present year, and the duration that the DNA extraction was stored in the freezer prior to pathogen detection. The DIN decreased over the study period at all four elevation sites, and the decrease was significant at the top elevation. Inter-annual variation in the DIN was best explained by elevation site, year, beech tree masting index 2 years prior and the mean relative humidity in the present year. This is the first study in Europe to demonstrate that seed production by deciduous trees influences the density of nymphs infected with\n                B. burgdorferi\n                s.l. and hence the risk of Lyme borreliosis.\n              \n            \n            \n              Conclusions\n              Public health officials in Europe should be aware that masting by deciduous trees is an important predictor of the risk of Lyme borreliosis.\n            \n            \n              Graphical Abstract","container-title":"Parasites &amp; Vectors","DOI":"10.1186/s13071-021-04646-0","ISSN":"1756-3305","issue":"1","journalAbbreviation":"Parasites Vectors","language":"en","page":"168","source":"DOI.org (Crossref)","title":"Masting by beech trees predicts the risk of Lyme disease","volume":"14","author":[{"family":"Bregnard","given":"Cindy"},{"family":"Rais","given":"Olivier"},{"family":"Voordouw","given":"Maarten Jeroen"}],"issued":{"date-parts":[["2021",3,20]]}}}],"schema":"https://github.com/citation-style-language/schema/raw/master/csl-citation.json"} </w:instrText>
      </w:r>
      <w:r w:rsidR="00D94289">
        <w:fldChar w:fldCharType="separate"/>
      </w:r>
      <w:r w:rsidR="7319636E" w:rsidRPr="0F72CF47">
        <w:rPr>
          <w:noProof/>
        </w:rPr>
        <w:t>(Bregnard et al., 2021)</w:t>
      </w:r>
      <w:r w:rsidR="00D94289">
        <w:fldChar w:fldCharType="end"/>
      </w:r>
      <w:r w:rsidR="41409EC4">
        <w:t>.</w:t>
      </w:r>
    </w:p>
    <w:p w14:paraId="222C5149" w14:textId="66568F20" w:rsidR="00773F71" w:rsidRDefault="7319636E" w:rsidP="005C1865">
      <w:pPr>
        <w:pStyle w:val="BodyText"/>
        <w:spacing w:before="0" w:after="0"/>
        <w:ind w:firstLine="720"/>
      </w:pPr>
      <w:r>
        <w:t>Species exist in the context of their environment and biological community</w:t>
      </w:r>
      <w:r w:rsidR="001C786B">
        <w:t>;</w:t>
      </w:r>
      <w:r>
        <w:t xml:space="preserve"> thus</w:t>
      </w:r>
      <w:r w:rsidR="001C786B">
        <w:t>,</w:t>
      </w:r>
      <w:r>
        <w:t xml:space="preserve"> declines in any species </w:t>
      </w:r>
      <w:r w:rsidR="001C786B">
        <w:t>will likely have</w:t>
      </w:r>
      <w:r>
        <w:t xml:space="preserve"> cascading impacts </w:t>
      </w:r>
      <w:r w:rsidR="001C786B">
        <w:t xml:space="preserve">on </w:t>
      </w:r>
      <w:r w:rsidR="29A22830">
        <w:t>other species</w:t>
      </w:r>
      <w:r>
        <w:t xml:space="preserve"> </w:t>
      </w:r>
      <w:r w:rsidR="001C786B">
        <w:t xml:space="preserve">and </w:t>
      </w:r>
      <w:r>
        <w:t xml:space="preserve">ecosystem </w:t>
      </w:r>
      <w:r w:rsidR="043728A4">
        <w:t>processes</w:t>
      </w:r>
      <w:r w:rsidR="341DE6A7">
        <w:t xml:space="preserve"> </w:t>
      </w:r>
      <w:r w:rsidR="00D16839">
        <w:fldChar w:fldCharType="begin"/>
      </w:r>
      <w:r w:rsidR="00D16839">
        <w:instrText xml:space="preserve"> ADDIN ZOTERO_ITEM CSL_CITATION {"citationID":"rZXD83Qv","properties":{"formattedCitation":"(Donoso et al., 2020; Kehoe et al., 2021)","plainCitation":"(Donoso et al., 2020; Kehoe et al., 2021)","noteIndex":0},"citationItems":[{"id":2530,"uris":["http://zotero.org/users/6391447/items/B5R8FK83"],"itemData":{"id":2530,"type":"article-journal","abstract":"Abstract\n            Downsizing of animal communities due to defaunation is prevalent in many ecosystems. Yet, we know little about its consequences for ecosystem functions such as seed dispersal. Here, we use eight seed-dispersal networks sampled across the Andes and simulate how downsizing of avian frugivores impacts structural network robustness and seed dispersal. We use a trait-based modeling framework to quantify the consequences of downsizing—relative to random extinctions—for the number of interactions and secondary plant extinctions (as measures of structural robustness) and for long-distance seed dispersal (as a measure of ecosystem function). We find that downsizing leads to stronger functional than structural losses. For instance, 10% size-structured loss of bird species results in almost 40% decline of long-distance seed dispersal, but in less than 10% of structural loss. Our simulations reveal that measures of the structural robustness of ecological networks underestimate the consequences of animal extinction and downsizing for ecosystem functioning.","container-title":"Nature Communications","DOI":"10.1038/s41467-020-15438-y","ISSN":"2041-1723","issue":"1","journalAbbreviation":"Nat Commun","language":"en","page":"1582","source":"DOI.org (Crossref)","title":"Downsizing of animal communities triggers stronger functional than structural decay in seed-dispersal networks","volume":"11","author":[{"family":"Donoso","given":"Isabel"},{"family":"Sorensen","given":"Marjorie C."},{"family":"Blendinger","given":"Pedro G."},{"family":"Kissling","given":"W. Daniel"},{"family":"Neuschulz","given":"Eike Lena"},{"family":"Mueller","given":"Thomas"},{"family":"Schleuning","given":"Matthias"}],"issued":{"date-parts":[["2020",3,27]]}}},{"id":3124,"uris":["http://zotero.org/groups/5634119/items/GZAN58IC"],"itemData":{"id":3124,"type":"article-journal","abstract":"1. The decline in insect abundance and diversity observed in many ecosystems is of major concern because of the long‐term consequences for ecosystem function and stability.\n            2. Species in ecological communities are connected through interactions forming complex networks. Therefore, initial extinctions can cause further species losses through co‐extinctions and extinction cascades, where single extinctions can lead to waves of secondary extinctions. Such knock‐on effects can multiply the initial impact of disturbances, thereby largely adding to the erosion of biodiversity. However, our knowledge of their importance for the current insect decline is hampered because secondary extinctions are challenging to both detect and predict.\n            3. In this review, we bring together theory and knowledge about secondary extinctions in the light of the main drivers of insect decline. We evaluate potential and evidence for cascading extinction for the different drivers and identify major pathways. By providing selected examples we discuss how habitat loss, pollution, species invasions, climate change and overexploitation can cause cascading extinctions. We argue that habitat loss and pollution in particular have the largest potential for such extinctions by changing community structure, the physical environment, and community robustness.\n            4. Overall, cascading extinction are part of an ecosystems' response to anthropogenic drivers but are so far not explicitly measured in their contribution when evaluating biodiversity loss. This knowledge is necessary to predict biodiversity loss and find strategies to buffer against the devastating long‐term impact of habitat loss, pollution, species invasions, and climate change.","container-title":"Ecological Entomology","DOI":"10.1111/een.12985","ISSN":"0307-6946, 1365-2311","issue":"4","journalAbbreviation":"Ecological Entomology","language":"en","page":"743-756","source":"DOI.org (Crossref)","title":"Cascading extinctions as a hidden driver of insect decline","volume":"46","author":[{"family":"Kehoe","given":"Rachel"},{"family":"Frago","given":"Enric"},{"family":"Sanders","given":"Dirk"}],"issued":{"date-parts":[["2021",8]]}}}],"schema":"https://github.com/citation-style-language/schema/raw/master/csl-citation.json"} </w:instrText>
      </w:r>
      <w:r w:rsidR="00D16839">
        <w:fldChar w:fldCharType="separate"/>
      </w:r>
      <w:r w:rsidR="341DE6A7" w:rsidRPr="0F72CF47">
        <w:rPr>
          <w:noProof/>
        </w:rPr>
        <w:t>(Donoso et al., 2020; Kehoe et al., 2021)</w:t>
      </w:r>
      <w:r w:rsidR="00D16839">
        <w:fldChar w:fldCharType="end"/>
      </w:r>
      <w:r>
        <w:t xml:space="preserve">. </w:t>
      </w:r>
      <w:r w:rsidR="410A54F9">
        <w:t>Furthermore, s</w:t>
      </w:r>
      <w:r>
        <w:t>pecies interactions are dynamic across space and time</w:t>
      </w:r>
      <w:r w:rsidR="001C786B">
        <w:t xml:space="preserve">. Thus, </w:t>
      </w:r>
      <w:r>
        <w:t xml:space="preserve">we need long-term, large-scale analyses of these interactions to understand how they </w:t>
      </w:r>
      <w:r w:rsidR="7793253A">
        <w:t>change with</w:t>
      </w:r>
      <w:r>
        <w:t xml:space="preserve"> climate and habitat context</w:t>
      </w:r>
      <w:r w:rsidR="21FF938A">
        <w:t xml:space="preserve"> </w:t>
      </w:r>
      <w:r w:rsidR="00D16839">
        <w:fldChar w:fldCharType="begin"/>
      </w:r>
      <w:r w:rsidR="00D16839">
        <w:instrText xml:space="preserve"> ADDIN ZOTERO_ITEM CSL_CITATION {"citationID":"zd63JrQG","properties":{"formattedCitation":"(Liu &amp; Gaines, 2022)","plainCitation":"(Liu &amp; Gaines, 2022)","noteIndex":0},"citationItems":[{"id":3001,"uris":["http://zotero.org/groups/5634119/items/LW73UBXP"],"itemData":{"id":3001,"type":"article-journal","abstract":"Ecological interactions are not uniform across time and can vary with environmental conditions. Yet, interactions among species are often measured with short-term controlled experiments whose outcomes can depend greatly on the particular environmental conditions under which they are performed. As an alternative, we use empirical dynamic modeling to estimate species interactions across a wide range of environmental conditions directly from existing long-term monitoring data. In our case study from a southern California kelp forest, we test whether interactions between multiple kelp and sea urchin species can be reliably reconstructed from time-series data and whether those interactions vary predictably in strength and direction across observed fluctuations in temperature, disturbance, and low-frequency oceanographic regimes. We show that environmental context greatly alters the strength and direction of species interactions. In particular, the state of the North Pacific Gyre Oscillation seems to drive the competitive balance between kelp species, asserting bottom-up control on kelp ecosystem dynamics. We show the importance of specifically studying variation in interaction strength, rather than mean interaction outcomes, when trying to understand the dynamics of complex ecosystems. The significant context dependency in species interactions found in this study argues for a greater utilization of long-term data and empirical dynamic modeling in studies of the dynamics of other ecosystems.","container-title":"Proceedings of the National Academy of Sciences","DOI":"10.1073/pnas.2118539119","ISSN":"0027-8424, 1091-6490","issue":"36","journalAbbreviation":"Proc. Natl. Acad. Sci. U.S.A.","language":"en","page":"e2118539119","source":"DOI.org (Crossref)","title":"Environmental context dependency in species interactions","volume":"119","author":[{"family":"Liu","given":"Owen R."},{"family":"Gaines","given":"Steven D."}],"issued":{"date-parts":[["2022",9,6]]}}}],"schema":"https://github.com/citation-style-language/schema/raw/master/csl-citation.json"} </w:instrText>
      </w:r>
      <w:r w:rsidR="00D16839">
        <w:fldChar w:fldCharType="separate"/>
      </w:r>
      <w:r w:rsidR="21FF938A" w:rsidRPr="0F72CF47">
        <w:rPr>
          <w:noProof/>
        </w:rPr>
        <w:t>(Liu &amp; Gaines, 2022)</w:t>
      </w:r>
      <w:r w:rsidR="00D16839">
        <w:fldChar w:fldCharType="end"/>
      </w:r>
      <w:r>
        <w:t xml:space="preserve">. </w:t>
      </w:r>
      <w:r w:rsidR="410A54F9">
        <w:t>Incorporating species interactions and their complex</w:t>
      </w:r>
      <w:r w:rsidR="21FF938A">
        <w:t>ity</w:t>
      </w:r>
      <w:r w:rsidR="410A54F9">
        <w:t xml:space="preserve"> into </w:t>
      </w:r>
      <w:r w:rsidR="1874089F">
        <w:t>models of</w:t>
      </w:r>
      <w:r w:rsidR="410A54F9">
        <w:t xml:space="preserve"> population trends will help</w:t>
      </w:r>
      <w:r w:rsidR="7BB2A700">
        <w:t xml:space="preserve"> to</w:t>
      </w:r>
      <w:r w:rsidR="3E96333F">
        <w:t xml:space="preserve"> improve</w:t>
      </w:r>
      <w:r w:rsidR="410A54F9">
        <w:t xml:space="preserve"> </w:t>
      </w:r>
      <w:r w:rsidR="49AAEE06">
        <w:t>predictions of biodiversity</w:t>
      </w:r>
      <w:r w:rsidR="410A54F9">
        <w:t xml:space="preserve"> across the globe</w:t>
      </w:r>
      <w:r w:rsidR="341DE6A7">
        <w:t xml:space="preserve"> </w:t>
      </w:r>
      <w:r w:rsidR="00D16839">
        <w:fldChar w:fldCharType="begin"/>
      </w:r>
      <w:r w:rsidR="00D16839">
        <w:instrText xml:space="preserve"> ADDIN ZOTERO_ITEM CSL_CITATION {"citationID":"XvMnl9ql","properties":{"formattedCitation":"(Ockendon et al., 2014; Svenning et al., 2014; Tylianakis et al., 2008)","plainCitation":"(Ockendon et al., 2014; Svenning et al., 2014; Tylianakis et al., 2008)","noteIndex":0},"citationItems":[{"id":3133,"uris":["http://zotero.org/groups/5634119/items/CLHR7P24"],"itemData":{"id":3133,"type":"article-journal","abstract":"Abstract\n            Shifts in species' distribution and abundance in response to climate change have been well documented, but the underpinning processes are still poorly understood. We present the results of a systematic literature review and meta‐analysis investigating the frequency and importance of different mechanisms by which climate has impacted natural populations. Most studies were from temperate latitudes of North America and Europe; almost half investigated bird populations. We found significantly greater support for indirect, biotic mechanisms than direct, abiotic mechanisms as mediators of the impact of climate on populations. In addition, biotic effects tended to have greater support than abiotic factors in studies of species from higher trophic levels. For primary consumers, the impact of climate was equally mediated by biotic and abiotic mechanisms, whereas for higher level consumers the mechanisms were most frequently biotic, such as predation or food availability. Biotic mechanisms were more frequently supported in studies that reported a directional trend in climate than in studies with no such climatic change, although sample sizes for this comparison were small. We call for more mechanistic studies of climate change impacts on populations, particularly in tropical systems.","container-title":"Global Change Biology","DOI":"10.1111/gcb.12559","ISSN":"1354-1013, 1365-2486","issue":"7","journalAbbreviation":"Global Change Biology","language":"en","license":"http://onlinelibrary.wiley.com/termsAndConditions#vor","page":"2221-2229","source":"DOI.org (Crossref)","title":"Mechanisms underpinning climatic impacts on natural populations: altered species interactions are more important than direct effects","title-short":"Mechanisms underpinning climatic impacts on natural populations","volume":"20","author":[{"family":"Ockendon","given":"Nancy"},{"family":"Baker","given":"David J."},{"family":"Carr","given":"Jamie A."},{"family":"White","given":"Elizabeth C."},{"family":"Almond","given":"Rosamunde E. A."},{"family":"Amano","given":"Tatsuya"},{"family":"Bertram","given":"Esther"},{"family":"Bradbury","given":"Richard B."},{"family":"Bradley","given":"Cassie"},{"family":"Butchart","given":"Stuart H. M."},{"family":"Doswald","given":"Nathalie"},{"family":"Foden","given":"Wendy"},{"family":"Gill","given":"David J. C."},{"family":"Green","given":"Rhys E."},{"family":"Sutherland","given":"William J."},{"family":"Tanner","given":"Edmund V. J."},{"family":"Pearce‐Higgins","given":"James W."}],"issued":{"date-parts":[["2014",7]]}}},{"id":3152,"uris":["http://zotero.org/groups/5634119/items/4XVHA4BB"],"itemData":{"id":3152,"type":"article-journal","abstract":"Ongoing and predicted global change makes understanding and predicting species' range shifts an urgent scientific priority. Here, we provide a synthetic perspective on the so far poorly understood effects of interspecific interactions on range expansion rates. We present theoretical foundations for how interspecific interactions may modulate range expansion rates, consider examples from empirical studies of biological invasions and natural range expansions as well as process‐based simulations, and discuss how interspecific interactions can be more broadly represented in process‐based, spatiotemporally explicit range forecasts. Theory tells us that interspecific interactions affect expansion rates via alteration of local population growth rates and spatial displacement rates, but also via effects on other demographic parameters. The best empirical evidence for interspecific effects on expansion rates comes from studies of biological invasions. Notably, invasion studies indicate that competitive dominance and release from specialized enemies can enhance expansion rates. Studies of natural range expansions especially point to the potential for competition from resident species to reduce expansion rates. Overall, it is clear that interspecific interactions may have important consequences for range dynamics, but also that their effects have received too little attention to robustly generalize on their importance. We then discuss how interspecific interactions effects can be more widely incorporated in dynamic modeling of range expansions. Importantly, models must describe spatiotemporal variation in both local population dynamics and dispersal. Finally, we derive the following guidelines for when it is particularly important to explicitly represent interspecific interactions in dynamic range expansion forecasts: if most interacting species show correlated spatial or temporal trends in their effects on the target species, if the number of interacting species is low, and if the abundance of one or more strongly interacting species is not closely linked to the abundance of the target species.","container-title":"Ecography","DOI":"10.1111/j.1600-0587.2013.00574.x","ISSN":"0906-7590, 1600-0587","issue":"12","journalAbbreviation":"Ecography","language":"en","page":"1198-1209","source":"DOI.org (Crossref)","title":"The influence of interspecific interactions on species range expansion rates","volume":"37","author":[{"family":"Svenning","given":"Jens‐Christian"},{"family":"Gravel","given":"Dominique"},{"family":"Holt","given":"Robert D."},{"family":"Schurr","given":"Frank M."},{"family":"Thuiller","given":"Wilfried"},{"family":"Münkemüller","given":"Tamara"},{"family":"Schiffers","given":"Katja H."},{"family":"Dullinger","given":"Stefan"},{"family":"Edwards","given":"Thomas C."},{"family":"Hickler","given":"Thomas"},{"family":"Higgins","given":"Steven I."},{"family":"Nabel","given":"Julia E. M. S."},{"family":"Pagel","given":"Jörn"},{"family":"Normand","given":"Signe"}],"issued":{"date-parts":[["2014",12]]}}},{"id":138,"uris":["http://zotero.org/users/6391447/items/695HTSZE"],"itemData":{"id":138,"type":"article-journal","abstract":"The main drivers of global environmental change (CO2 enrichment, nitrogen deposition, climate, biotic invasions and land use) cause extinctions and alter species distributions, and recent evidence shows that they exert pervasive impacts on various antagonistic and mutualistic interactions among species. In this review, we synthesize data from 688 published studies to show that these drivers often alter competitive interactions among plants and animals, exert multitrophic effects on the decomposer food web, increase intensity of pathogen infection, weaken mutualisms involving plants, and enhance herbivory while having variable effects on predation. A recurrent ﬁnding is that there is substantial variability among studies in both the magnitude and direction of effects of any given GEC driver on any given type of biotic interaction. Further, we show that higher order effects among multiple drivers acting simultaneously create challenges in predicting future responses to global environmental change, and that extrapolating these complex impacts across entire networks of species interactions yields unanticipated effects on ecosystems. Finally, we conclude that in order to reliably predict the effects of GEC on community and ecosystem processes, the greatest single challenge will be to determine how biotic and abiotic context alters the direction and magnitude of GEC effects on biotic interactions.","container-title":"Ecology Letters","DOI":"10.1111/j.1461-0248.2008.01250.x","ISSN":"1461023X, 14610248","issue":"12","language":"en","page":"1351-1363","source":"DOI.org (Crossref)","title":"Global change and species interactions in terrestrial ecosystems","volume":"11","author":[{"family":"Tylianakis","given":"Jason M."},{"family":"Didham","given":"Raphael K."},{"family":"Bascompte","given":"Jordi"},{"family":"Wardle","given":"David A."}],"issued":{"date-parts":[["2008",12]]}}}],"schema":"https://github.com/citation-style-language/schema/raw/master/csl-citation.json"} </w:instrText>
      </w:r>
      <w:r w:rsidR="00D16839">
        <w:fldChar w:fldCharType="separate"/>
      </w:r>
      <w:r w:rsidR="341DE6A7" w:rsidRPr="0F72CF47">
        <w:rPr>
          <w:noProof/>
        </w:rPr>
        <w:t>(Ockendon et al., 2014; Svenning et al., 2014; Tylianakis et al., 2008)</w:t>
      </w:r>
      <w:r w:rsidR="00D16839">
        <w:fldChar w:fldCharType="end"/>
      </w:r>
      <w:r w:rsidR="410A54F9">
        <w:t xml:space="preserve">. </w:t>
      </w:r>
      <w:bookmarkEnd w:id="9"/>
    </w:p>
    <w:p w14:paraId="43522470" w14:textId="0EC2DC20" w:rsidR="00773F71" w:rsidRPr="00D8681D" w:rsidRDefault="00773F71" w:rsidP="00773F71">
      <w:pPr>
        <w:pStyle w:val="Heading1"/>
        <w:spacing w:before="180" w:after="180"/>
        <w:rPr>
          <w:sz w:val="28"/>
          <w:szCs w:val="28"/>
        </w:rPr>
      </w:pPr>
      <w:r w:rsidRPr="00D8681D">
        <w:rPr>
          <w:sz w:val="28"/>
          <w:szCs w:val="28"/>
        </w:rPr>
        <w:t>Materials and Methods</w:t>
      </w:r>
    </w:p>
    <w:p w14:paraId="399B2CD7" w14:textId="5977501D" w:rsidR="00773F71" w:rsidRDefault="001C786B" w:rsidP="00D8681D">
      <w:pPr>
        <w:pStyle w:val="BodyText"/>
      </w:pPr>
      <w:r w:rsidRPr="00D8681D">
        <w:rPr>
          <w:b/>
        </w:rPr>
        <w:t xml:space="preserve">Study </w:t>
      </w:r>
      <w:r>
        <w:rPr>
          <w:b/>
        </w:rPr>
        <w:t>S</w:t>
      </w:r>
      <w:r w:rsidRPr="00D8681D">
        <w:rPr>
          <w:b/>
        </w:rPr>
        <w:t xml:space="preserve">ystem and </w:t>
      </w:r>
      <w:r>
        <w:rPr>
          <w:b/>
        </w:rPr>
        <w:t>S</w:t>
      </w:r>
      <w:r w:rsidRPr="00D8681D">
        <w:rPr>
          <w:b/>
        </w:rPr>
        <w:t xml:space="preserve">tudy </w:t>
      </w:r>
      <w:r>
        <w:rPr>
          <w:b/>
        </w:rPr>
        <w:t>R</w:t>
      </w:r>
      <w:r w:rsidRPr="00D8681D">
        <w:rPr>
          <w:b/>
        </w:rPr>
        <w:t>egion</w:t>
      </w:r>
      <w:r w:rsidRPr="00D8681D">
        <w:rPr>
          <w:b/>
          <w:bCs/>
        </w:rPr>
        <w:t xml:space="preserve">. </w:t>
      </w:r>
      <w:r w:rsidR="16353D87">
        <w:t>The pinyon jay (</w:t>
      </w:r>
      <w:proofErr w:type="spellStart"/>
      <w:r w:rsidR="16353D87" w:rsidRPr="0F72CF47">
        <w:rPr>
          <w:i/>
          <w:iCs/>
        </w:rPr>
        <w:t>Gymnorhinus</w:t>
      </w:r>
      <w:proofErr w:type="spellEnd"/>
      <w:r w:rsidR="16353D87" w:rsidRPr="0F72CF47">
        <w:rPr>
          <w:i/>
          <w:iCs/>
        </w:rPr>
        <w:t xml:space="preserve"> </w:t>
      </w:r>
      <w:proofErr w:type="spellStart"/>
      <w:r w:rsidR="16353D87" w:rsidRPr="0F72CF47">
        <w:rPr>
          <w:i/>
          <w:iCs/>
        </w:rPr>
        <w:t>cyanocephalus</w:t>
      </w:r>
      <w:proofErr w:type="spellEnd"/>
      <w:r w:rsidR="16353D87">
        <w:t xml:space="preserve">) is an iconic </w:t>
      </w:r>
      <w:r w:rsidR="0B02F698">
        <w:t>avian</w:t>
      </w:r>
      <w:r w:rsidR="16353D87">
        <w:t xml:space="preserve"> species that resides across the western USA </w:t>
      </w:r>
      <w:r w:rsidR="00773F71">
        <w:fldChar w:fldCharType="begin"/>
      </w:r>
      <w:r w:rsidR="00773F71">
        <w:instrText xml:space="preserve"> ADDIN ZOTERO_ITEM CSL_CITATION {"citationID":"4Adz4IWD","properties":{"formattedCitation":"(Fink et al., 2025)","plainCitation":"(Fink et al., 2025)","dontUpdate":true,"noteIndex":0},"citationItems":[{"id":3030,"uris":["http://zotero.org/users/6391447/items/L7QCJM7G"],"itemData":{"id":3030,"type":"dataset","abstract":"The eBird Status and Trends project generates estimates of bird occurrence and abundance at a high spatiotemporal resolution. This dataset represents the primary modeled results from the analysis workflow and are designed for further analysis, synthesis, visualization, and exploration.","DOI":"10.2173/WZTW8903","language":"en","license":"https://science.ebird.org/en/status-and-trends/products-access-terms-of-use","publisher":"Cornell Lab of Ornithology","source":"DOI.org (Crossref)","title":"eBird Status and Trends, Data Version 2023","URL":"https://science.ebird.org/en/status-and-trends/data-access/ebird-status-data-version-2023","author":[{"family":"Fink","given":"Daniel"},{"family":"Auer","given":"Tom"},{"family":"Johnston","given":"Alison"},{"family":"Strimas-Mackey","given":"Matt"},{"family":"Ligocki","given":"Shawn"},{"family":"Robinson","given":"Orin"},{"family":"Hochachka","given":"Wesley"},{"family":"Jaromczyk","given":"Lauren"},{"family":"Crowley","given":"Cynthia"},{"family":"Dunham","given":"Kylee"},{"family":"Stillman","given":"Andrew"},{"family":"Davis","given":"Courtney"},{"family":"Stokowski","given":"Myles"},{"family":"Ruiz-Gutierrez","given":"Viviana"},{"family":"Wood","given":"Chris"},{"family":"Rodewald","given":"Amanda"}],"contributor":[{"family":"Sharma","given":"Puja"},{"family":"Pantoja","given":"Vicente"},{"family":"Burgin","given":"Daniel"},{"family":"Crowe","given":"Pat"},{"family":"Bell","given":"Mike"},{"family":"Ray","given":"Samantha"},{"family":"Davies","given":"Ian"}],"accessed":{"date-parts":[["2025",10,14]]},"issued":{"date-parts":[["2025",4,30]]}}}],"schema":"https://github.com/citation-style-language/schema/raw/master/csl-citation.json"} </w:instrText>
      </w:r>
      <w:r w:rsidR="00773F71">
        <w:fldChar w:fldCharType="separate"/>
      </w:r>
      <w:r w:rsidR="16353D87" w:rsidRPr="0F72CF47">
        <w:rPr>
          <w:noProof/>
        </w:rPr>
        <w:t>(Fink et al., 2025, Figure 1)</w:t>
      </w:r>
      <w:r w:rsidR="00773F71">
        <w:fldChar w:fldCharType="end"/>
      </w:r>
      <w:r w:rsidR="16353D87">
        <w:t xml:space="preserve">. To quantify relationships between pinyon jays and pinyon pine seed </w:t>
      </w:r>
      <w:r>
        <w:t xml:space="preserve">(cone) </w:t>
      </w:r>
      <w:r w:rsidR="16353D87">
        <w:t>production, we focused on the intermountain and southwest regions of the USA, where broad-scale information is available on two-needle pinyon pine (</w:t>
      </w:r>
      <w:r w:rsidR="16353D87" w:rsidRPr="0F72CF47">
        <w:rPr>
          <w:i/>
          <w:iCs/>
        </w:rPr>
        <w:t>Pinus edulis</w:t>
      </w:r>
      <w:r w:rsidR="16353D87">
        <w:t xml:space="preserve">) cone production, providing a proxy for seed availability </w:t>
      </w:r>
      <w:r w:rsidR="00773F71">
        <w:fldChar w:fldCharType="begin"/>
      </w:r>
      <w:r w:rsidR="00C957C2">
        <w:instrText xml:space="preserve"> ADDIN ZOTERO_ITEM CSL_CITATION {"citationID":"PhwQuiUj","properties":{"formattedCitation":"(Wion et al., 2025)","plainCitation":"(Wion et al., 2025)","noteIndex":0},"citationItems":[{"id":2858,"uris":["http://zotero.org/groups/5634119/items/5C7JLPYL"],"itemData":{"id":2858,"type":"article-journal","abstract":"SummaryPredicting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773F71">
        <w:fldChar w:fldCharType="separate"/>
      </w:r>
      <w:r w:rsidR="16353D87" w:rsidRPr="0F72CF47">
        <w:rPr>
          <w:noProof/>
        </w:rPr>
        <w:t>(Wion et al., 2025)</w:t>
      </w:r>
      <w:r w:rsidR="00773F71">
        <w:fldChar w:fldCharType="end"/>
      </w:r>
      <w:r w:rsidR="16353D87">
        <w:t xml:space="preserve">. While two-needle pinyon (hereafter, “pinyon”) is an important seed source, it is likely that pinyon jays rely on other species of pinyon pine (e.g., </w:t>
      </w:r>
      <w:r w:rsidR="16353D87" w:rsidRPr="0F72CF47">
        <w:rPr>
          <w:i/>
          <w:iCs/>
        </w:rPr>
        <w:t xml:space="preserve">P. </w:t>
      </w:r>
      <w:proofErr w:type="spellStart"/>
      <w:r w:rsidR="16353D87" w:rsidRPr="0F72CF47">
        <w:rPr>
          <w:i/>
          <w:iCs/>
        </w:rPr>
        <w:t>cembroides</w:t>
      </w:r>
      <w:proofErr w:type="spellEnd"/>
      <w:r w:rsidR="16353D87" w:rsidRPr="0F72CF47">
        <w:rPr>
          <w:i/>
          <w:iCs/>
        </w:rPr>
        <w:t>, P. monophyla</w:t>
      </w:r>
      <w:r w:rsidR="16353D87">
        <w:t xml:space="preserve">) and other seed-producing species (e.g., oaks, </w:t>
      </w:r>
      <w:r w:rsidR="16353D87" w:rsidRPr="0F72CF47">
        <w:rPr>
          <w:i/>
          <w:iCs/>
        </w:rPr>
        <w:t>P. ponderosa</w:t>
      </w:r>
      <w:r w:rsidR="16353D87">
        <w:t>) for food and habitat across their range, yet we lack wide-scale estimates of seed production for these other species. Overall, our study region represents ~55% of the total population range for pinyon jays,</w:t>
      </w:r>
      <w:r w:rsidR="00F525BF">
        <w:t xml:space="preserve"> the total range of two-needle pinyon pine,</w:t>
      </w:r>
      <w:r w:rsidR="16353D87">
        <w:t xml:space="preserve"> and </w:t>
      </w:r>
      <w:r w:rsidR="2F4C8043">
        <w:t xml:space="preserve">spans broad climatic </w:t>
      </w:r>
      <w:r w:rsidR="43B860C7">
        <w:t>gradients.</w:t>
      </w:r>
      <w:r w:rsidR="16353D87">
        <w:t xml:space="preserve"> </w:t>
      </w:r>
      <w:r w:rsidR="29E6291B">
        <w:t>M</w:t>
      </w:r>
      <w:r w:rsidR="16353D87">
        <w:t>ean annual precipitation</w:t>
      </w:r>
      <w:r w:rsidR="022C589A">
        <w:t xml:space="preserve"> </w:t>
      </w:r>
      <w:r w:rsidR="022C589A">
        <w:lastRenderedPageBreak/>
        <w:t>is 3</w:t>
      </w:r>
      <w:r w:rsidR="60F22960">
        <w:t>9</w:t>
      </w:r>
      <w:r w:rsidR="022C589A">
        <w:t>0 mm year</w:t>
      </w:r>
      <w:r w:rsidR="022C589A" w:rsidRPr="0F72CF47">
        <w:rPr>
          <w:vertAlign w:val="superscript"/>
        </w:rPr>
        <w:t xml:space="preserve"> -1</w:t>
      </w:r>
      <w:r w:rsidR="16353D87">
        <w:t xml:space="preserve"> (</w:t>
      </w:r>
      <w:r w:rsidR="05BDBB28">
        <w:t xml:space="preserve">range = </w:t>
      </w:r>
      <w:r w:rsidR="64AC4EC3">
        <w:t>113</w:t>
      </w:r>
      <w:r w:rsidR="05BDBB28">
        <w:t xml:space="preserve"> </w:t>
      </w:r>
      <w:r w:rsidR="7DE0A18B">
        <w:t>to</w:t>
      </w:r>
      <w:r w:rsidR="05BDBB28">
        <w:t xml:space="preserve"> 1</w:t>
      </w:r>
      <w:r w:rsidR="7F1128EB">
        <w:t>374</w:t>
      </w:r>
      <w:r>
        <w:t xml:space="preserve"> mm</w:t>
      </w:r>
      <w:r w:rsidR="16353D87">
        <w:t>)</w:t>
      </w:r>
      <w:r w:rsidR="3FE2E936">
        <w:t xml:space="preserve"> and</w:t>
      </w:r>
      <w:r w:rsidR="16353D87">
        <w:t xml:space="preserve"> mean annual temperature</w:t>
      </w:r>
      <w:r w:rsidR="48A024A9">
        <w:t xml:space="preserve"> </w:t>
      </w:r>
      <w:r w:rsidR="63C05A75">
        <w:t xml:space="preserve">is </w:t>
      </w:r>
      <w:r w:rsidR="7BA205A5">
        <w:t>9</w:t>
      </w:r>
      <w:r w:rsidR="63C05A75">
        <w:t>.</w:t>
      </w:r>
      <w:r w:rsidR="39DD6A45">
        <w:t>3</w:t>
      </w:r>
      <w:r w:rsidR="63C05A75" w:rsidRPr="0F72CF47">
        <w:rPr>
          <w:vertAlign w:val="superscript"/>
        </w:rPr>
        <w:t xml:space="preserve"> </w:t>
      </w:r>
      <w:proofErr w:type="spellStart"/>
      <w:r w:rsidR="63C05A75" w:rsidRPr="0F72CF47">
        <w:rPr>
          <w:vertAlign w:val="superscript"/>
        </w:rPr>
        <w:t>o</w:t>
      </w:r>
      <w:r w:rsidR="63C05A75">
        <w:t>C</w:t>
      </w:r>
      <w:proofErr w:type="spellEnd"/>
      <w:r w:rsidR="16353D87">
        <w:t xml:space="preserve"> (</w:t>
      </w:r>
      <w:r w:rsidR="2C3FCF7C">
        <w:t>range = -</w:t>
      </w:r>
      <w:r w:rsidR="1207A85D">
        <w:t>0.7</w:t>
      </w:r>
      <w:r w:rsidR="2C3FCF7C">
        <w:t xml:space="preserve"> to 2</w:t>
      </w:r>
      <w:r w:rsidR="2CCFFB96">
        <w:t>3</w:t>
      </w:r>
      <w:r w:rsidR="2C3FCF7C">
        <w:t>.</w:t>
      </w:r>
      <w:r w:rsidR="4CCC54F7">
        <w:t>4</w:t>
      </w:r>
      <w:r>
        <w:t xml:space="preserve"> </w:t>
      </w:r>
      <w:proofErr w:type="spellStart"/>
      <w:r w:rsidRPr="0F72CF47">
        <w:rPr>
          <w:vertAlign w:val="superscript"/>
        </w:rPr>
        <w:t>o</w:t>
      </w:r>
      <w:r>
        <w:t>C</w:t>
      </w:r>
      <w:proofErr w:type="spellEnd"/>
      <w:r w:rsidR="16353D87">
        <w:t>)</w:t>
      </w:r>
      <w:r w:rsidR="1A7FEFDD">
        <w:t xml:space="preserve"> (</w:t>
      </w:r>
      <w:r w:rsidR="49F08107">
        <w:t xml:space="preserve">1991-2020 climate normals; </w:t>
      </w:r>
      <w:r w:rsidR="00F525BF">
        <w:fldChar w:fldCharType="begin"/>
      </w:r>
      <w:r w:rsidR="00EC0CE3">
        <w:instrText xml:space="preserve"> ADDIN ZOTERO_ITEM CSL_CITATION {"citationID":"6fWFGXK4","properties":{"formattedCitation":"(PRISM Climate Group, 2025)","plainCitation":"(PRISM Climate Group, 2025)","noteIndex":0},"citationItems":[{"id":2673,"uris":["http://zotero.org/users/6391447/items/F8ZSUK7Q"],"itemData":{"id":2673,"type":"software","publisher-place":"Oregon State University","title":"PRISM","URL":"https://prism.oregonstate.edu","author":[{"literal":"PRISM Climate Group"}],"accessed":{"date-parts":[["2023",1,1]]},"issued":{"date-parts":[["2025"]]}}}],"schema":"https://github.com/citation-style-language/schema/raw/master/csl-citation.json"} </w:instrText>
      </w:r>
      <w:r w:rsidR="00F525BF">
        <w:fldChar w:fldCharType="separate"/>
      </w:r>
      <w:r w:rsidR="00F525BF">
        <w:rPr>
          <w:noProof/>
        </w:rPr>
        <w:t>(PRISM Climate Group, 2025)</w:t>
      </w:r>
      <w:r w:rsidR="00F525BF">
        <w:fldChar w:fldCharType="end"/>
      </w:r>
      <w:r>
        <w:t>)</w:t>
      </w:r>
      <w:r w:rsidR="00F525BF">
        <w:t xml:space="preserve">. </w:t>
      </w:r>
      <w:r w:rsidR="69244AEB">
        <w:t>Likewise, forests</w:t>
      </w:r>
      <w:r w:rsidR="1DB93B9A">
        <w:t xml:space="preserve"> and woodlands</w:t>
      </w:r>
      <w:r w:rsidR="69244AEB">
        <w:t xml:space="preserve"> in this region </w:t>
      </w:r>
      <w:r>
        <w:t xml:space="preserve">support </w:t>
      </w:r>
      <w:r w:rsidR="69244AEB">
        <w:t xml:space="preserve">a broad range of compositional and structural </w:t>
      </w:r>
      <w:r w:rsidR="7036F0A6">
        <w:t>characteristics (Romme et al. 2009)</w:t>
      </w:r>
      <w:r w:rsidR="69244AEB">
        <w:t>;</w:t>
      </w:r>
      <w:r>
        <w:t xml:space="preserve"> for example,</w:t>
      </w:r>
      <w:r w:rsidR="16353D87">
        <w:t xml:space="preserve"> pinyon basal area </w:t>
      </w:r>
      <w:r w:rsidR="30B6D032">
        <w:t>range</w:t>
      </w:r>
      <w:r w:rsidR="024CDF3C">
        <w:t>s</w:t>
      </w:r>
      <w:r w:rsidR="30B6D032">
        <w:t xml:space="preserve"> </w:t>
      </w:r>
      <w:r>
        <w:t xml:space="preserve">from </w:t>
      </w:r>
      <w:r w:rsidR="16353D87">
        <w:t>0</w:t>
      </w:r>
      <w:r w:rsidR="07178FCA">
        <w:t xml:space="preserve"> to </w:t>
      </w:r>
      <w:r w:rsidR="08E15CD1">
        <w:t>23</w:t>
      </w:r>
      <w:r w:rsidR="16353D87">
        <w:t xml:space="preserve"> m</w:t>
      </w:r>
      <w:r w:rsidR="16353D87" w:rsidRPr="0F72CF47">
        <w:rPr>
          <w:vertAlign w:val="superscript"/>
        </w:rPr>
        <w:t>2</w:t>
      </w:r>
      <w:r w:rsidR="16353D87">
        <w:t xml:space="preserve"> ha</w:t>
      </w:r>
      <w:r w:rsidR="16353D87" w:rsidRPr="0F72CF47">
        <w:rPr>
          <w:vertAlign w:val="superscript"/>
        </w:rPr>
        <w:t>-1</w:t>
      </w:r>
      <w:r w:rsidR="16353D87">
        <w:t>.</w:t>
      </w:r>
    </w:p>
    <w:p w14:paraId="587AEF1C" w14:textId="09894BBD" w:rsidR="00773F71" w:rsidRDefault="00334D72" w:rsidP="00773F71">
      <w:pPr>
        <w:pStyle w:val="BodyText"/>
      </w:pPr>
      <w:r w:rsidRPr="00D8681D">
        <w:rPr>
          <w:b/>
          <w:bCs/>
        </w:rPr>
        <w:t>Overview of Da</w:t>
      </w:r>
      <w:r w:rsidR="005C16A2" w:rsidRPr="00D8681D">
        <w:rPr>
          <w:b/>
          <w:bCs/>
        </w:rPr>
        <w:t xml:space="preserve">ta Sources. </w:t>
      </w:r>
      <w:r w:rsidR="00773F71">
        <w:t>We compiled data for pinyon jays, pinyon pine</w:t>
      </w:r>
      <w:r w:rsidR="00A67345">
        <w:t xml:space="preserve"> ecosystem</w:t>
      </w:r>
      <w:r w:rsidR="00773F71">
        <w:t xml:space="preserve"> attributes, </w:t>
      </w:r>
      <w:r w:rsidR="00A67345">
        <w:t>and climate</w:t>
      </w:r>
      <w:r w:rsidR="00773F71">
        <w:t xml:space="preserve"> covariates from a variety of sources. Bird data came from eBird (Sullivan et al., 2009, more in Section </w:t>
      </w:r>
      <w:r w:rsidR="008734E2">
        <w:t>4.3</w:t>
      </w:r>
      <w:r w:rsidR="00773F71">
        <w:t xml:space="preserve">.1 below) and pinyon cone abundance came from hindcast estimates from a previous study </w:t>
      </w:r>
      <w:r w:rsidR="00773F71" w:rsidRPr="00315E09">
        <w:fldChar w:fldCharType="begin"/>
      </w:r>
      <w:r w:rsidR="00C957C2">
        <w:instrText xml:space="preserve"> ADDIN ZOTERO_ITEM CSL_CITATION {"citationID":"5mp59DfK","properties":{"formattedCitation":"(Wion et al., 2025)","plainCitation":"(Wion et al., 2025)","dontUpdate":true,"noteIndex":0},"citationItems":[{"id":2858,"uris":["http://zotero.org/groups/5634119/items/5C7JLPYL"],"itemData":{"id":2858,"type":"article-journal","abstract":"SummaryPredicting seed production is challenging because many plants produce highly variable crops among years (i.e. masting), but doing so can inform forest management, conservation, and our understanding of ecosystem trajectories in a changing climate. We evaluated the ability of an existing model to forecast masting in an ecologically and culturally important tree species in the southwestern United States, Pinus edulis.Annual seed cone production was predicted using cross‐validation techniques on two unique out‐of‐sample datasets, representing different collection methods and spatial scales (cone scars and cone counts). We then hindcasted this model into the historical past to evaluate whether seed production has declined with the onset of extreme drought conditions in western North America.The evaluated model had fair skill, with root‐mean‐squared error of 6%. The model had better skill predicting the interannual variability within a site than among sites (i.e. within years). Hindcast analyses indicated recent (2000–2024) mean annual cone production was 30.6% lower than in the past century (1900–1999).Mast forecasts are within reach, but much room remains for improvement. Forecasts may be a powerful tool to anticipate the effects of climate change on forests and woodlands.","container-title":"New Phytologist","DOI":"10.1111/nph.20321","ISSN":"0028-646X, 1469-8137","issue":"2","language":"en","license":"http://onlinelibrary.wiley.com/termsAndConditions#am","page":"450-460","publisher":"Wiley","source":"Crossref","title":"Mast hindcasts reveal pervasive effects of extreme drought on a foundational conifer species","volume":"246","author":[{"family":"Wion","given":"Andreas P."},{"family":"Pearse","given":"Ian S."},{"family":"Broxson","given":"Max"},{"family":"Redmond","given":"Miranda D."}],"issued":{"date-parts":[["2025",4]]}}}],"schema":"https://github.com/citation-style-language/schema/raw/master/csl-citation.json"} </w:instrText>
      </w:r>
      <w:r w:rsidR="00773F71" w:rsidRPr="00315E09">
        <w:fldChar w:fldCharType="separate"/>
      </w:r>
      <w:r w:rsidR="00773F71" w:rsidRPr="00315E09">
        <w:rPr>
          <w:noProof/>
        </w:rPr>
        <w:t xml:space="preserve">(Wion et al., 2025, see Section </w:t>
      </w:r>
      <w:r w:rsidR="008734E2">
        <w:rPr>
          <w:noProof/>
        </w:rPr>
        <w:t>4.3</w:t>
      </w:r>
      <w:r w:rsidR="00773F71" w:rsidRPr="00315E09">
        <w:rPr>
          <w:noProof/>
        </w:rPr>
        <w:t>.2)</w:t>
      </w:r>
      <w:r w:rsidR="00773F71" w:rsidRPr="00315E09">
        <w:fldChar w:fldCharType="end"/>
      </w:r>
      <w:r w:rsidR="00773F71" w:rsidRPr="00315E09">
        <w:t>.</w:t>
      </w:r>
      <w:r w:rsidR="00773F71">
        <w:t xml:space="preserve"> We also examined the mediating effects of habitat and climate on jay-cone relationships (see Section </w:t>
      </w:r>
      <w:r w:rsidR="008734E2">
        <w:t>4.3</w:t>
      </w:r>
      <w:r w:rsidR="00773F71">
        <w:t xml:space="preserve">.3). In particular, we compiled two variables describing habitat quality: pinyon pine basal area (as a proxy of tree abundance) and the North American Monsoon contribution </w:t>
      </w:r>
      <w:r w:rsidR="00773F71">
        <w:fldChar w:fldCharType="begin"/>
      </w:r>
      <w:r w:rsidR="00B332AB">
        <w:instrText xml:space="preserve"> ADDIN ZOTERO_ITEM CSL_CITATION {"citationID":"TzGEhOgB","properties":{"formattedCitation":"(Branson, 2008; Maurer et al., 2020)","plainCitation":"(Branson, 2008; Maurer et al., 2020)","dontUpdate":true,"noteIndex":0},"citationItems":[{"id":2498,"uris":["http://zotero.org/users/6391447/items/VVC4E3XE"],"itemData":{"id":2498,"type":"article-journal","container-title":"Environmental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H."}],"issued":{"date-parts":[["2008",6,1]]}}},{"id":3022,"uris":["http://zotero.org/groups/5634119/items/8223Q6ZZ"],"itemData":{"id":3022,"type":"article-journal","abstract":"Abstract\n            Primary production, a key regulator of the global carbon cycle, is highly responsive to variations in climate. Yet, a detailed, continental‐scale risk assessment of climate‐related impacts on primary production is lacking. We combined 16 years of MODIS NDVI data, a remotely sensed proxy for primary production, with observations from 1218 climate stations to derive values of ecosystem sensitivity to precipitation and aridity. For the first time, we produced an empirically‐derived map of ecosystem sensitivity to climate across the conterminous United States. Over this 16‐year period, annual primary production values were most sensitive to precipitation and aridity in dryland and grassland ecosystems. Century‐long trends measured at the climate stations showed intensifying aridity and climatic variability in many of these sensitive regions. Dryland ecosystems in the western US may be particularly vulnerable to reductions in primary production and consequent degradation of ecosystem services as climate change and variability increase in the future.","container-title":"Ecology Letters","DOI":"10.1111/ele.13455","ISSN":"1461-023X, 1461-0248","issue":"3","journalAbbreviation":"Ecology Letters","language":"en","page":"527-536","source":"DOI.org (Crossref)","title":"Sensitivity of primary production to precipitation across the United States","volume":"23","author":[{"family":"Maurer","given":"Gregory E."},{"family":"Hallmark","given":"Alesia J."},{"family":"Brown","given":"Renée F."},{"family":"Sala","given":"Osvaldo E."},{"family":"Collins","given":"Scott L."}],"editor":[{"family":"Coulson","given":"Tim"}],"issued":{"date-parts":[["2020",3]]}}}],"schema":"https://github.com/citation-style-language/schema/raw/master/csl-citation.json"} </w:instrText>
      </w:r>
      <w:r w:rsidR="00773F71">
        <w:fldChar w:fldCharType="separate"/>
      </w:r>
      <w:r w:rsidR="00773F71">
        <w:rPr>
          <w:noProof/>
        </w:rPr>
        <w:t>(</w:t>
      </w:r>
      <w:r w:rsidR="00A67345">
        <w:rPr>
          <w:noProof/>
        </w:rPr>
        <w:t xml:space="preserve">late summer and early fall precipitation in the region; </w:t>
      </w:r>
      <w:r w:rsidR="00773F71">
        <w:rPr>
          <w:noProof/>
        </w:rPr>
        <w:t>Branson, 2008; Maurer et al., 2020)</w:t>
      </w:r>
      <w:r w:rsidR="00773F71">
        <w:fldChar w:fldCharType="end"/>
      </w:r>
      <w:r w:rsidR="00773F71">
        <w:t xml:space="preserve">. We also incorporated two variables describing climate suitability: seasonal maximum temperature and total seasonal precipitation during seasons that matter for pinyon jay biology </w:t>
      </w:r>
      <w:r w:rsidR="00773F71">
        <w:fldChar w:fldCharType="begin"/>
      </w:r>
      <w:r w:rsidR="00C957C2">
        <w:instrText xml:space="preserve"> ADDIN ZOTERO_ITEM CSL_CITATION {"citationID":"hq0WvKdr","properties":{"formattedCitation":"(Ligon, 1978; McDermott &amp; DeGroote, 2016; Skagen &amp; Adams, 2012; Stotz &amp; Balda, 1995)","plainCitation":"(Ligon, 1978; McDermott &amp; DeGroote, 2016; Skagen &amp; Adams, 2012; Stotz &amp; Balda, 1995)","dontUpdate":true,"noteIndex":0},"citationItems":[{"id":2753,"uris":["http://zotero.org/groups/5634119/items/4RGGXF3K"],"itemData":{"id":2753,"type":"article-journal","abstract":"Pinon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David"}],"issued":{"date-parts":[["1978",3]]}}},{"id":2790,"uris":["http://zotero.org/groups/5634119/items/WUFX4TPL"],"itemData":{"id":2790,"type":"article-journal","abstract":"Abstract\n            Climate change is influencing bird phenology worldwide, but we still lack information on how many species are responding over long temporal periods. We assessed how climate affected passerine reproductive timing and productivity at a constant effort mist‐netting station in western Pennsylvania using a model comparison approach. Several lines of evidence point to the sensitivity of 21 breeding passerines to climate change over five decades. The trends for temperature and precipitation over 53 years were slightly positive due to intraseasonal variation, with the greatest temperature increases and precipitation declines in early spring. Regardless of broodedness, migration distance, or breeding season, 13 species hatched young earlier over time with most advancing &gt;3 days per decade. Warm springs were associated with earlier captures of juveniles for 14 species, ranging from 1‐ to 3‐day advancement for every 1 °C increase. This timing was less likely to be influenced by spring precipitation; nevertheless, higher rainfall was usually associated with later appearance of juveniles and breeding condition in females. Temperature and precipitation were positively related to productivity for seven and eleven species, respectively, with negative relations evident for six and eight species. We found that birds fledged young earlier with increasing spring temperatures, potentially benefiting some multibrooded species. Indeed, some extended the duration of breeding in these warm years. Yet, a few species fledged fewer juveniles in warmer and wetter seasons, indicating that expected future increases could be detrimental to locally breeding populations. Although there were no clear relationships between life history traits and breeding phenology, species‐specific responses to climate found in our study provide novel insights into phenological flexibility in songbirds. Our research underscores the value of long‐term monitoring studies and the importance of continuing constant effort sampling in the face of climate change.","container-title":"Global Change Biology","DOI":"10.1111/gcb.13363","ISSN":"1354-1013, 1365-2486","issue":"10","journalAbbreviation":"Global Change Biology","language":"en","license":"http://onlinelibrary.wiley.com/termsAndConditions#vor","page":"3304-3319","source":"DOI.org (Crossref)","title":"Long‐term climate impacts on breeding bird phenology in Pennsylvania, &lt;span style=\"font-variant:small-caps;\"&gt;USA&lt;/span&gt;","title-short":"Long‐term climate impacts on breeding bird phenology in Pennsylvania, &lt;span style=\"font-variant","volume":"22","author":[{"family":"McDermott","given":"Molly E."},{"family":"DeGroote","given":"Lucas W."}],"issued":{"date-parts":[["2016",10]]}}},{"id":2878,"uris":["http://zotero.org/groups/5634119/items/RZAB57RM"],"itemData":{"id":2878,"type":"article-journal","abstract":"The influence of recent climate change on the world's biota has manifested broadly, resulting in latitudinal range shifts, advancing dates of arrival of migrants and onset of breeding, and altered community relationships. Climate change elevates conservation concerns worldwide because it will likely exacerbate a broad range of identified threats to animal populations. In the past few decades, grassland birds have declined faster than other North American avifauna, largely due to habitat threats such as the intensification of agriculture. We examine the effects of local climatic variations on the breeding performance of a bird endemic to the shortgrass prairie, the Lark Bunting (Calamospiza melanocorys) and discuss the implications of our findings relative to future climate predictions. Clutch size, nest survival, and productivity all positively covaried with seasonal precipitation, yet relatively intense daily precipitation events temporarily depressed daily survival of nests. Nest survival was positively related to average temperatures during the breeding season. Declining summer precipitation may reduce the likelihood that Lark Buntings can maintain stable breeding populations in eastern Colorado although average temperature increases of up to 3°C (within the range of this study) may ameliorate declines in survival expected with drier conditions. Historic climate variability in the Great Plains selects for a degree of vagility and opportunism rather than strong site fidelity and specific adaptation to local environments. These traits may lead to northerly shifts in distribution if climatic and habitat conditions become less favorable in the drying southern regions of the Great Plains. Distributional shifts in Lark Buntings could be constrained by future changes in land use, agricultural practices, or vegetative communities that result in further loss of shortgrass prairie habitats.","container-title":"Ecological Applications","DOI":"10.1890/11-0291.1","ISSN":"1051-0761, 1939-5582","issue":"4","language":"en","license":"http://onlinelibrary.wiley.com/termsAndConditions#vor","page":"1131-1145","publisher":"Wiley","source":"Crossref","title":"Weather effects on avian breeding performance and implications of climate change","volume":"22","author":[{"family":"Skagen","given":"Susan K."},{"family":"Adams","given":"Amy A. Yackel"}],"issued":{"date-parts":[["2012",6]]}}},{"id":2860,"uris":["http://zotero.org/groups/5634119/items/MRSH59Y5"],"itemData":{"id":2860,"type":"article-journal","container-title":"The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00773F71">
        <w:fldChar w:fldCharType="separate"/>
      </w:r>
      <w:r w:rsidR="00773F71" w:rsidRPr="10F02EB4">
        <w:rPr>
          <w:noProof/>
        </w:rPr>
        <w:t>(</w:t>
      </w:r>
      <w:r w:rsidR="00773F71">
        <w:rPr>
          <w:noProof/>
        </w:rPr>
        <w:t xml:space="preserve">see Section </w:t>
      </w:r>
      <w:r w:rsidR="008734E2">
        <w:rPr>
          <w:noProof/>
        </w:rPr>
        <w:t>4.3</w:t>
      </w:r>
      <w:r w:rsidR="00773F71">
        <w:rPr>
          <w:noProof/>
        </w:rPr>
        <w:t xml:space="preserve">.3; </w:t>
      </w:r>
      <w:r w:rsidR="00773F71" w:rsidRPr="10F02EB4">
        <w:rPr>
          <w:noProof/>
        </w:rPr>
        <w:t>Ligon, 1978; McDermott &amp; DeGroote, 2016; Skagen &amp; Adams, 2012; Stotz &amp; Balda, 1995)</w:t>
      </w:r>
      <w:r w:rsidR="00773F71">
        <w:fldChar w:fldCharType="end"/>
      </w:r>
      <w:r w:rsidR="00773F71">
        <w:t xml:space="preserve">. </w:t>
      </w:r>
    </w:p>
    <w:p w14:paraId="030DD2A1" w14:textId="18E47492" w:rsidR="00773F71" w:rsidRDefault="00334D72" w:rsidP="00D8681D">
      <w:pPr>
        <w:pStyle w:val="BodyText"/>
        <w:spacing w:before="0" w:after="0"/>
      </w:pPr>
      <w:r w:rsidRPr="00D8681D">
        <w:rPr>
          <w:b/>
          <w:bCs/>
        </w:rPr>
        <w:t xml:space="preserve">Pinyon Jay Abundance Data. </w:t>
      </w:r>
      <w:r>
        <w:t>W</w:t>
      </w:r>
      <w:r w:rsidR="00773F71">
        <w:t xml:space="preserve">e leveraged data from eBird </w:t>
      </w:r>
      <w:r w:rsidR="00773F71">
        <w:fldChar w:fldCharType="begin"/>
      </w:r>
      <w:r w:rsidR="00773F71">
        <w:instrText xml:space="preserve"> ADDIN ZOTERO_ITEM CSL_CITATION {"citationID":"IgecEyH7","properties":{"formattedCitation":"(Sullivan et al., 2009)","plainCitation":"(Sullivan et al., 2009)","noteIndex":0},"citationItems":[{"id":2330,"uris":["http://zotero.org/groups/4936574/items/WEAIMI7B"],"itemData":{"id":2330,"type":"article-journal","container-title":"Biological Conservation","DOI":"10.1016/j.biocon.2009.05.006","ISSN":"00063207","issue":"10","journalAbbreviation":"Biological Conservation","language":"en","license":"https://www.elsevier.com/tdm/userlicense/1.0/","page":"2282-2292","source":"DOI.org (Crossref)","title":"eBird: A citizen-based bird observation network in the biological sciences","title-short":"eBird","volume":"142","author":[{"family":"Sullivan","given":"Brian L."},{"family":"Wood","given":"Christopher L."},{"family":"Iliff","given":"Marshall J."},{"family":"Bonney","given":"Rick E."},{"family":"Fink","given":"Daniel"},{"family":"Kelling","given":"Steve"}],"issued":{"date-parts":[["2009",10]]}}}],"schema":"https://github.com/citation-style-language/schema/raw/master/csl-citation.json"} </w:instrText>
      </w:r>
      <w:r w:rsidR="00773F71">
        <w:fldChar w:fldCharType="separate"/>
      </w:r>
      <w:r w:rsidR="00773F71" w:rsidRPr="5A83A434">
        <w:rPr>
          <w:noProof/>
        </w:rPr>
        <w:t>(Sullivan et al., 2009)</w:t>
      </w:r>
      <w:r w:rsidR="00773F71">
        <w:fldChar w:fldCharType="end"/>
      </w:r>
      <w:r w:rsidR="00773F71">
        <w:t xml:space="preserve"> </w:t>
      </w:r>
      <w:r>
        <w:t xml:space="preserve">to estimate pinyon jay abundance in </w:t>
      </w:r>
      <w:r w:rsidR="00773F71">
        <w:t xml:space="preserve">the southwestern USA (Arizona, Colorado, New Mexico, and Utah; Figure 1). eBird has broad spatial and temporal coverage within the region of interest and its spatial scale aligns with the spatial resolution of the climate covariates (4 km </w:t>
      </w:r>
      <w:r w:rsidR="00773F71">
        <w:rPr>
          <w:rFonts w:ascii="Symbol" w:eastAsia="Symbol" w:hAnsi="Symbol" w:cs="Symbol"/>
        </w:rPr>
        <w:t>´</w:t>
      </w:r>
      <w:r w:rsidR="00773F71">
        <w:t xml:space="preserve"> 4 km grid cells). We downloaded all checklists and kept years with good checklist coverage for the region (2010-2022). We filtered checklists to include areas supporting pinyon pine cover in the 2000s </w:t>
      </w:r>
      <w:r w:rsidR="00773F71">
        <w:fldChar w:fldCharType="begin"/>
      </w:r>
      <w:r w:rsidR="00773F71">
        <w:instrText xml:space="preserve"> ADDIN ZOTERO_ITEM CSL_CITATION {"citationID":"SfHl3NX0","properties":{"formattedCitation":"(Wilson et al., 2013)","plainCitation":"(Wilson et al., 2013)","dontUpdate":true,"noteIndex":0},"citationItems":[{"id":2974,"uris":["http://zotero.org/groups/5634119/items/C475LZBY"],"itemData":{"id":2974,"type":"dataset","DOI":"10.2737/RDS-2013-0013","language":"en","publisher":"Forest Service Research Data Archive","source":"DOI.org (Crossref)","title":"Live tree species basal area of the contiguous United States (2000-2009)","URL":"https://www.fs.usda.gov/rds/archive/Catalog/RDS-2013-0013","author":[{"family":"Wilson","given":"Barry T."},{"family":"Lister","given":"Andrew J."},{"family":"Riemann","given":"Rachel I."},{"family":"Griffith","given":"Douglas M."}],"accessed":{"date-parts":[["2025",8,18]]},"issued":{"date-parts":[["2013"]]}}}],"schema":"https://github.com/citation-style-language/schema/raw/master/csl-citation.json"} </w:instrText>
      </w:r>
      <w:r w:rsidR="00773F71">
        <w:fldChar w:fldCharType="separate"/>
      </w:r>
      <w:r w:rsidR="00773F71">
        <w:rPr>
          <w:noProof/>
        </w:rPr>
        <w:t xml:space="preserve">(see Section </w:t>
      </w:r>
      <w:r w:rsidR="008734E2">
        <w:rPr>
          <w:noProof/>
        </w:rPr>
        <w:t>4.3</w:t>
      </w:r>
      <w:r w:rsidR="00773F71">
        <w:rPr>
          <w:noProof/>
        </w:rPr>
        <w:t>.3; Wilson et al., 2013)</w:t>
      </w:r>
      <w:r w:rsidR="00773F71">
        <w:fldChar w:fldCharType="end"/>
      </w:r>
      <w:r w:rsidR="00773F71">
        <w:t xml:space="preserve">. eBird is a </w:t>
      </w:r>
      <w:r>
        <w:t>“</w:t>
      </w:r>
      <w:r w:rsidR="00773F71">
        <w:t>participatory</w:t>
      </w:r>
      <w:r>
        <w:t>”</w:t>
      </w:r>
      <w:r w:rsidR="00773F71">
        <w:t xml:space="preserve"> science data product whereby members from the public </w:t>
      </w:r>
      <w:r>
        <w:t xml:space="preserve">contribute their </w:t>
      </w:r>
      <w:r w:rsidR="00773F71">
        <w:t xml:space="preserve">bird observation data to the eBird database. Thus, these </w:t>
      </w:r>
      <w:r w:rsidR="00773F71">
        <w:lastRenderedPageBreak/>
        <w:t xml:space="preserve">data require filtering to ensure spatial and temporal consistency. We followed the well-developed filtering methods suggested by the eBird database curators and others </w:t>
      </w:r>
      <w:r w:rsidR="00773F71">
        <w:fldChar w:fldCharType="begin"/>
      </w:r>
      <w:r w:rsidR="00EC0CE3">
        <w:instrText xml:space="preserve"> ADDIN ZOTERO_ITEM CSL_CITATION {"citationID":"H6WJr4kD","properties":{"formattedCitation":"(Robinson et al., 2018; Strimas-Mackey et al., 2023)","plainCitation":"(Robinson et al., 2018; Strimas-Mackey et al., 2023)","noteIndex":0},"citationItems":[{"id":2758,"uris":["http://zotero.org/groups/5634119/items/FSB6BQ9W"],"itemData":{"id":2758,"type":"article-journal","container-title":"Biological Conservation","DOI":"10.1016/j.biocon.2018.10.002","ISSN":"00063207","journalAbbreviation":"Biological Conservation","language":"en","page":"361-368","source":"DOI.org (Crossref)","title":"Using citizen science data in integrated population models to inform conservation","volume":"227","author":[{"family":"Robinson","given":"Orin J."},{"family":"Ruiz-Gutierrez","given":"Viviana"},{"family":"Fink","given":"Daniel"},{"family":"Meese","given":"Robert J."},{"family":"Holyoak","given":"Marcel"},{"family":"Cooch","given":"Evan G."}],"issued":{"date-parts":[["2018",11]]}}},{"id":2880,"uris":["http://zotero.org/groups/5634119/items/CGBBLBHT"],"itemData":{"id":2880,"type":"book","publisher":"Cornell Lab of Ornithology","publisher-place":"Ithaca, New York","title":"Best Practices for Using eBird Data","URL":"https://doi.org/10.5281/zenodo.3620739","volume":"Version 2.0","author":[{"family":"Strimas-Mackey","given":"M"},{"family":"Hochachka","given":"W.M."},{"family":"Ruiz-Gutierrez","given":"V"},{"family":"Robinson","given":"O.J."},{"family":"Miller","given":"E.T."},{"family":"Auer","given":"T"},{"family":"Kelling","given":"S"},{"family":"Fink","given":"D"},{"family":"Johnston","given":"A"}],"issued":{"date-parts":[["2023"]]}}}],"schema":"https://github.com/citation-style-language/schema/raw/master/csl-citation.json"} </w:instrText>
      </w:r>
      <w:r w:rsidR="00773F71">
        <w:fldChar w:fldCharType="separate"/>
      </w:r>
      <w:r w:rsidR="00773F71" w:rsidRPr="10F02EB4">
        <w:rPr>
          <w:noProof/>
        </w:rPr>
        <w:t>(Robinson et al., 2018; Strimas-Mackey et al., 2023)</w:t>
      </w:r>
      <w:r w:rsidR="00773F71">
        <w:fldChar w:fldCharType="end"/>
      </w:r>
      <w:r w:rsidR="00773F71">
        <w:t xml:space="preserve">. Specifically, we selected data that represented only complete checklists (e.g., observers recorded all birds of all species observed, not just individuals of species of interest). We selected checklists from the nesting season (late February to early May </w:t>
      </w:r>
      <w:r w:rsidR="00773F71">
        <w:fldChar w:fldCharType="begin"/>
      </w:r>
      <w:r w:rsidR="00773F71">
        <w:instrText xml:space="preserve"> ADDIN ZOTERO_ITEM CSL_CITATION {"citationID":"6uWkVYgU","properties":{"formattedCitation":"(Wiggins, 2005)","plainCitation":"(Wiggins, 2005)","noteIndex":0},"citationItems":[{"id":2357,"uris":["http://zotero.org/groups/5634119/items/HNHDJ28B"],"itemData":{"id":2357,"type":"report","publisher":"USDA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rsidR="00773F71">
        <w:fldChar w:fldCharType="separate"/>
      </w:r>
      <w:r w:rsidR="00773F71" w:rsidRPr="10F02EB4">
        <w:rPr>
          <w:noProof/>
        </w:rPr>
        <w:t>(Wiggins, 2005)</w:t>
      </w:r>
      <w:r w:rsidR="00773F71">
        <w:fldChar w:fldCharType="end"/>
      </w:r>
      <w:r w:rsidR="00773F71">
        <w:t xml:space="preserve">) and included only observations from two common protocol types (“stationary” and “traveling”), thus excluding data from 14 uncommon protocols. We considered only the nesting season because this is a time of year during which birds are more stationary, so drivers of local bird abundance are easier to evaluate </w:t>
      </w:r>
      <w:r w:rsidR="00773F71">
        <w:fldChar w:fldCharType="begin"/>
      </w:r>
      <w:r w:rsidR="00773F71">
        <w:instrText xml:space="preserve"> ADDIN ZOTERO_ITEM CSL_CITATION {"citationID":"xcN4DEcr","properties":{"formattedCitation":"(Ligon, 1978; Wiggins, 2005)","plainCitation":"(Ligon, 1978; Wiggins, 2005)","noteIndex":0},"citationItems":[{"id":2753,"uris":["http://zotero.org/groups/5634119/items/4RGGXF3K"],"itemData":{"id":2753,"type":"article-journal","abstract":"Pinon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rsidR="00773F71">
        <w:fldChar w:fldCharType="separate"/>
      </w:r>
      <w:r w:rsidR="00773F71" w:rsidRPr="10F02EB4">
        <w:rPr>
          <w:noProof/>
        </w:rPr>
        <w:t>(Ligon, 1978; Wiggins, 2005)</w:t>
      </w:r>
      <w:r w:rsidR="00773F71">
        <w:fldChar w:fldCharType="end"/>
      </w:r>
      <w:r w:rsidR="00773F71">
        <w:t>. We also only included checklists with relatively similar effort: 1) collected in under five hours, 2) 0-5 km in survey distance, and 3) with 10 or fewer observers.</w:t>
      </w:r>
    </w:p>
    <w:p w14:paraId="44561E90" w14:textId="70BFE02C" w:rsidR="00773F71" w:rsidRDefault="00773F71" w:rsidP="00334D72">
      <w:pPr>
        <w:pStyle w:val="BodyText"/>
        <w:spacing w:before="0" w:after="0"/>
        <w:ind w:firstLine="720"/>
      </w:pPr>
      <w:r>
        <w:t xml:space="preserve">Because of its participatory nature, eBird data have no control over sampling location, effort, or survey methods, so we also performed data subsampling following standard practices </w:t>
      </w:r>
      <w:r>
        <w:fldChar w:fldCharType="begin"/>
      </w:r>
      <w:r>
        <w:instrText xml:space="preserve"> ADDIN ZOTERO_ITEM CSL_CITATION {"citationID":"QiVrPmaA","properties":{"formattedCitation":"(Robinson et al., 2018)","plainCitation":"(Robinson et al., 2018)","noteIndex":0},"citationItems":[{"id":2758,"uris":["http://zotero.org/groups/5634119/items/FSB6BQ9W"],"itemData":{"id":2758,"type":"article-journal","container-title":"Biological Conservation","DOI":"10.1016/j.biocon.2018.10.002","ISSN":"00063207","journalAbbreviation":"Biological Conservation","language":"en","page":"361-368","source":"DOI.org (Crossref)","title":"Using citizen science data in integrated population models to inform conservation","volume":"227","author":[{"family":"Robinson","given":"Orin J."},{"family":"Ruiz-Gutierrez","given":"Viviana"},{"family":"Fink","given":"Daniel"},{"family":"Meese","given":"Robert J."},{"family":"Holyoak","given":"Marcel"},{"family":"Cooch","given":"Evan G."}],"issued":{"date-parts":[["2018",11]]}}}],"schema":"https://github.com/citation-style-language/schema/raw/master/csl-citation.json"} </w:instrText>
      </w:r>
      <w:r>
        <w:fldChar w:fldCharType="separate"/>
      </w:r>
      <w:r>
        <w:rPr>
          <w:noProof/>
        </w:rPr>
        <w:t>(Robinson et al., 2018)</w:t>
      </w:r>
      <w:r>
        <w:fldChar w:fldCharType="end"/>
      </w:r>
      <w:r>
        <w:t xml:space="preserve">. To do this, we first divided the study region into 4 km </w:t>
      </w:r>
      <w:r>
        <w:rPr>
          <w:rFonts w:ascii="Symbol" w:eastAsia="Symbol" w:hAnsi="Symbol" w:cs="Symbol"/>
        </w:rPr>
        <w:t>´</w:t>
      </w:r>
      <w:r>
        <w:t xml:space="preserve"> 4 km grid cells to match the spatial scale of the covariates. Then, we spatially sub-sampled eBird observations to include a set of checklists in each grid cell that represented relatively equal sampling effort across all years (time) and all grid cells (space). This meant we subsampled the number of checklists per grid cell based on the year with the fewest checklists per grid cell (i.e., 2010 had </w:t>
      </w:r>
      <m:oMath>
        <m:r>
          <m:rPr>
            <m:sty m:val="p"/>
          </m:rPr>
          <w:rPr>
            <w:rFonts w:ascii="Cambria Math" w:hAnsi="Cambria Math"/>
          </w:rPr>
          <m:t>≤</m:t>
        </m:r>
      </m:oMath>
      <w:r>
        <w:t>4 checklists per cell). After filtering to this level, we still had fewer checklists overall in earlier years. Thus, we further reduced temporal bias by randomly subsampling checklists again so that we had equal sample sizes across years based on the year with the fewest checklists (</w:t>
      </w:r>
      <w:r w:rsidRPr="10F02EB4">
        <w:rPr>
          <w:i/>
          <w:iCs/>
        </w:rPr>
        <w:t>n</w:t>
      </w:r>
      <w:r>
        <w:t xml:space="preserve"> = 1,715 checklists in 2010 across all grid cells). We then removed all checklists within 10 km of the exterior edges of the four focal states (Arizona, Colorado, New Mexico, and Utah)</w:t>
      </w:r>
      <w:r w:rsidR="00A67345">
        <w:t xml:space="preserve">. </w:t>
      </w:r>
      <w:r>
        <w:t xml:space="preserve">Of the </w:t>
      </w:r>
      <w:r>
        <w:lastRenderedPageBreak/>
        <w:t xml:space="preserve">833,834 original checklists available for the region in the nesting seasons between 2010-2022, we fit our model to data based on the final (filtered) 22,295 checklists (1.4 </w:t>
      </w:r>
      <w:r>
        <w:rPr>
          <w:rFonts w:ascii="Symbol" w:eastAsia="Symbol" w:hAnsi="Symbol" w:cs="Symbol"/>
        </w:rPr>
        <w:t>±</w:t>
      </w:r>
      <w:r>
        <w:t xml:space="preserve"> 0.01 [mean </w:t>
      </w:r>
      <w:r>
        <w:rPr>
          <w:rFonts w:ascii="Symbol" w:eastAsia="Symbol" w:hAnsi="Symbol" w:cs="Symbol"/>
        </w:rPr>
        <w:t>±</w:t>
      </w:r>
      <w:r>
        <w:t xml:space="preserve"> </w:t>
      </w:r>
      <w:proofErr w:type="spellStart"/>
      <w:r>
        <w:t>s.e.</w:t>
      </w:r>
      <w:proofErr w:type="spellEnd"/>
      <w:r>
        <w:t xml:space="preserve">] checklists per grid cell in a specific year, Figure 1). We downloaded eBird data in May 2024 (Colorado and New Mexico) and June 2024 (Arizona and Utah) </w:t>
      </w:r>
      <w:r>
        <w:fldChar w:fldCharType="begin"/>
      </w:r>
      <w:r w:rsidR="00EC0CE3">
        <w:instrText xml:space="preserve"> ADDIN ZOTERO_ITEM CSL_CITATION {"citationID":"ELLIoTcz","properties":{"formattedCitation":"(Cornell Lab of Ornithology, 2024a, 2024b)","plainCitation":"(Cornell Lab of Ornithology, 2024a, 2024b)","noteIndex":0},"citationItems":[{"id":2836,"uris":["http://zotero.org/groups/5634119/items/UZJFU6TD"],"itemData":{"id":2836,"type":"dataset","publisher-place":"Ithaca, New York","title":"eBird Basic Dataset","version":"EBD_relJun-2024","author":[{"family":"Cornell Lab of Ornithology","given":""}],"issued":{"date-parts":[["2024",6]]}}},{"id":2835,"uris":["http://zotero.org/groups/5634119/items/HBL24FAA"],"itemData":{"id":2835,"type":"dataset","publisher-place":"Ithaca, New York","title":"eBird Basic Dataset","version":"EBD_relMay-2024","author":[{"family":"Cornell Lab of Ornithology","given":""}],"issued":{"date-parts":[["2024",5]]}}}],"schema":"https://github.com/citation-style-language/schema/raw/master/csl-citation.json"} </w:instrText>
      </w:r>
      <w:r>
        <w:fldChar w:fldCharType="separate"/>
      </w:r>
      <w:r>
        <w:rPr>
          <w:noProof/>
        </w:rPr>
        <w:t>(Cornell Lab of Ornithology, 2024a, 2024b)</w:t>
      </w:r>
      <w:r>
        <w:fldChar w:fldCharType="end"/>
      </w:r>
      <w:r>
        <w:t xml:space="preserve">. In our final dataset, pinyon jays were observed in 600 of the selected checklists (2.7%). The maximum number of pinyon jays observed in one checklist was 350 (mean number of birds: 0.42 </w:t>
      </w:r>
      <w:r>
        <w:rPr>
          <w:rFonts w:ascii="Symbol" w:eastAsia="Symbol" w:hAnsi="Symbol" w:cs="Symbol"/>
        </w:rPr>
        <w:t>±</w:t>
      </w:r>
      <w:r>
        <w:t xml:space="preserve"> 0.04 </w:t>
      </w:r>
      <w:proofErr w:type="spellStart"/>
      <w:r>
        <w:t>s.e.</w:t>
      </w:r>
      <w:proofErr w:type="spellEnd"/>
      <w:r>
        <w:t>).</w:t>
      </w:r>
    </w:p>
    <w:p w14:paraId="320DD4F0" w14:textId="4AC9B810" w:rsidR="00773F71" w:rsidRDefault="00334D72" w:rsidP="00D8681D">
      <w:pPr>
        <w:pStyle w:val="FirstParagraph"/>
      </w:pPr>
      <w:r w:rsidRPr="00D8681D">
        <w:rPr>
          <w:b/>
          <w:bCs/>
        </w:rPr>
        <w:t xml:space="preserve">Pinyon Cone Data. </w:t>
      </w:r>
      <w:r w:rsidR="16353D87">
        <w:t xml:space="preserve">For cone abundance data, we used annual cone production estimates for two-needle pinyon produced at a 4 km </w:t>
      </w:r>
      <w:r w:rsidR="16353D87" w:rsidRPr="0F72CF47">
        <w:rPr>
          <w:rFonts w:ascii="Symbol" w:eastAsia="Symbol" w:hAnsi="Symbol" w:cs="Symbol"/>
        </w:rPr>
        <w:t>´</w:t>
      </w:r>
      <w:r w:rsidR="16353D87">
        <w:t xml:space="preserve"> 4 km gridded resolution by Wion et al (2025). </w:t>
      </w:r>
      <w:r>
        <w:t>D</w:t>
      </w:r>
      <w:r w:rsidR="16353D87">
        <w:t xml:space="preserve">etailed methods on how cone availability was </w:t>
      </w:r>
      <w:r>
        <w:t xml:space="preserve">estimates </w:t>
      </w:r>
      <w:r w:rsidR="16353D87">
        <w:t xml:space="preserve">are provided in the original publication. While </w:t>
      </w:r>
      <w:r>
        <w:t xml:space="preserve">the </w:t>
      </w:r>
      <w:r w:rsidR="16353D87">
        <w:t xml:space="preserve">model predicts cone availability, not seeds, cone and seed abundances are highly correlated in co-occurring pine species (e.g., </w:t>
      </w:r>
      <w:r w:rsidR="16353D87" w:rsidRPr="0F72CF47">
        <w:rPr>
          <w:i/>
          <w:iCs/>
        </w:rPr>
        <w:t>P. ponderosa</w:t>
      </w:r>
      <w:r w:rsidR="16353D87">
        <w:t xml:space="preserve"> </w:t>
      </w:r>
      <w:r w:rsidR="00773F71">
        <w:fldChar w:fldCharType="begin"/>
      </w:r>
      <w:r w:rsidR="00773F71">
        <w:instrText xml:space="preserve"> ADDIN ZOTERO_ITEM CSL_CITATION {"citationID":"KrAxn3l5","properties":{"formattedCitation":"(Shepperd et al., 2006)","plainCitation":"(Shepperd et al., 2006)","noteIndex":0},"citationItems":[{"id":2975,"uris":["http://zotero.org/groups/5634119/items/GSQBHDW9"],"itemData":{"id":2975,"type":"article-journal","abstract":"Abstract\n            Seedfall, natural regeneration establishment, and growth of planted seedlings was observed from 1981 to 2001 under shelterwood and seedtree overstories in a replicated study in ponderosa pine in the Manitou Experimental Forest in the Colorado Front Range. Good seed crops were produced only every 4 to 6 years, with almost no viable seed produced in intervening years. With seed predation, only 14% of total seedfall was available for germination. Shelterwood overstories containing between 6 and 14 m2 ha−1 stem basal area over scarified seedbeds provided optimal conditions for natural seedling establishment. Survival and growth of planted seedlings was much better than that of natural seedlings. However, poor survival and slow initial growth may require many years to establish a fully stocked forest of natural seedlings.","container-title":"Western Journal of Applied Forestry","DOI":"10.1093/wjaf/21.1.19","ISSN":"0885-6095, 1938-3770","issue":"1","language":"en","page":"19-26","source":"DOI.org (Crossref)","title":"Long-Term Seedfall, Establishment, Survival, and Growth of Natural and Planted Ponderosa Pine in the Colorado Front Range","volume":"21","author":[{"family":"Shepperd","given":"Wayne D."},{"family":"Edminster","given":"Carleton B."},{"family":"Mata","given":"Stephen A."}],"issued":{"date-parts":[["2006",1,1]]}}}],"schema":"https://github.com/citation-style-language/schema/raw/master/csl-citation.json"} </w:instrText>
      </w:r>
      <w:r w:rsidR="00773F71">
        <w:fldChar w:fldCharType="separate"/>
      </w:r>
      <w:r w:rsidR="16353D87" w:rsidRPr="0F72CF47">
        <w:rPr>
          <w:noProof/>
        </w:rPr>
        <w:t>(Shepperd et al., 2006)</w:t>
      </w:r>
      <w:r w:rsidR="00773F71">
        <w:fldChar w:fldCharType="end"/>
      </w:r>
      <w:r w:rsidR="16353D87">
        <w:t xml:space="preserve">). We used the cone production dataset both as a direct measure of pinyon seed availability and as a proxy for the availability of other seeds eaten by pinyon jay (e.g., acorns, juniper berries) that respond to similar climate signals as pinyon pine, but with different temporal speed. Specifically, oaks and junipers produce seeds one year after favorable climate conditions, whereas pinyon pine seeds mature two years after </w:t>
      </w:r>
      <w:r w:rsidR="00773F71">
        <w:fldChar w:fldCharType="begin"/>
      </w:r>
      <w:r w:rsidR="00773F71">
        <w:instrText xml:space="preserve"> ADDIN ZOTERO_ITEM CSL_CITATION {"citationID":"1Dj7dile","properties":{"formattedCitation":"(Parmenter et al., 2018)","plainCitation":"(Parmenter et al., 2018)","noteIndex":0},"citationItems":[{"id":2755,"uris":["http://zotero.org/groups/5634119/items/IJSSXJYX"],"itemData":{"id":2755,"type":"article-journal","abstract":"Abstract\n            \n              Tree masting (synchronous, episodic reproduction) is common worldwide and is hypothesized to be especially important in ecosystems with low species diversity and productivity as in semi‐arid woodlands of the American Southwest. We analyzed mast dynamics of three dominant tree species, one‐seed juniper (Cupressaceae:\n              Juniperus monosperma\n              ), two‐needle piñon pine (Pinaceae:\n              Pinus edulis\n              ), and Sonoran scrub oak (Fagaceae:\n              Quercus turbinella\n              ), on six sites during 1997–2016 within the Sevilleta National Wildlife Refuge, New Mexico. We tested multiple hypotheses regarding environmental and endogenous variables as controlling mechanisms, analyzing time‐series mast production data in relation to weather variables (precipitation, temperature, relative humidity, vapor pressure deficit, wind) over different time frames, and assessed evidence for weather tracking, resource switching, resource depletion, resource cycling, and pollen limitation. We found that (1) in univariate regression analyses, mast production in all three species was inversely related to lagged late‐summer/autumn temperatures during fruit primordia formation (1‐yr lag for juniper and oak, 2‐yr lag for piñon pine). Juniper mast production (\n              n\n               = 412 trees) was positively related to current‐year late‐winter (February–April) precipitation, combined with a negative relationship with current‐year summer temperatures. Piñon pine mast production (\n              n\n               = 210 trees) was positively related to 1‐yr lagged total annual precipitation and negatively associated with current‐year spring and summer temperatures. Oak mast production (\n              n\n               = 194 trees) also was positively related to current‐year late‐winter precipitation but was not affected by subsequent summer temperatures. (2) Multivariate environmental logistic regression models produced reasonable fits to observed field mast values. (3) High‐mast years in juniper and oak were characterized by greater proportions of trees producing mast and increased mast production per tree. (4) Juniper, oak, and piñon pine mast years were highly synchronized. (5) We found indirect support for resource depletion in all three species at some sites and indirect support for resource cycling in oak populations. (6) We observed only marginal indirect evidence for resource switching in piñon pine and oak. (7) Analyses of atmospheric pollen abundance relative to mast production produced no significant relationships. Predictive models of mast production have direct applications to regional silviculture, wildlife management, and ecosystem services in Southwestern woodlands.","container-title":"Ecosphere","DOI":"10.1002/ecs2.2360","ISSN":"2150-8925, 2150-8925","issue":"8","journalAbbreviation":"Ecosphere","language":"en","page":"e02360","source":"DOI.org (Crossref)","title":"Environmental and endogenous drivers of tree mast production and synchrony in piñon–juniper–oak woodlands of New Mexico","volume":"9","author":[{"family":"Parmenter","given":"Robert R."},{"family":"Zlotin","given":"Roman I."},{"family":"Moore","given":"Douglas I."},{"family":"Myers","given":"Orrin B."}],"issued":{"date-parts":[["2018",8]]}}}],"schema":"https://github.com/citation-style-language/schema/raw/master/csl-citation.json"} </w:instrText>
      </w:r>
      <w:r w:rsidR="00773F71">
        <w:fldChar w:fldCharType="separate"/>
      </w:r>
      <w:r w:rsidR="3691EFA8" w:rsidRPr="0F72CF47">
        <w:rPr>
          <w:noProof/>
        </w:rPr>
        <w:t>(Parmenter et al., 2018)</w:t>
      </w:r>
      <w:r w:rsidR="00773F71">
        <w:fldChar w:fldCharType="end"/>
      </w:r>
      <w:r w:rsidR="16353D87">
        <w:t xml:space="preserve"> (see Figure 2).</w:t>
      </w:r>
    </w:p>
    <w:p w14:paraId="6688DDBC" w14:textId="03A6A616" w:rsidR="00773F71" w:rsidRDefault="00334D72" w:rsidP="00D8681D">
      <w:pPr>
        <w:pStyle w:val="FirstParagraph"/>
        <w:spacing w:before="0" w:after="0"/>
      </w:pPr>
      <w:r>
        <w:rPr>
          <w:b/>
          <w:bCs/>
        </w:rPr>
        <w:t xml:space="preserve">Habitat and Climate Covariate Data. </w:t>
      </w:r>
      <w:r w:rsidR="00773F71">
        <w:t>As an indicator of habitat structure</w:t>
      </w:r>
      <w:r w:rsidR="00F23F30">
        <w:t xml:space="preserve">, which influences pinyon jay habitat use </w:t>
      </w:r>
      <w:r w:rsidR="00F23F30">
        <w:fldChar w:fldCharType="begin"/>
      </w:r>
      <w:r w:rsidR="00F23F30">
        <w:instrText xml:space="preserve"> ADDIN ZOTERO_ITEM CSL_CITATION {"citationID":"7QH0kAUr","properties":{"formattedCitation":"(Van Lanen et al., 2023)","plainCitation":"(Van Lanen et al., 2023)","noteIndex":0},"citationItems":[{"id":2767,"uris":["http://zotero.org/groups/5634119/items/SFTJSXEN"],"itemData":{"id":2767,"type":"article-journal","container-title":"Biological Conservation","DOI":"10.1016/j.biocon.2023.109959","ISSN":"00063207","journalAbbreviation":"Biological Conservation","language":"en","page":"109959","source":"DOI.org (Crossref)","title":"A hidden cost of single species management: Habitat-relationships reveal potential negative effects of conifer removal on a non-target species","title-short":"A hidden cost of single species management","volume":"280","author":[{"family":"Van Lanen","given":"Nicholas J."},{"family":"Monroe","given":"Adrian P."},{"family":"Aldridge","given":"Cameron L."}],"issued":{"date-parts":[["2023",4]]}}}],"schema":"https://github.com/citation-style-language/schema/raw/master/csl-citation.json"} </w:instrText>
      </w:r>
      <w:r w:rsidR="00F23F30">
        <w:fldChar w:fldCharType="separate"/>
      </w:r>
      <w:r w:rsidR="00F23F30">
        <w:rPr>
          <w:noProof/>
        </w:rPr>
        <w:t>(Van Lanen et al., 2023)</w:t>
      </w:r>
      <w:r w:rsidR="00F23F30">
        <w:fldChar w:fldCharType="end"/>
      </w:r>
      <w:r w:rsidR="00773F71">
        <w:t>, and to filter eBird observations to areas supporting pinyon (Figure 1), we derived yearly basal area (m</w:t>
      </w:r>
      <w:r w:rsidR="00773F71" w:rsidRPr="00B65D7D">
        <w:rPr>
          <w:vertAlign w:val="superscript"/>
        </w:rPr>
        <w:t>2</w:t>
      </w:r>
      <w:r w:rsidR="00773F71">
        <w:t xml:space="preserve"> ha</w:t>
      </w:r>
      <w:r w:rsidR="00773F71" w:rsidRPr="00B65D7D">
        <w:rPr>
          <w:vertAlign w:val="superscript"/>
        </w:rPr>
        <w:t>-1</w:t>
      </w:r>
      <w:r w:rsidR="00773F71">
        <w:t xml:space="preserve">) estimates for pinyon from 2010 to 2022 by combining pinyon BA maps 2000-2009 </w:t>
      </w:r>
      <w:r w:rsidR="00773F71">
        <w:fldChar w:fldCharType="begin"/>
      </w:r>
      <w:r w:rsidR="00773F71">
        <w:instrText xml:space="preserve"> ADDIN ZOTERO_ITEM CSL_CITATION {"citationID":"AmSs7PHB","properties":{"formattedCitation":"(Wilson et al., 2013)","plainCitation":"(Wilson et al., 2013)","noteIndex":0},"citationItems":[{"id":2974,"uris":["http://zotero.org/groups/5634119/items/C475LZBY"],"itemData":{"id":2974,"type":"dataset","DOI":"10.2737/RDS-2013-0013","language":"en","publisher":"Forest Service Research Data Archive","source":"DOI.org (Crossref)","title":"Live tree species basal area of the contiguous United States (2000-2009)","URL":"https://www.fs.usda.gov/rds/archive/Catalog/RDS-2013-0013","author":[{"family":"Wilson","given":"Barry T."},{"family":"Lister","given":"Andrew J."},{"family":"Riemann","given":"Rachel I."},{"family":"Griffith","given":"Douglas M."}],"accessed":{"date-parts":[["2025",8,18]]},"issued":{"date-parts":[["2013"]]}}}],"schema":"https://github.com/citation-style-language/schema/raw/master/csl-citation.json"} </w:instrText>
      </w:r>
      <w:r w:rsidR="00773F71">
        <w:fldChar w:fldCharType="separate"/>
      </w:r>
      <w:r w:rsidR="00773F71">
        <w:rPr>
          <w:noProof/>
        </w:rPr>
        <w:t>(Wilson et al., 2013)</w:t>
      </w:r>
      <w:r w:rsidR="00773F71">
        <w:fldChar w:fldCharType="end"/>
      </w:r>
      <w:r w:rsidR="00773F71">
        <w:t xml:space="preserve"> with annual maps of pinyon cover from the Rangelands Analysis Platform (RAP, v.3.0) </w:t>
      </w:r>
      <w:r w:rsidR="00773F71">
        <w:fldChar w:fldCharType="begin"/>
      </w:r>
      <w:r w:rsidR="00773F71">
        <w:instrText xml:space="preserve"> ADDIN ZOTERO_ITEM CSL_CITATION {"citationID":"jfneReVW","properties":{"formattedCitation":"(Allred et al., 2021)","plainCitation":"(Allred et al., 2021)","noteIndex":0},"citationItems":[{"id":2977,"uris":["http://zotero.org/users/6391447/items/48C8US5Q"],"itemData":{"id":2977,"type":"article-journal","abstract":"Abstract\n            \n              \n                \n                  Operational satellite remote sensing products are transforming rangeland management and science. Advancements in computation, data storage and processing have removed barriers that previously blocked or hindered the development and use of remote sensing products. When combined with local data and knowledge, remote sensing products can inform decision‐making at multiple scales.\n                \n                \n                  We used temporal convolutional networks to produce a fractional cover product that spans western United States rangelands. We trained the model with 52,012 on‐the‐ground vegetation plots to simultaneously predict fractional cover for annual forbs and grasses, perennial forbs and grasses, shrubs, trees, litter and bare ground. To assist interpretation and to provide a measure of prediction confidence, we also produced spatiotemporal‐explicit, pixel‐level estimates of uncertainty. We evaluated the model with 5,780 on‐the‐ground vegetation plots removed from the training data.\n                \n                \n                  Model evaluation averaged 6.3% mean absolute error and 9.6% root mean squared error. Evaluation with additional datasets that were not part of the training dataset, and that varied in geographic range, method of collection, scope and size, revealed similar metrics. Model performance increased across all functional groups compared to the previously produced fractional product.\n                \n                \n                  \n                    The advancements achieved with the new rangeland fractional cover product expand the management toolbox with improved predictions of fractional cover and pixel‐level uncertainty. The new product is available on the Rangeland Analysis Platform (\n                    https://rangelands.app/\n                    ), an interactive web application that tracks rangeland vegetation through time. This product is intended to be used alongside local on‐the‐ground data, expert knowledge, land use history, scientific literature and other sources of information when making interpretations. When being used to inform decision‐making, remotely sensed products should be evaluated and utilized according to the context of the decision and not be used in isolation.","container-title":"Methods in Ecology and Evolution","DOI":"10.1111/2041-210X.13564","ISSN":"2041-210X, 2041-210X","issue":"5","journalAbbreviation":"Methods Ecol Evol","language":"en","page":"841-849","source":"DOI.org (Crossref)","title":"Improving Landsat predictions of rangeland fractional cover with multitask learning and uncertainty","volume":"12","author":[{"family":"Allred","given":"Brady W."},{"family":"Bestelmeyer","given":"Brandon T."},{"family":"Boyd","given":"Chad S."},{"family":"Brown","given":"Christopher"},{"family":"Davies","given":"Kirk W."},{"family":"Duniway","given":"Michael C."},{"family":"Ellsworth","given":"Lisa M."},{"family":"Erickson","given":"Tyler A."},{"family":"Fuhlendorf","given":"Samuel D."},{"family":"Griffiths","given":"Timothy V."},{"family":"Jansen","given":"Vincent"},{"family":"Jones","given":"Matthew O."},{"family":"Karl","given":"Jason"},{"family":"Knight","given":"Anna"},{"family":"Maestas","given":"Jeremy D."},{"family":"Maynard","given":"Jonathan J."},{"family":"McCord","given":"Sarah E."},{"family":"Naugle","given":"David E."},{"family":"Starns","given":"Heath D."},{"family":"Twidwell","given":"Dirac"},{"family":"Uden","given":"Daniel R."}],"editor":[{"family":"Freckleton","given":"Robert"}],"issued":{"date-parts":[["2021",5]]}}}],"schema":"https://github.com/citation-style-language/schema/raw/master/csl-citation.json"} </w:instrText>
      </w:r>
      <w:r w:rsidR="00773F71">
        <w:fldChar w:fldCharType="separate"/>
      </w:r>
      <w:r w:rsidR="00773F71">
        <w:rPr>
          <w:noProof/>
        </w:rPr>
        <w:t>(Allred et al., 2021)</w:t>
      </w:r>
      <w:r w:rsidR="00773F71">
        <w:fldChar w:fldCharType="end"/>
      </w:r>
      <w:r w:rsidR="00773F71">
        <w:t xml:space="preserve">. We used the RAP canopy cover maps to annualize spatially explicit pinyon BA estimates, and to </w:t>
      </w:r>
      <w:r w:rsidR="00773F71">
        <w:lastRenderedPageBreak/>
        <w:t xml:space="preserve">project </w:t>
      </w:r>
      <w:r>
        <w:t xml:space="preserve">BA </w:t>
      </w:r>
      <w:r w:rsidR="00773F71">
        <w:t xml:space="preserve">forward in time. First, we aggregated RAP canopy cover for each year to scale up from 30 m to 250 m resolution (using the mean value) to align with the BA maps. Next, for each 250 m pixel, we divided pinyon BA by percent canopy cover in that same location (i.e., the mean canopy cover from 2000 to 2009) to calculate the amount of pinyon BA represented by each unit of canopy cover (i.e., an expansion factor). Finally, we used these pixel-specific expansion factors, differences between 2000 and 2009 cover, and the cover of a focal year (e.g., 2010) to adjust pinyon BA up or down in each pixel and year, giving annual BA estimated from 2010 to </w:t>
      </w:r>
      <w:r w:rsidR="00773F71" w:rsidRPr="00F23F30">
        <w:t>2022.</w:t>
      </w:r>
      <w:r w:rsidR="00F23F30" w:rsidRPr="00F23F30">
        <w:t xml:space="preserve"> </w:t>
      </w:r>
      <w:r w:rsidR="00773F71" w:rsidRPr="00F23F30">
        <w:t>This</w:t>
      </w:r>
      <w:r w:rsidR="00773F71">
        <w:t xml:space="preserve"> approach accounted for both increasing and decreasing trends in pinyon BA during our study period, reflecting patterns of ingrowth or mortality, respectively. The resulting BA estimates qualitatively aligned with patterns of forest change in different locations throughout the southwestern USA. For this study, we aggregated the BA estimates for the 250 m pixels to produce estimates at a 4 km </w:t>
      </w:r>
      <w:r w:rsidR="00773F71">
        <w:rPr>
          <w:rFonts w:ascii="Symbol" w:eastAsia="Symbol" w:hAnsi="Symbol" w:cs="Symbol"/>
        </w:rPr>
        <w:t>´</w:t>
      </w:r>
      <w:r w:rsidR="00773F71">
        <w:t xml:space="preserve"> 4 km resolution to align with other covariates.</w:t>
      </w:r>
    </w:p>
    <w:p w14:paraId="2BAF5C2D" w14:textId="1EC19589" w:rsidR="00773F71" w:rsidRDefault="16353D87" w:rsidP="00773F71">
      <w:pPr>
        <w:pStyle w:val="FirstParagraph"/>
        <w:spacing w:before="0" w:after="0"/>
        <w:ind w:firstLine="720"/>
      </w:pPr>
      <w:r>
        <w:t xml:space="preserve">Monsoon moisture from the North American Monsoon (NAM) is critical to ecosystem productivity in the drylands of the southwestern USA </w:t>
      </w:r>
      <w:r w:rsidR="00773F71">
        <w:fldChar w:fldCharType="begin"/>
      </w:r>
      <w:r w:rsidR="00773F71">
        <w:instrText xml:space="preserve"> ADDIN ZOTERO_ITEM CSL_CITATION {"citationID":"b5o65znT","properties":{"formattedCitation":"(Maurer et al., 2020; Munson et al., 2022)","plainCitation":"(Maurer et al., 2020; Munson et al., 2022)","noteIndex":0},"citationItems":[{"id":3022,"uris":["http://zotero.org/groups/5634119/items/8223Q6ZZ"],"itemData":{"id":3022,"type":"article-journal","abstract":"Abstract\n            Primary production, a key regulator of the global carbon cycle, is highly responsive to variations in climate. Yet, a detailed, continental‐scale risk assessment of climate‐related impacts on primary production is lacking. We combined 16 years of MODIS NDVI data, a remotely sensed proxy for primary production, with observations from 1218 climate stations to derive values of ecosystem sensitivity to precipitation and aridity. For the first time, we produced an empirically‐derived map of ecosystem sensitivity to climate across the conterminous United States. Over this 16‐year period, annual primary production values were most sensitive to precipitation and aridity in dryland and grassland ecosystems. Century‐long trends measured at the climate stations showed intensifying aridity and climatic variability in many of these sensitive regions. Dryland ecosystems in the western US may be particularly vulnerable to reductions in primary production and consequent degradation of ecosystem services as climate change and variability increase in the future.","container-title":"Ecology Letters","DOI":"10.1111/ele.13455","ISSN":"1461-023X, 1461-0248","issue":"3","journalAbbreviation":"Ecology Letters","language":"en","page":"527-536","source":"DOI.org (Crossref)","title":"Sensitivity of primary production to precipitation across the United States","volume":"23","author":[{"family":"Maurer","given":"Gregory E."},{"family":"Hallmark","given":"Alesia J."},{"family":"Brown","given":"Renée F."},{"family":"Sala","given":"Osvaldo E."},{"family":"Collins","given":"Scott L."}],"editor":[{"family":"Coulson","given":"Tim"}],"issued":{"date-parts":[["2020",3]]}}},{"id":3023,"uris":["http://zotero.org/groups/5634119/items/RC6M7S4G"],"itemData":{"id":3023,"type":"article-journal","abstract":"Abstract\n            \n              \n                \n                  Primary production in dryland ecosystems is limited by water availability and projected to be strongly affected by future shifts in seasonal precipitation. Warm‐season precipitation derived from the North American Monsoon contributes 40% of annual precipitation to dryland ecosystems in the southwestern United States and is projected to become more variable. However, there is large uncertainty on whether this variability will be expressed as either extreme wet or dry years and how primary production of different plant functional types will respond across widespread elevation gradients in this region.\n                \n                \n                  We experimentally imposed extreme drought and water addition treatments from 2016 to 2020, during which ambient warm‐season precipitation declined to reach historic lows, to understand production sensitivity of dominant plant functional types along a 1000 m elevation gradient.\n                \n                \n                  \n                    We found that the production responses of plant functional types to monsoon precipitation extremes were dependent on the number of treatment years that occurred across sites along the elevation gradient. C\n                    4\n                    perennial grasses were most responsive to precipitation manipulation treatments, followed by C\n                    3\n                    perennial grasses and annuals, while perennial forbs and shrubs had weak or no responses. C\n                    4\n                    perennial grass reductions due to extreme drought were generally stronger or occurred earlier at low elevation sites, while multi‐year extreme drought extended negative effects to C\n                    3\n                    perennial grasses at high elevation, and all sites showed delayed responses to multi‐year water addition. We found that the sensitivity of C\n                    3\n                    perennial grass production differed for extreme drought and water addition compared to ambient precipitation at one site, but other sites and plant functional types had similar sensitivities to the different treatment types.\n                  \n                \n                \n                  \n                    Synthesis\n                    . The upward advance of primary production responsiveness from single‐ to multi‐year extreme changes in warm‐season precipitation suggests more immediate shifts in functional composition and carbon cycling at low elevation, while high elevation ecosystems may become less resistant as the effects of extreme precipitation compound through time.","container-title":"Journal of Ecology","DOI":"10.1111/1365-2745.13947","ISSN":"0022-0477, 1365-2745","issue":"9","journalAbbreviation":"Journal of Ecology","language":"en","page":"2232-2245","source":"DOI.org (Crossref)","title":"Primary production responses to extreme changes in North American Monsoon precipitation vary by elevation and plant functional composition through time","volume":"110","author":[{"family":"Munson","given":"Seth M."},{"family":"Bradford","given":"John B."},{"family":"Butterfield","given":"Bradley J."},{"family":"Gremer","given":"Jennifer R."}],"issued":{"date-parts":[["2022",9]]}}}],"schema":"https://github.com/citation-style-language/schema/raw/master/csl-citation.json"} </w:instrText>
      </w:r>
      <w:r w:rsidR="00773F71">
        <w:fldChar w:fldCharType="separate"/>
      </w:r>
      <w:r w:rsidRPr="0F72CF47">
        <w:rPr>
          <w:noProof/>
        </w:rPr>
        <w:t>(</w:t>
      </w:r>
      <w:bookmarkStart w:id="11" w:name="_Hlk219795932"/>
      <w:r w:rsidRPr="0F72CF47">
        <w:rPr>
          <w:noProof/>
        </w:rPr>
        <w:t>Maurer et al., 2020; Munson et al., 2022)</w:t>
      </w:r>
      <w:bookmarkEnd w:id="11"/>
      <w:r w:rsidR="00773F71">
        <w:fldChar w:fldCharType="end"/>
      </w:r>
      <w:r>
        <w:t xml:space="preserve">. Greater monsoon moisture can lead to increased invertebrate abundance, which is relevant to pinyon jays as they rely on invertebrates during the nesting season </w:t>
      </w:r>
      <w:r w:rsidR="00773F71">
        <w:fldChar w:fldCharType="begin"/>
      </w:r>
      <w:r w:rsidR="00773F71">
        <w:instrText xml:space="preserve"> ADDIN ZOTERO_ITEM CSL_CITATION {"citationID":"PQv9v6Ja","properties":{"formattedCitation":"(Branson, 2008; Ligon, 1978)","plainCitation":"(Branson, 2008; Ligon, 1978)","noteIndex":0},"citationItems":[{"id":2498,"uris":["http://zotero.org/users/6391447/items/VVC4E3XE"],"itemData":{"id":2498,"type":"article-journal","container-title":"Environmental Entomology","DOI":"10.1603/0046-225X(2008)37[686:IOALLS]2.0.CO;2","ISSN":"0046225X, 0046225X","issue":"3","journalAbbreviation":"en","language":"en","page":"686-695","source":"DOI.org (Crossref)","title":"Influence of a Large Late Summer Precipitation Event on Food Limitation and Grasshopper Population Dynamics in a Northern Great Plains Grassland","volume":"37","author":[{"family":"Branson","given":"David H."}],"issued":{"date-parts":[["2008",6,1]]}}},{"id":2753,"uris":["http://zotero.org/groups/5634119/items/4RGGXF3K"],"itemData":{"id":2753,"type":"article-journal","abstract":"Pinon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David"}],"issued":{"date-parts":[["1978",3]]}}}],"schema":"https://github.com/citation-style-language/schema/raw/master/csl-citation.json"} </w:instrText>
      </w:r>
      <w:r w:rsidR="00773F71">
        <w:fldChar w:fldCharType="separate"/>
      </w:r>
      <w:r w:rsidRPr="0F72CF47">
        <w:rPr>
          <w:noProof/>
        </w:rPr>
        <w:t>(Branson, 2008; Ligon, 1978)</w:t>
      </w:r>
      <w:r w:rsidR="00773F71">
        <w:fldChar w:fldCharType="end"/>
      </w:r>
      <w:r>
        <w:t>. The location and intensity of the NAM is highly variable from year to year, but the long-term patterns strongly shape biogeography, and are more ecologically relevant than variables like MAT or MAP</w:t>
      </w:r>
      <w:r w:rsidR="71AB7439">
        <w:t xml:space="preserve"> </w:t>
      </w:r>
      <w:r w:rsidR="00773F71">
        <w:fldChar w:fldCharType="begin"/>
      </w:r>
      <w:r w:rsidR="00773F71">
        <w:instrText xml:space="preserve"> ADDIN ZOTERO_ITEM CSL_CITATION {"citationID":"Aw5XpQ0V","properties":{"formattedCitation":"(Michalet et al., 2021)","plainCitation":"(Michalet et al., 2021)","noteIndex":0},"citationItems":[{"id":3154,"uris":["http://zotero.org/groups/5634119/items/PM7HT9WA"],"itemData":{"id":3154,"type":"article-journal","abstract":"Abstract\n            \n              Aim\n              Drought stress has focused on water availability during the growing season, thus primarily on summer. However, variation in rainfall continentality can produce striking vegetation differences. We aim to disentangle summer water balance from winter rainfall continentality, to better understand how climate regulates the distributions of woody plants in the western USA.\n            \n            \n              Location\n              Western USA.\n            \n            \n              Time period\n              Actual.\n            \n            \n              Major taxa studied\n              Angiosperms and conifers.\n            \n            \n              Methods\n              We used redundancy analysis (RDA) to investigate correlations between rainfall continentality, summer water balance, minimum winter temperature and length of growing season on the distributions of 130 tree and shrub species in 467 plots. Rainfall continentality was calculated using the Gams index, modified for winter precipitation, and summer water balance with the ratio of summer precipitation to temperature. We estimated actual evapotranspiration (AET), deficit (DEF), mean annual temperature and rainfall from global gridded data sets and correlated them with RDA axes.\n            \n            \n              Results\n              Rainfall continentality measured with the Gams index and minimum temperatures best explained the contrast between oceanic vegetation in the Pacific Coast Ranges and continental vegetation in the Intermountain Region and Rocky Mountains. Growing season length (GSL) was the second strongest factor correlated with vegetation distributions. Summer water balance, despite being the most widely used climatic factor to assess drought stress in biogeography, was the third strongest factor correlating with vegetation classes of the western US. AET was equally correlated with RDA axes 1 and 3, and, thus, could not discriminate between the contrasts in the RDA.\n            \n            \n              Main conclusions\n              Rainfall continentality measured with the winter Gams index provides a more precise metric than summer water balance for understanding the biogeography of woody plants in the western USA. Broadly integrating the Gams index of continentality into plant distributions may improve our understanding of biogeographical distributions and predictions of responses to climate change.","container-title":"Global Ecology and Biogeography","DOI":"10.1111/geb.13223","ISSN":"1466-822X, 1466-8238","issue":"2","journalAbbreviation":"Global Ecol. Biogeogr.","language":"en","page":"384-397","source":"DOI.org (Crossref)","title":"Rainfall continentality, via the winter Gams angle, provides a new dimension to biogeographical distributions in the western United States","volume":"30","author":[{"family":"Michalet","given":"Richard"},{"family":"Choler","given":"Philippe"},{"family":"Callaway","given":"Ragan M."},{"family":"Whitham","given":"Thomas G."}],"editor":[{"family":"Meireles","given":"Jose Eduardo"}],"issued":{"date-parts":[["2021",2]]}}}],"schema":"https://github.com/citation-style-language/schema/raw/master/csl-citation.json"} </w:instrText>
      </w:r>
      <w:r w:rsidR="00773F71">
        <w:fldChar w:fldCharType="separate"/>
      </w:r>
      <w:r w:rsidR="71AB7439" w:rsidRPr="0F72CF47">
        <w:rPr>
          <w:noProof/>
        </w:rPr>
        <w:t>(Michalet et al., 2021)</w:t>
      </w:r>
      <w:r w:rsidR="00773F71">
        <w:fldChar w:fldCharType="end"/>
      </w:r>
      <w:r w:rsidR="71AB7439">
        <w:t xml:space="preserve">. </w:t>
      </w:r>
      <w:r w:rsidR="4535F0B5">
        <w:t>Therefore,</w:t>
      </w:r>
      <w:r>
        <w:t xml:space="preserve"> we calculated an index of the NAM that represents the proportion</w:t>
      </w:r>
      <w:r w:rsidR="7CD915C1">
        <w:t>al</w:t>
      </w:r>
      <w:r>
        <w:t xml:space="preserve"> contribution to annual precipitation for a given location. Higher values indicate a greater contribution of summer precipitation, and lower values indicate a cool-season precipitation regime. We calculated the percentage of the 30-year monthly normal </w:t>
      </w:r>
      <w:r>
        <w:lastRenderedPageBreak/>
        <w:t xml:space="preserve">precipitation in each 4 km </w:t>
      </w:r>
      <w:r w:rsidRPr="0F72CF47">
        <w:rPr>
          <w:rFonts w:ascii="Symbol" w:eastAsia="Symbol" w:hAnsi="Symbol" w:cs="Symbol"/>
        </w:rPr>
        <w:t>´</w:t>
      </w:r>
      <w:r>
        <w:t xml:space="preserve"> 4 km grid cell falling in the months of July-September, referred to as “</w:t>
      </w:r>
      <w:proofErr w:type="spellStart"/>
      <w:r>
        <w:t>monsoonality</w:t>
      </w:r>
      <w:proofErr w:type="spellEnd"/>
      <w:r>
        <w:t xml:space="preserve">” </w:t>
      </w:r>
      <w:r w:rsidR="00773F71">
        <w:fldChar w:fldCharType="begin"/>
      </w:r>
      <w:r w:rsidR="00773F71">
        <w:instrText xml:space="preserve"> ADDIN ZOTERO_ITEM CSL_CITATION {"citationID":"JmzjqNzJ","properties":{"formattedCitation":"(Adams &amp; Comrie, 1997)","plainCitation":"(Adams &amp; Comrie, 1997)","noteIndex":0},"citationItems":[{"id":2979,"uris":["http://zotero.org/users/6391447/items/MHR2P47Z"],"itemData":{"id":2979,"type":"article-journal","container-title":"Bulletin of the American Meteorological Society","DOI":"10.1175/1520-0477(1997)078&lt;2197:TNAM&gt;2.0.CO;2","ISSN":"0003-0007, 1520-0477","issue":"10","journalAbbreviation":"Bull. Amer. Meteor. Soc.","language":"en","page":"2197-2213","source":"DOI.org (Crossref)","title":"The North American Monsoon","volume":"78","author":[{"family":"Adams","given":"David K."},{"family":"Comrie","given":"Andrew C."}],"issued":{"date-parts":[["1997",10]]}}}],"schema":"https://github.com/citation-style-language/schema/raw/master/csl-citation.json"} </w:instrText>
      </w:r>
      <w:r w:rsidR="00773F71">
        <w:fldChar w:fldCharType="separate"/>
      </w:r>
      <w:r w:rsidRPr="0F72CF47">
        <w:rPr>
          <w:noProof/>
        </w:rPr>
        <w:t>(Adams &amp; Comrie, 1997)</w:t>
      </w:r>
      <w:r w:rsidR="00773F71">
        <w:fldChar w:fldCharType="end"/>
      </w:r>
      <w:r>
        <w:t xml:space="preserve">. </w:t>
      </w:r>
    </w:p>
    <w:p w14:paraId="016FECE3" w14:textId="1708D64E" w:rsidR="00773F71" w:rsidRDefault="00773F71" w:rsidP="00773F71">
      <w:pPr>
        <w:pStyle w:val="FirstParagraph"/>
        <w:spacing w:before="0" w:after="0"/>
        <w:ind w:firstLine="720"/>
      </w:pPr>
      <w:r>
        <w:t xml:space="preserve">We also included </w:t>
      </w:r>
      <w:r w:rsidR="00F23F30">
        <w:t xml:space="preserve">two </w:t>
      </w:r>
      <w:r>
        <w:t>temporally varying climate covariates</w:t>
      </w:r>
      <w:r w:rsidR="00F23F30">
        <w:t xml:space="preserve"> that shape pinyon jay and other avian species’ resource acquisition and reproductive success: precipitation and maximum temperature </w:t>
      </w:r>
      <w:r w:rsidR="00F23F30">
        <w:fldChar w:fldCharType="begin"/>
      </w:r>
      <w:r w:rsidR="00C957C2">
        <w:instrText xml:space="preserve"> ADDIN ZOTERO_ITEM CSL_CITATION {"citationID":"kjWGRXYS","properties":{"formattedCitation":"(Ligon, 1978; Marzluff, 1988; McDermott &amp; DeGroote, 2016; Skagen &amp; Adams, 2012; Stotz &amp; Balda, 1995)","plainCitation":"(Ligon, 1978; Marzluff, 1988; McDermott &amp; DeGroote, 2016; Skagen &amp; Adams, 2012; Stotz &amp; Balda, 1995)","noteIndex":0},"citationItems":[{"id":2753,"uris":["http://zotero.org/groups/5634119/items/4RGGXF3K"],"itemData":{"id":2753,"type":"article-journal","abstract":"Pinon Jays (Gymnorhinus cyanoephalus) and pinon pine trees (Pinus edulis) interact in a mutualistic fashion, in that the jays provide a primary means of seed dissemination for pinon trees in the Southwest, while at irregular intervals the trees provide the jays with an abundant and highly nutritious source of food. Availability of pinon seeds permits both late winter (February) and late summer (August) breeding by the jays. Seeds and photoperiod interact synergistically to accelerate gonadal development in late winter. When seeds are abundant, considerable testis growth takes place in some Pinon Jay ♂ ♂ even before the winter solstice. This relationship was investigated experimentally. Use of a specific food (pinon seeds) as a proximate timer for breeding, the ability of individual jays to breed in spring, molt, and breed again in August without an intervening period of gonadal refractoriness, and testicular development in early December, when day length approaches its minimum, are extraordinary characteristics among north—temperate—zone passerine birds. The synchrony of seed production by pinon pines over large geographic areas is interpreted as an evolved mechanism that (1) overwhelms invertebrate seed and cone predators, and (2) increases the numbers of seeds per tree that will be cached by Pinon Jays and other vertebrates. Caching sites of Pinon Jays are often at locations especially conducive to germination and growth of pinon pine seedlings.","container-title":"Ecological Monographs","DOI":"10.2307/2937295","ISSN":"0012-9615, 1557-7015","issue":"2","journalAbbreviation":"Ecological Monographs","language":"en","license":"http://onlinelibrary.wiley.com/termsAndConditions#vor","page":"111-126","source":"DOI.org (Crossref)","title":"Reproductive Interdependence of Pinon Jays and Pinon Pines","volume":"48","author":[{"family":"Ligon","given":"J. David"}],"issued":{"date-parts":[["1978",3]]}}},{"id":2862,"uris":["http://zotero.org/groups/5634119/items/PYGWLTH3"],"itemData":{"id":2862,"type":"article-journal","container-title":"Animal Behaviour","DOI":"10.1016/s0003-3472(88)80244-6","ISSN":"0003-3472","issue":"1","language":"en","license":"https://www.elsevier.com/tdm/userlicense/1.0/","page":"1-10","publisher":"Elsevier BV","source":"Crossref","title":"Do pinyon jays alter nest placement based on prior experience?","volume":"36","author":[{"family":"Marzluff","given":"John M."}],"issued":{"date-parts":[["1988",2]]}}},{"id":2790,"uris":["http://zotero.org/groups/5634119/items/WUFX4TPL"],"itemData":{"id":2790,"type":"article-journal","abstract":"Abstract\n            Climate change is influencing bird phenology worldwide, but we still lack information on how many species are responding over long temporal periods. We assessed how climate affected passerine reproductive timing and productivity at a constant effort mist‐netting station in western Pennsylvania using a model comparison approach. Several lines of evidence point to the sensitivity of 21 breeding passerines to climate change over five decades. The trends for temperature and precipitation over 53 years were slightly positive due to intraseasonal variation, with the greatest temperature increases and precipitation declines in early spring. Regardless of broodedness, migration distance, or breeding season, 13 species hatched young earlier over time with most advancing &gt;3 days per decade. Warm springs were associated with earlier captures of juveniles for 14 species, ranging from 1‐ to 3‐day advancement for every 1 °C increase. This timing was less likely to be influenced by spring precipitation; nevertheless, higher rainfall was usually associated with later appearance of juveniles and breeding condition in females. Temperature and precipitation were positively related to productivity for seven and eleven species, respectively, with negative relations evident for six and eight species. We found that birds fledged young earlier with increasing spring temperatures, potentially benefiting some multibrooded species. Indeed, some extended the duration of breeding in these warm years. Yet, a few species fledged fewer juveniles in warmer and wetter seasons, indicating that expected future increases could be detrimental to locally breeding populations. Although there were no clear relationships between life history traits and breeding phenology, species‐specific responses to climate found in our study provide novel insights into phenological flexibility in songbirds. Our research underscores the value of long‐term monitoring studies and the importance of continuing constant effort sampling in the face of climate change.","container-title":"Global Change Biology","DOI":"10.1111/gcb.13363","ISSN":"1354-1013, 1365-2486","issue":"10","journalAbbreviation":"Global Change Biology","language":"en","license":"http://onlinelibrary.wiley.com/termsAndConditions#vor","page":"3304-3319","source":"DOI.org (Crossref)","title":"Long‐term climate impacts on breeding bird phenology in Pennsylvania, &lt;span style=\"font-variant:small-caps;\"&gt;USA&lt;/span&gt;","title-short":"Long‐term climate impacts on breeding bird phenology in Pennsylvania, &lt;span style=\"font-variant","volume":"22","author":[{"family":"McDermott","given":"Molly E."},{"family":"DeGroote","given":"Lucas W."}],"issued":{"date-parts":[["2016",10]]}}},{"id":2878,"uris":["http://zotero.org/groups/5634119/items/RZAB57RM"],"itemData":{"id":2878,"type":"article-journal","abstract":"The influence of recent climate change on the world's biota has manifested broadly, resulting in latitudinal range shifts, advancing dates of arrival of migrants and onset of breeding, and altered community relationships. Climate change elevates conservation concerns worldwide because it will likely exacerbate a broad range of identified threats to animal populations. In the past few decades, grassland birds have declined faster than other North American avifauna, largely due to habitat threats such as the intensification of agriculture. We examine the effects of local climatic variations on the breeding performance of a bird endemic to the shortgrass prairie, the Lark Bunting (Calamospiza melanocorys) and discuss the implications of our findings relative to future climate predictions. Clutch size, nest survival, and productivity all positively covaried with seasonal precipitation, yet relatively intense daily precipitation events temporarily depressed daily survival of nests. Nest survival was positively related to average temperatures during the breeding season. Declining summer precipitation may reduce the likelihood that Lark Buntings can maintain stable breeding populations in eastern Colorado although average temperature increases of up to 3°C (within the range of this study) may ameliorate declines in survival expected with drier conditions. Historic climate variability in the Great Plains selects for a degree of vagility and opportunism rather than strong site fidelity and specific adaptation to local environments. These traits may lead to northerly shifts in distribution if climatic and habitat conditions become less favorable in the drying southern regions of the Great Plains. Distributional shifts in Lark Buntings could be constrained by future changes in land use, agricultural practices, or vegetative communities that result in further loss of shortgrass prairie habitats.","container-title":"Ecological Applications","DOI":"10.1890/11-0291.1","ISSN":"1051-0761, 1939-5582","issue":"4","language":"en","license":"http://onlinelibrary.wiley.com/termsAndConditions#vor","page":"1131-1145","publisher":"Wiley","source":"Crossref","title":"Weather effects on avian breeding performance and implications of climate change","volume":"22","author":[{"family":"Skagen","given":"Susan K."},{"family":"Adams","given":"Amy A. Yackel"}],"issued":{"date-parts":[["2012",6]]}}},{"id":2860,"uris":["http://zotero.org/groups/5634119/items/MRSH59Y5"],"itemData":{"id":2860,"type":"article-journal","container-title":"The Southwestern Naturalist","issue":"2","page":"180-184","title":"Cache and recovery behavior of wild pinyon jays in northern Arizona","volume":"40","author":[{"family":"Stotz","given":"Nancy G."},{"family":"Balda","given":"Russell P."}],"issued":{"date-parts":[["1995"]]}}}],"schema":"https://github.com/citation-style-language/schema/raw/master/csl-citation.json"} </w:instrText>
      </w:r>
      <w:r w:rsidR="00F23F30">
        <w:fldChar w:fldCharType="separate"/>
      </w:r>
      <w:r w:rsidR="00F23F30">
        <w:rPr>
          <w:noProof/>
        </w:rPr>
        <w:t>(Ligon, 1978; Marzluff, 1988; McDermott &amp; DeGroote, 2016; Skagen &amp; Adams, 2012; Stotz &amp; Balda, 1995)</w:t>
      </w:r>
      <w:r w:rsidR="00F23F30">
        <w:fldChar w:fldCharType="end"/>
      </w:r>
      <w:r w:rsidR="00F23F30">
        <w:t xml:space="preserve">. </w:t>
      </w:r>
      <w:proofErr w:type="gramStart"/>
      <w:r>
        <w:t>In particular, we</w:t>
      </w:r>
      <w:proofErr w:type="gramEnd"/>
      <w:r>
        <w:t xml:space="preserve"> extracted gridded (4 km </w:t>
      </w:r>
      <w:r>
        <w:rPr>
          <w:rFonts w:ascii="Symbol" w:eastAsia="Symbol" w:hAnsi="Symbol" w:cs="Symbol"/>
        </w:rPr>
        <w:t>´</w:t>
      </w:r>
      <w:r>
        <w:t xml:space="preserve"> 4 km) monthly PRISM climate data for maximum temperature and total precipitatio</w:t>
      </w:r>
      <w:r w:rsidR="00F23F30">
        <w:t xml:space="preserve">n. </w:t>
      </w:r>
      <w:r>
        <w:t xml:space="preserve">These climate variables change through time for a given pixel and we combined monthly values into four seasonal variables based on important periods in the pinyon jay life cycle </w:t>
      </w:r>
      <w:r>
        <w:fldChar w:fldCharType="begin"/>
      </w:r>
      <w:r>
        <w:instrText xml:space="preserve"> ADDIN ZOTERO_ITEM CSL_CITATION {"citationID":"1cMIJv9N","properties":{"formattedCitation":"(Wiggins, 2005)","plainCitation":"(Wiggins, 2005)","noteIndex":0},"citationItems":[{"id":2357,"uris":["http://zotero.org/groups/5634119/items/HNHDJ28B"],"itemData":{"id":2357,"type":"report","publisher":"USDA Forest Service, Rocky Mountain Region","title":"Pinyon Jay (Gymnorhinus cyanocephalus): a technical conservation assessment.","URL":"http://www.fs.fed.us/r2/projects/scp/assessments/pinyonjay.pdf","author":[{"family":"Wiggins","given":"D. A."}],"issued":{"date-parts":[["2005"]]}}}],"schema":"https://github.com/citation-style-language/schema/raw/master/csl-citation.json"} </w:instrText>
      </w:r>
      <w:r>
        <w:fldChar w:fldCharType="separate"/>
      </w:r>
      <w:r>
        <w:rPr>
          <w:noProof/>
        </w:rPr>
        <w:t>(Wiggins, 2005)</w:t>
      </w:r>
      <w:r>
        <w:fldChar w:fldCharType="end"/>
      </w:r>
      <w:r>
        <w:t xml:space="preserve">. These included: 1) breeding season (February-April; spring), 2) fledgling season (May-June; late spring/early summer) when adults are caring for young, 3) early summer (July), a period during which bird behavior is not well documented, and 4) late summer through winter (August-January), a period during which birds are caching seeds, and potentially dispersing broadly (irrupting) in search of seeds (Wiggins 2005); pinyon seeds also mature during this period (fall). Seasonal climate values (mean of monthly values for temperature, seasonal totals for precipitation) were calculated for each year spanning the full study period. </w:t>
      </w:r>
    </w:p>
    <w:p w14:paraId="4224A291" w14:textId="2CA42F7D" w:rsidR="00773F71" w:rsidRDefault="001E6887" w:rsidP="00D8681D">
      <w:pPr>
        <w:pStyle w:val="FirstParagraph"/>
        <w:spacing w:after="0"/>
      </w:pPr>
      <w:r w:rsidRPr="00D8681D">
        <w:rPr>
          <w:b/>
          <w:bCs/>
        </w:rPr>
        <w:t>Overview of Approach for Modeling Relationships Between Cones and Birds.</w:t>
      </w:r>
      <w:r>
        <w:t xml:space="preserve"> </w:t>
      </w:r>
      <w:r w:rsidR="00773F71">
        <w:t xml:space="preserve">To explore relationships between pinyon jay abundance, pinyon cone production, and other covariates related to seed availability, habitat, and climate, we used an N-mixture model that included an observation process model for the pinyon jay survey (eBird) data and a biological process model that estimates </w:t>
      </w:r>
      <w:r>
        <w:t>“</w:t>
      </w:r>
      <w:r w:rsidR="00773F71">
        <w:t>latent</w:t>
      </w:r>
      <w:r>
        <w:t>”</w:t>
      </w:r>
      <w:r w:rsidR="00773F71">
        <w:t xml:space="preserve"> jay abundance values </w:t>
      </w:r>
      <w:r w:rsidR="00773F71">
        <w:fldChar w:fldCharType="begin"/>
      </w:r>
      <w:r w:rsidR="00C957C2">
        <w:instrText xml:space="preserve"> ADDIN ZOTERO_ITEM CSL_CITATION {"citationID":"McOMtfiC","properties":{"formattedCitation":"(Royle, 2004)","plainCitation":"(Royle, 2004)","noteIndex":0},"citationItems":[{"id":2881,"uris":["http://zotero.org/groups/5634119/items/ESXTL444"],"itemData":{"id":2881,"type":"article-journal","abstract":"Summary.  Spatial replication is a common theme in count surveys of animals. Such surveys often generate sparse count data from which it is difficult to estimate population size while formally accounting for detection probability. In this article, I describe a class of models (N‐mixture models) which allow for estimation of population size from such data. The key idea is to view site‐specific population sizes, N, as independent random variables distributed according to some mixing distribution (e.g., Poisson). Prior parameters are estimated from the marginal likelihood of the data, having integrated over the prior distribution for N. Carroll and Lombard (1985, Journal of American Statistical Association80, 423–426) proposed a class of estimators based on mixing over a prior distribution for detection probability. Their estimator can be applied in limited settings, but is sensitive to prior parameter values that are fixed a priori. Spatial replication provides additional information regarding the parameters of the prior distribution on N that is exploited by the N‐mixture models and which leads to reasonable estimates of abundance from sparse data. A simulation study demonstrates superior operating characteristics (bias, confidence interval coverage) of the N‐mixture estimator compared to the Caroll and Lombard estimator. Both estimators are applied to point count data on six species of birds illustrating the sensitivity to choice of prior on p and substantially different estimates of abundance as a consequence.","container-title":"Biometrics","DOI":"10.1111/j.0006-341x.2004.00142.x","ISSN":"0006-341X, 1541-0420","issue":"1","language":"en","license":"http://onlinelibrary.wiley.com/termsAndConditions#vor","page":"108-115","publisher":"Oxford University Press (OUP)","source":"Crossref","title":"&lt;i&gt;N&lt;/i&gt;‐Mixture Models for Estimating Population Size from Spatially Replicated Counts","volume":"60","author":[{"family":"Royle","given":"J. Andrew"}],"issued":{"date-parts":[["2004",3]]}}}],"schema":"https://github.com/citation-style-language/schema/raw/master/csl-citation.json"} </w:instrText>
      </w:r>
      <w:r w:rsidR="00773F71">
        <w:fldChar w:fldCharType="separate"/>
      </w:r>
      <w:r w:rsidR="00773F71" w:rsidRPr="5A83A434">
        <w:rPr>
          <w:noProof/>
        </w:rPr>
        <w:t>(Royle, 2004)</w:t>
      </w:r>
      <w:r w:rsidR="00773F71">
        <w:fldChar w:fldCharType="end"/>
      </w:r>
      <w:r w:rsidR="00773F71">
        <w:t xml:space="preserve">. The observation process model includes covariates that describe variation in detection probabilities (e.g., survey conditions). The biological process model includes a likelihood that describes the biological drivers of latent </w:t>
      </w:r>
      <w:r w:rsidR="00773F71">
        <w:lastRenderedPageBreak/>
        <w:t xml:space="preserve">pinyon jay abundance and includes the primary covariates of interest. Because we were interested in temporal relationships between jay abundance and important covariates (e.g., cones, climate), we incorporated a stochastic antecedent model (SAM) structure into the biological process model </w:t>
      </w:r>
      <w:r w:rsidR="00773F71">
        <w:fldChar w:fldCharType="begin"/>
      </w:r>
      <w:r w:rsidR="00773F71">
        <w:instrText xml:space="preserve"> ADDIN ZOTERO_ITEM CSL_CITATION {"citationID":"qWGCO5Po","properties":{"formattedCitation":"(Ogle et al., 2015)","plainCitation":"(Ogle et al., 2015)","noteIndex":0},"citationItems":[{"id":67,"uris":["http://zotero.org/users/6391447/items/HCIC6RJW"],"itemData":{"id":67,"type":"article-journal","abstract":"The role of time in ecology has a long history of investigation, but ecologists have largely restricted their attention to the inﬂuence of concurrent abiotic conditions on rates and magnitudes of important ecological processes. Recently, however, ecologists have improved their understanding of ecological processes by explicitly considering the effects of antecedent conditions. To broadly help in studying the role of time, we evaluate the length, temporal pattern, and strength of memory with respect to the inﬂuence of antecedent conditions on current ecological dynamics. We developed the stochastic antecedent modelling (SAM) framework as a ﬂexible analytic approach for evaluating exogenous and endogenous process components of memory in a system of interest. We designed SAM to be useful in revealing novel insights promoting further study, illustrated in four examples with different degrees of complexity and varying time scales: stomatal conductance, soil respiration, ecosystem productivity, and tree growth. Models with antecedent effects explained an additional 18–28% of response variation compared to models without antecedent effects. Moreover, SAM also enabled identiﬁcation of potential mechanisms that underlie components of memory, thus revealing temporal properties that are not apparent from traditional treatments of ecological time-series data and facilitating new hypothesis generation and additional research.","container-title":"Ecology Letters","DOI":"10.1111/ele.12399","ISSN":"1461-023X, 1461-0248","issue":"3","journalAbbreviation":"Ecol Lett","language":"en","page":"221-235","source":"DOI.org (Crossref)","title":"Quantifying ecological memory in plant and ecosystem processes","volume":"18","author":[{"family":"Ogle","given":"Kiona"},{"family":"Barber","given":"Jarrett J."},{"family":"Barron‐Gafford","given":"Greg A."},{"family":"Bentley","given":"Lisa Patrick"},{"family":"Young","given":"Jessica M."},{"family":"Huxman","given":"Travis E."},{"family":"Loik","given":"Michael E."},{"family":"Tissue","given":"David T."}],"editor":[{"family":"Cleland","given":"Elsa"}],"issued":{"date-parts":[["2015",3]]}}}],"schema":"https://github.com/citation-style-language/schema/raw/master/csl-citation.json"} </w:instrText>
      </w:r>
      <w:r w:rsidR="00773F71">
        <w:fldChar w:fldCharType="separate"/>
      </w:r>
      <w:r w:rsidR="00773F71">
        <w:rPr>
          <w:noProof/>
        </w:rPr>
        <w:t>(Ogle et al., 2015)</w:t>
      </w:r>
      <w:r w:rsidR="00773F71">
        <w:fldChar w:fldCharType="end"/>
      </w:r>
      <w:r w:rsidR="00773F71">
        <w:t xml:space="preserve">. Specifically, the framework allowed for the estimation of predictive (jays anticipated cone production in future years), immediate (cones produced in the fall stimulate a jay response in the following spring), and delayed (jay abundance peaks in the spring 2 and 3 years after cones are produced) responses of jays linked to yearly estimates of cone availability. We also included lagged seasonal climate effects to account for the potential influence of past climate on bird population dynamics that may be independent of pinyon cone production dynamics. </w:t>
      </w:r>
    </w:p>
    <w:p w14:paraId="127D6CF2" w14:textId="1B660799" w:rsidR="00773F71" w:rsidRDefault="16353D87" w:rsidP="00773F71">
      <w:pPr>
        <w:pStyle w:val="BodyText"/>
        <w:spacing w:before="0" w:after="0"/>
        <w:ind w:firstLine="720"/>
      </w:pPr>
      <w:r>
        <w:t>Accounting for</w:t>
      </w:r>
      <w:r w:rsidR="00F525BF">
        <w:t xml:space="preserve"> imperfect detection</w:t>
      </w:r>
      <w:r>
        <w:t xml:space="preserve"> is important for accurately estimating latent abundance </w:t>
      </w:r>
      <w:r w:rsidR="00773F71">
        <w:fldChar w:fldCharType="begin"/>
      </w:r>
      <w:r w:rsidR="00773F71">
        <w:instrText xml:space="preserve"> ADDIN ZOTERO_ITEM CSL_CITATION {"citationID":"nmQtKzuI","properties":{"formattedCitation":"(K\\uc0\\u233{}ry &amp; Schmidt, 2008)","plainCitation":"(Kéry &amp; Schmidt, 2008)","noteIndex":0},"citationItems":[{"id":3036,"uris":["http://zotero.org/users/6391447/items/7TEDZ7MS"],"itemData":{"id":3036,"type":"article-journal","container-title":"Community Ecology","DOI":"10.1556/ComEc.9.2008.2.10","ISSN":"1585-8553, 1588-2756","issue":"2","journalAbbreviation":"Community Ecology","language":"en","page":"207-216","source":"DOI.org (Crossref)","title":"Imperfect detection and its consequences for monitoring for conservation","volume":"9","author":[{"family":"Kéry","given":"M."},{"family":"Schmidt","given":"B."}],"issued":{"date-parts":[["2008",12]]}}}],"schema":"https://github.com/citation-style-language/schema/raw/master/csl-citation.json"} </w:instrText>
      </w:r>
      <w:r w:rsidR="00773F71">
        <w:fldChar w:fldCharType="separate"/>
      </w:r>
      <w:r w:rsidRPr="0F72CF47">
        <w:rPr>
          <w:rFonts w:cs="Times New Roman"/>
        </w:rPr>
        <w:t>(Kéry &amp; Schmidt, 2008)</w:t>
      </w:r>
      <w:r w:rsidR="00773F71">
        <w:fldChar w:fldCharType="end"/>
      </w:r>
      <w:r>
        <w:t xml:space="preserve">. Replicate surveys within a closed time and location are required for successfully implementing N-mixture models that account for detection error </w:t>
      </w:r>
      <w:r w:rsidR="00773F71">
        <w:fldChar w:fldCharType="begin"/>
      </w:r>
      <w:r w:rsidR="00773F71">
        <w:instrText xml:space="preserve"> ADDIN ZOTERO_ITEM CSL_CITATION {"citationID":"BfqVeCcz","properties":{"formattedCitation":"(Royle et al., 2005)","plainCitation":"(Royle et al., 2005)","noteIndex":0},"citationItems":[{"id":2688,"uris":["http://zotero.org/users/6391447/items/V68MKT34"],"itemData":{"id":2688,"type":"article-journal","abstract":"Relationships between species abundance and occupancy are of considerable interest in metapopulation biology and in macroecology. Such relationships may be described concisely using probability models that characterize variation in abundance of a species. However, estimation of the parameters of these models in most ecological problems is impaired by imperfect detection. When organisms are detected imperfectly, observed counts are biased estimates of true abundance, and this induces bias in stated occupancy or occurrence probability. In this paper we consider a class of models that enable estimation of abundance/occupancy relationships from counts of organisms that result from surveys in which detection is imperfect. Under such models, parameter estimation and inference are based on conventional likelihood methods. We provide an application of these models to geographically extensive breeding bird survey data in which alternative models of abundance are considered that include factors that influence variation in abundance and detectability. Using these models, we produce estimates of abundance and occupancy maps that honor important sources of spatial variation in avian abundance and provide clearly interpretable characterizations of abundance and occupancy adjusted for imperfect detection.","container-title":"Oikos","DOI":"10.1111/j.0030-1299.2005.13534.x","ISSN":"0030-1299, 1600-0706","issue":"2","journalAbbreviation":"Oikos","language":"en","page":"353-359","source":"DOI.org (Crossref)","title":"Modelling occurrence and abundance of species when detection is imperfect","volume":"110","author":[{"family":"Royle","given":"J. Andrew"},{"family":"Nichols","given":"James D."},{"family":"Kéry","given":"Marc"}],"issued":{"date-parts":[["2005",8]]}}}],"schema":"https://github.com/citation-style-language/schema/raw/master/csl-citation.json"} </w:instrText>
      </w:r>
      <w:r w:rsidR="00773F71">
        <w:fldChar w:fldCharType="separate"/>
      </w:r>
      <w:r w:rsidRPr="0F72CF47">
        <w:rPr>
          <w:noProof/>
        </w:rPr>
        <w:t>(Royle et al., 2005)</w:t>
      </w:r>
      <w:r w:rsidR="00773F71">
        <w:fldChar w:fldCharType="end"/>
      </w:r>
      <w:r>
        <w:t xml:space="preserve">. To use unstructured or semi-structured eBird data in this way (e.g., as a space-for-time substitution), checklists must represent locations across the range of potential covariate values (e.g., are not biased toward certain values of covariates of interest </w:t>
      </w:r>
      <w:r w:rsidR="00773F71">
        <w:fldChar w:fldCharType="begin"/>
      </w:r>
      <w:r w:rsidR="00C957C2">
        <w:instrText xml:space="preserve"> ADDIN ZOTERO_ITEM CSL_CITATION {"citationID":"WtuBG0QJ","properties":{"formattedCitation":"(Hochachka et al., 2023)","plainCitation":"(Hochachka et al., 2023)","noteIndex":0},"citationItems":[{"id":2833,"uris":["http://zotero.org/groups/5634119/items/RHRHETY4"],"itemData":{"id":2833,"type":"article-journal","abstract":"Abstract               An occupancy model makes use of data that are structured as sets of repeated visits to each of many sites, in order to estimate the actual probability of occupancy (i.e. proportion of occupied sites) after correcting for imperfect detection using the information contained in the sets of repeated observations. We explore the conditions under which preexisting, volunteer-collected data from the citizen science project eBird can be used for fitting occupancy models. Because the majority of eBird’s data are not collected in the form of repeated observations at individual locations, we explore 2 ways in which the single-visit records could be used in occupancy models. First, we assess the potential for space-for-time substitution: aggregating single-visit records from different locations within a region into pseudo-repeat visits. On average, eBird’s observers did not make their observations at locations that were representative of the habitat in the surrounding area, which would lead to biased estimates of occupancy probabilities when using space-for-time substitution. Thus, the use of space-for-time substitution is not always appropriate. Second, we explored the utility of including data from single-visit records to supplement sets of repeated-visit data. In a simulation study we found that inclusion of single-visit records increased the precision of occupancy estimates, but only when detection probabilities are high. When detection probability was low, the addition of single-visit records exacerbated biases in estimates of occupancy probability. We conclude that subsets of data from eBird, and likely from similar projects, can be used for occupancy modeling either using space-for-time substitution or supplementing repeated-visit data with data from single-visit records. The appropriateness of either alternative will depend on the goals of a study and on the probabilities of detection and occupancy of the species of interest.","container-title":"Ornithology","DOI":"10.1093/ornithology/ukad035","ISSN":"0004-8038, 2732-4613","issue":"4","language":"en","license":"https://academic.oup.com/pages/standard-publication-reuse-rights","publisher":"Oxford University Press (OUP)","source":"Crossref","title":"Considerations for fitting occupancy models to data from eBird and similar volunteer-collected data","URL":"https://academic.oup.com/auk/article/doi/10.1093/ornithology/ukad035/7229681","volume":"140","author":[{"family":"Hochachka","given":"Wesley M"},{"family":"Ruiz-Gutierrez","given":"Viviana"},{"family":"Johnston","given":"Alison"}],"accessed":{"date-parts":[["2025",7,14]]},"issued":{"date-parts":[["2023",9,27]]}}}],"schema":"https://github.com/citation-style-language/schema/raw/master/csl-citation.json"} </w:instrText>
      </w:r>
      <w:r w:rsidR="00773F71">
        <w:fldChar w:fldCharType="separate"/>
      </w:r>
      <w:r w:rsidRPr="0F72CF47">
        <w:rPr>
          <w:noProof/>
        </w:rPr>
        <w:t>(Hochachka et al., 2023)</w:t>
      </w:r>
      <w:r w:rsidR="00773F71">
        <w:fldChar w:fldCharType="end"/>
      </w:r>
      <w:r>
        <w:t>). We verified that checklists within our filtered dataset met this assumption by comparing values for all covariates at locations with checklists to all gridded data available for those covariates (</w:t>
      </w:r>
      <w:r w:rsidRPr="00212B65">
        <w:t>SI Figure</w:t>
      </w:r>
      <w:r w:rsidR="00212B65" w:rsidRPr="00212B65">
        <w:t xml:space="preserve"> 2</w:t>
      </w:r>
      <w:r w:rsidRPr="00212B65">
        <w:t>).</w:t>
      </w:r>
      <w:r>
        <w:t xml:space="preserve"> </w:t>
      </w:r>
    </w:p>
    <w:p w14:paraId="719D16CF" w14:textId="11EC8C29" w:rsidR="00773F71" w:rsidRDefault="001E6887" w:rsidP="00D8681D">
      <w:pPr>
        <w:pStyle w:val="FirstParagraph"/>
        <w:spacing w:after="0"/>
      </w:pPr>
      <w:r w:rsidRPr="00D8681D">
        <w:rPr>
          <w:b/>
          <w:bCs/>
        </w:rPr>
        <w:t xml:space="preserve">Observation </w:t>
      </w:r>
      <w:r>
        <w:rPr>
          <w:b/>
          <w:bCs/>
        </w:rPr>
        <w:t>P</w:t>
      </w:r>
      <w:r w:rsidRPr="00D8681D">
        <w:rPr>
          <w:b/>
          <w:bCs/>
        </w:rPr>
        <w:t xml:space="preserve">rocess </w:t>
      </w:r>
      <w:r>
        <w:rPr>
          <w:b/>
          <w:bCs/>
        </w:rPr>
        <w:t>M</w:t>
      </w:r>
      <w:r w:rsidRPr="00D8681D">
        <w:rPr>
          <w:b/>
          <w:bCs/>
        </w:rPr>
        <w:t xml:space="preserve">odel for </w:t>
      </w:r>
      <w:r>
        <w:rPr>
          <w:b/>
          <w:bCs/>
        </w:rPr>
        <w:t>P</w:t>
      </w:r>
      <w:r w:rsidRPr="00D8681D">
        <w:rPr>
          <w:b/>
          <w:bCs/>
        </w:rPr>
        <w:t xml:space="preserve">inyon </w:t>
      </w:r>
      <w:r>
        <w:rPr>
          <w:b/>
          <w:bCs/>
        </w:rPr>
        <w:t>J</w:t>
      </w:r>
      <w:r w:rsidRPr="00D8681D">
        <w:rPr>
          <w:b/>
          <w:bCs/>
        </w:rPr>
        <w:t xml:space="preserve">ay </w:t>
      </w:r>
      <w:r>
        <w:rPr>
          <w:b/>
          <w:bCs/>
        </w:rPr>
        <w:t>A</w:t>
      </w:r>
      <w:r w:rsidRPr="00D8681D">
        <w:rPr>
          <w:b/>
          <w:bCs/>
        </w:rPr>
        <w:t xml:space="preserve">bundance. </w:t>
      </w:r>
      <w:r w:rsidR="00773F71">
        <w:t xml:space="preserve">In our model, count data obtained from eBird checklists were used to estimate a “true” latent abundance, </w:t>
      </w:r>
      <m:oMath>
        <m:r>
          <w:rPr>
            <w:rFonts w:ascii="Cambria Math" w:hAnsi="Cambria Math"/>
          </w:rPr>
          <m:t>N</m:t>
        </m:r>
      </m:oMath>
      <w:r w:rsidR="00773F71">
        <w:t xml:space="preserve">, that varies across space and time. eBird checklists are recorded with a geographical point location and often include information about travel distance of the observer (&lt; 5km in our dataset after filtering). Thus, </w:t>
      </w:r>
      <w:r w:rsidR="00773F71">
        <w:lastRenderedPageBreak/>
        <w:t xml:space="preserve">there is spatial uncertainty arising from two sources: 1) uncertainty in the location that the survey was </w:t>
      </w:r>
      <w:r w:rsidR="00773F71" w:rsidRPr="00BF7B38">
        <w:t xml:space="preserve">conducted (e.g., </w:t>
      </w:r>
      <w:r w:rsidR="00773F71">
        <w:t>eBird point locations have uncertain precision</w:t>
      </w:r>
      <w:r w:rsidR="00773F71" w:rsidRPr="00BF7B38">
        <w:t>)</w:t>
      </w:r>
      <w:r w:rsidR="00773F71">
        <w:t xml:space="preserve"> and 2) for traveling surveys, uncertainty in the location along a survey at which pinyon jays were observed (e.g., at the beginning, middle, or end of a walking survey). To account for this spatial uncertainty, we created circular buffers around each eBird checklist point location based on the sampling distance for that checklist; that is, we defined the radius of the buffer circle as 1/2 of the distance traveled for “traveling” checklists or 0.5 km for “stationary” checklists. Then, we created a merged polygon (“sample polygon”) of all the checklists within a 4 km </w:t>
      </w:r>
      <w:r w:rsidR="00773F71">
        <w:rPr>
          <w:rFonts w:ascii="Symbol" w:eastAsia="Symbol" w:hAnsi="Symbol" w:cs="Symbol"/>
        </w:rPr>
        <w:t>´</w:t>
      </w:r>
      <w:r w:rsidR="00773F71">
        <w:t xml:space="preserve"> 4 km grid cell for each year by delineating the perimeter of the overlapping buffers of all checklists within a grid cell. Thus, the sample polygon and not the underlying 4 km </w:t>
      </w:r>
      <w:r w:rsidR="00773F71">
        <w:rPr>
          <w:rFonts w:ascii="Symbol" w:eastAsia="Symbol" w:hAnsi="Symbol" w:cs="Symbol"/>
        </w:rPr>
        <w:t>´</w:t>
      </w:r>
      <w:r w:rsidR="00773F71">
        <w:t xml:space="preserve">4 km grid cell, is the spatial unit at which we incorporated covariates potentially shaping checklist level latent abundance, </w:t>
      </w:r>
      <w:r w:rsidR="00773F71" w:rsidRPr="10F02EB4">
        <w:rPr>
          <w:i/>
          <w:iCs/>
        </w:rPr>
        <w:t>N</w:t>
      </w:r>
      <w:r w:rsidR="00773F71">
        <w:t>.</w:t>
      </w:r>
    </w:p>
    <w:p w14:paraId="3280EFEC" w14:textId="77777777" w:rsidR="00773F71" w:rsidRDefault="00773F71" w:rsidP="00773F71">
      <w:pPr>
        <w:pStyle w:val="BodyText"/>
        <w:spacing w:before="0" w:after="0"/>
        <w:ind w:firstLine="720"/>
      </w:pPr>
      <w:r>
        <w:t xml:space="preserve">For the observation process model, we define a likelihood for the observed eBird count data, </w:t>
      </w:r>
      <w:r w:rsidRPr="0058745E">
        <w:rPr>
          <w:i/>
          <w:iCs/>
        </w:rPr>
        <w:t>Y</w:t>
      </w:r>
      <w:r>
        <w:t xml:space="preserve">, for checklist, </w:t>
      </w:r>
      <m:oMath>
        <m:r>
          <w:rPr>
            <w:rFonts w:ascii="Cambria Math" w:hAnsi="Cambria Math"/>
          </w:rPr>
          <m:t>c</m:t>
        </m:r>
      </m:oMath>
      <w:r>
        <w:t xml:space="preserve">, in sample polygon, </w:t>
      </w:r>
      <m:oMath>
        <m:r>
          <w:rPr>
            <w:rFonts w:ascii="Cambria Math" w:hAnsi="Cambria Math"/>
          </w:rPr>
          <m:t>i</m:t>
        </m:r>
      </m:oMath>
      <w:r>
        <w:t xml:space="preserve">, and year, </w:t>
      </w:r>
      <m:oMath>
        <m:r>
          <w:rPr>
            <w:rFonts w:ascii="Cambria Math" w:hAnsi="Cambria Math"/>
          </w:rPr>
          <m:t>t</m:t>
        </m:r>
      </m:oMath>
      <w:r>
        <w:t xml:space="preserve">, based on a binomial distribution that accounts for the detection probability, </w:t>
      </w:r>
      <w:r>
        <w:rPr>
          <w:i/>
          <w:iCs/>
        </w:rPr>
        <w:t>p</w:t>
      </w:r>
      <w:r>
        <w:t xml:space="preserve">, and the latent true abundance of birds (“number of trials”), </w:t>
      </w:r>
      <w:r w:rsidRPr="00315E09">
        <w:rPr>
          <w:i/>
          <w:iCs/>
        </w:rPr>
        <w:t>N</w:t>
      </w:r>
      <w:r>
        <w:t>, in the checklist:</w:t>
      </w:r>
    </w:p>
    <w:tbl>
      <w:tblPr>
        <w:tblStyle w:val="Table"/>
        <w:tblW w:w="5000" w:type="pct"/>
        <w:tblLayout w:type="fixed"/>
        <w:tblLook w:val="0000" w:firstRow="0" w:lastRow="0" w:firstColumn="0" w:lastColumn="0" w:noHBand="0" w:noVBand="0"/>
      </w:tblPr>
      <w:tblGrid>
        <w:gridCol w:w="8124"/>
        <w:gridCol w:w="1236"/>
      </w:tblGrid>
      <w:tr w:rsidR="00773F71" w14:paraId="5404B9C8" w14:textId="77777777" w:rsidTr="00AD7105">
        <w:tc>
          <w:tcPr>
            <w:tcW w:w="6873" w:type="dxa"/>
          </w:tcPr>
          <w:p w14:paraId="1780F9CB"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e>
                </m:d>
              </m:oMath>
            </m:oMathPara>
          </w:p>
        </w:tc>
        <w:tc>
          <w:tcPr>
            <w:tcW w:w="1046" w:type="dxa"/>
          </w:tcPr>
          <w:p w14:paraId="49FB980B" w14:textId="77777777" w:rsidR="00773F71" w:rsidRDefault="00773F71" w:rsidP="00AD7105">
            <w:pPr>
              <w:pStyle w:val="Compact"/>
              <w:jc w:val="right"/>
            </w:pPr>
            <w:proofErr w:type="spellStart"/>
            <w:r>
              <w:t>Eqn</w:t>
            </w:r>
            <w:proofErr w:type="spellEnd"/>
            <w:r>
              <w:t xml:space="preserve"> 1</w:t>
            </w:r>
          </w:p>
        </w:tc>
      </w:tr>
    </w:tbl>
    <w:p w14:paraId="54581B0D" w14:textId="408F28DF" w:rsidR="00773F71" w:rsidRPr="00D86531" w:rsidRDefault="16353D87" w:rsidP="00773F71">
      <w:pPr>
        <w:pStyle w:val="FirstParagraph"/>
        <w:spacing w:before="0" w:after="0"/>
      </w:pPr>
      <w:r>
        <w:t xml:space="preserve">We modeled </w:t>
      </w:r>
      <w:r w:rsidRPr="0F72CF47">
        <w:rPr>
          <w:i/>
          <w:iCs/>
        </w:rPr>
        <w:t>p</w:t>
      </w:r>
      <w:r>
        <w:t xml:space="preserve"> as a function of </w:t>
      </w:r>
      <w:r w:rsidR="001E6887">
        <w:t xml:space="preserve">four </w:t>
      </w:r>
      <w:r>
        <w:t>covariates that likely impact detection</w:t>
      </w:r>
      <w:r w:rsidR="00F525BF">
        <w:t xml:space="preserve"> probability</w:t>
      </w:r>
      <w:r>
        <w:t xml:space="preserve">, including start time of the survey, duration of the survey, speed of the survey, and the number of observers for each checklist. Again, we filtered the available eBird data (see Section </w:t>
      </w:r>
      <w:r w:rsidR="404E42EB">
        <w:t>4.3</w:t>
      </w:r>
      <w:r>
        <w:t>.1) to select checklists that represented similar effort. We implemented the following model for the logit-scale detection probability:</w:t>
      </w:r>
    </w:p>
    <w:tbl>
      <w:tblPr>
        <w:tblStyle w:val="Table"/>
        <w:tblW w:w="5000" w:type="pct"/>
        <w:tblLayout w:type="fixed"/>
        <w:tblLook w:val="0000" w:firstRow="0" w:lastRow="0" w:firstColumn="0" w:lastColumn="0" w:noHBand="0" w:noVBand="0"/>
      </w:tblPr>
      <w:tblGrid>
        <w:gridCol w:w="8060"/>
        <w:gridCol w:w="1300"/>
      </w:tblGrid>
      <w:tr w:rsidR="00773F71" w14:paraId="403B5E01" w14:textId="77777777" w:rsidTr="00AD7105">
        <w:tc>
          <w:tcPr>
            <w:tcW w:w="6820" w:type="dxa"/>
          </w:tcPr>
          <w:p w14:paraId="5312A30E" w14:textId="77777777" w:rsidR="00773F71" w:rsidRDefault="00773F71" w:rsidP="00AD7105">
            <w:pPr>
              <w:pStyle w:val="Compact"/>
            </w:pPr>
            <m:oMathPara>
              <m:oMathParaPr>
                <m:jc m:val="center"/>
              </m:oMathParaPr>
              <m:oMath>
                <m:r>
                  <w:rPr>
                    <w:rFonts w:ascii="Cambria Math" w:hAnsi="Cambria Math"/>
                  </w: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γ</m:t>
                        </m:r>
                      </m:e>
                      <m:sub>
                        <m:r>
                          <w:rPr>
                            <w:rFonts w:ascii="Cambria Math" w:hAnsi="Cambria Math"/>
                          </w:rPr>
                          <m:t>j</m:t>
                        </m:r>
                      </m:sub>
                    </m:sSub>
                  </m:e>
                </m:nary>
                <m:r>
                  <m:rPr>
                    <m:sty m:val="p"/>
                  </m:rPr>
                  <w:rPr>
                    <w:rFonts w:ascii="Cambria Math" w:hAnsi="Cambria Math"/>
                  </w:rPr>
                  <m:t>⋅</m:t>
                </m:r>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j</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sub>
                </m:sSub>
              </m:oMath>
            </m:oMathPara>
          </w:p>
        </w:tc>
        <w:tc>
          <w:tcPr>
            <w:tcW w:w="1100" w:type="dxa"/>
          </w:tcPr>
          <w:p w14:paraId="0D06280E" w14:textId="77777777" w:rsidR="00773F71" w:rsidRDefault="00773F71" w:rsidP="00AD7105">
            <w:pPr>
              <w:pStyle w:val="Compact"/>
              <w:jc w:val="right"/>
            </w:pPr>
            <w:proofErr w:type="spellStart"/>
            <w:r>
              <w:t>Eqn</w:t>
            </w:r>
            <w:proofErr w:type="spellEnd"/>
            <w:r>
              <w:t xml:space="preserve"> 2</w:t>
            </w:r>
          </w:p>
        </w:tc>
      </w:tr>
    </w:tbl>
    <w:p w14:paraId="409219B1" w14:textId="77777777" w:rsidR="00773F71" w:rsidRDefault="00773F71" w:rsidP="00773F71">
      <w:pPr>
        <w:pStyle w:val="FirstParagraph"/>
        <w:spacing w:before="0" w:after="0"/>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0</m:t>
            </m:r>
          </m:sub>
        </m:sSub>
      </m:oMath>
      <w:r>
        <w:t xml:space="preserve"> is intercept and each </w:t>
      </w:r>
      <m:oMath>
        <m:sSub>
          <m:sSubPr>
            <m:ctrlPr>
              <w:rPr>
                <w:rFonts w:ascii="Cambria Math" w:hAnsi="Cambria Math"/>
              </w:rPr>
            </m:ctrlPr>
          </m:sSubPr>
          <m:e>
            <m:r>
              <w:rPr>
                <w:rFonts w:ascii="Cambria Math" w:hAnsi="Cambria Math"/>
              </w:rPr>
              <m:t>γ</m:t>
            </m:r>
          </m:e>
          <m:sub>
            <m:r>
              <w:rPr>
                <w:rFonts w:ascii="Cambria Math" w:hAnsi="Cambria Math"/>
              </w:rPr>
              <m:t>j</m:t>
            </m:r>
          </m:sub>
        </m:sSub>
      </m:oMath>
      <w:r>
        <w:t xml:space="preserve"> is the coefficient (effect) associated with each covariate, </w:t>
      </w:r>
      <w:proofErr w:type="spellStart"/>
      <w:r w:rsidRPr="0058745E">
        <w:rPr>
          <w:i/>
          <w:iCs/>
        </w:rPr>
        <w:t>Xj</w:t>
      </w:r>
      <w:proofErr w:type="spellEnd"/>
      <w:r>
        <w:t xml:space="preserve"> (</w:t>
      </w:r>
      <w:r w:rsidRPr="0058745E">
        <w:rPr>
          <w:i/>
          <w:iCs/>
        </w:rPr>
        <w:t>j</w:t>
      </w:r>
      <w:r>
        <w:t xml:space="preserve"> = 1, 2, … 4 covariates), whereby the covariates vary by checklist </w:t>
      </w:r>
      <w:r w:rsidRPr="0058745E">
        <w:rPr>
          <w:i/>
          <w:iCs/>
        </w:rPr>
        <w:t>c</w:t>
      </w:r>
      <w:r>
        <w:t xml:space="preserve">, sample polygon </w:t>
      </w:r>
      <w:proofErr w:type="spellStart"/>
      <w:r w:rsidRPr="0058745E">
        <w:rPr>
          <w:i/>
          <w:iCs/>
        </w:rPr>
        <w:t>i</w:t>
      </w:r>
      <w:proofErr w:type="spellEnd"/>
      <w:r>
        <w:t xml:space="preserve">, and year </w:t>
      </w:r>
      <w:r w:rsidRPr="0058745E">
        <w:rPr>
          <w:i/>
          <w:iCs/>
        </w:rPr>
        <w:t>t</w:t>
      </w:r>
      <w:r>
        <w:t xml:space="preserve">. All covariates were standardized such that </w:t>
      </w:r>
      <m:oMath>
        <m:sSub>
          <m:sSubPr>
            <m:ctrlPr>
              <w:rPr>
                <w:rFonts w:ascii="Cambria Math" w:hAnsi="Cambria Math"/>
              </w:rPr>
            </m:ctrlPr>
          </m:sSubPr>
          <m:e>
            <m:r>
              <w:rPr>
                <w:rFonts w:ascii="Cambria Math" w:hAnsi="Cambria Math"/>
              </w:rPr>
              <m:t>γ</m:t>
            </m:r>
          </m:e>
          <m:sub>
            <m:r>
              <w:rPr>
                <w:rFonts w:ascii="Cambria Math" w:hAnsi="Cambria Math"/>
              </w:rPr>
              <m:t>0</m:t>
            </m:r>
          </m:sub>
        </m:sSub>
      </m:oMath>
      <w:r>
        <w:t xml:space="preserve"> describes the logit-scale baseline detection probability at average covariate values.</w:t>
      </w:r>
      <w:r w:rsidRPr="00B24923">
        <w:t xml:space="preserve"> </w:t>
      </w:r>
      <w:r>
        <w:t xml:space="preserve">We assigned relatively non-informative, vague normal priors to all coefficients including the intercept.  </w:t>
      </w:r>
    </w:p>
    <w:p w14:paraId="03A5DBF7" w14:textId="184535A4" w:rsidR="00773F71" w:rsidRDefault="001E6887" w:rsidP="00D8681D">
      <w:pPr>
        <w:pStyle w:val="FirstParagraph"/>
        <w:spacing w:after="0"/>
      </w:pPr>
      <w:r w:rsidRPr="00D8681D">
        <w:rPr>
          <w:b/>
          <w:bCs/>
        </w:rPr>
        <w:t xml:space="preserve">Biological </w:t>
      </w:r>
      <w:r>
        <w:rPr>
          <w:b/>
          <w:bCs/>
        </w:rPr>
        <w:t>P</w:t>
      </w:r>
      <w:r w:rsidRPr="00D8681D">
        <w:rPr>
          <w:b/>
          <w:bCs/>
        </w:rPr>
        <w:t xml:space="preserve">rocess </w:t>
      </w:r>
      <w:r>
        <w:rPr>
          <w:b/>
          <w:bCs/>
        </w:rPr>
        <w:t>M</w:t>
      </w:r>
      <w:r w:rsidRPr="00D8681D">
        <w:rPr>
          <w:b/>
          <w:bCs/>
        </w:rPr>
        <w:t xml:space="preserve">odel for </w:t>
      </w:r>
      <w:r>
        <w:rPr>
          <w:b/>
          <w:bCs/>
        </w:rPr>
        <w:t>P</w:t>
      </w:r>
      <w:r w:rsidRPr="00D8681D">
        <w:rPr>
          <w:b/>
          <w:bCs/>
        </w:rPr>
        <w:t xml:space="preserve">inyon </w:t>
      </w:r>
      <w:r>
        <w:rPr>
          <w:b/>
          <w:bCs/>
        </w:rPr>
        <w:t>J</w:t>
      </w:r>
      <w:r w:rsidRPr="00D8681D">
        <w:rPr>
          <w:b/>
          <w:bCs/>
        </w:rPr>
        <w:t xml:space="preserve">ay </w:t>
      </w:r>
      <w:r>
        <w:rPr>
          <w:b/>
          <w:bCs/>
        </w:rPr>
        <w:t>A</w:t>
      </w:r>
      <w:r w:rsidRPr="00D8681D">
        <w:rPr>
          <w:b/>
          <w:bCs/>
        </w:rPr>
        <w:t xml:space="preserve">bundance. </w:t>
      </w:r>
      <w:r w:rsidR="00773F71">
        <w:t xml:space="preserve">Following standard assumptions for N-mixture models, we assumed that latent </w:t>
      </w:r>
      <w:r>
        <w:t xml:space="preserve">jay </w:t>
      </w:r>
      <w:r w:rsidR="00773F71">
        <w:t xml:space="preserve">abundance, </w:t>
      </w:r>
      <m:oMath>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oMath>
      <w:r w:rsidR="00773F71">
        <w:t xml:space="preserve">, followed a Poisson distribution with the expected abundance given by </w:t>
      </w:r>
      <w:r>
        <w:t xml:space="preserve">the </w:t>
      </w:r>
      <w:r w:rsidR="00773F71">
        <w:t xml:space="preserve">intensity, </w:t>
      </w:r>
      <m:oMath>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oMath>
      <w:r w:rsidR="00773F71">
        <w:t xml:space="preserve"> (number of jays per km</w:t>
      </w:r>
      <w:r w:rsidR="00773F71" w:rsidRPr="00126373">
        <w:rPr>
          <w:vertAlign w:val="superscript"/>
        </w:rPr>
        <w:t>2</w:t>
      </w:r>
      <w:r w:rsidR="00773F71">
        <w:t xml:space="preserve">), multiplied by the sample polygon area, </w:t>
      </w:r>
      <w:proofErr w:type="spellStart"/>
      <w:r w:rsidR="00773F71" w:rsidRPr="00126373">
        <w:rPr>
          <w:i/>
          <w:iCs/>
        </w:rPr>
        <w:t>A</w:t>
      </w:r>
      <w:r w:rsidR="00773F71" w:rsidRPr="00126373">
        <w:rPr>
          <w:i/>
          <w:iCs/>
          <w:vertAlign w:val="subscript"/>
        </w:rPr>
        <w:t>c</w:t>
      </w:r>
      <w:r w:rsidR="00773F71">
        <w:rPr>
          <w:i/>
          <w:iCs/>
          <w:vertAlign w:val="subscript"/>
        </w:rPr>
        <w:t>,i,t</w:t>
      </w:r>
      <w:proofErr w:type="spellEnd"/>
      <w:r w:rsidR="00773F71">
        <w:t xml:space="preserve"> (km</w:t>
      </w:r>
      <w:r w:rsidR="00773F71" w:rsidRPr="00126373">
        <w:rPr>
          <w:vertAlign w:val="superscript"/>
        </w:rPr>
        <w:t>2</w:t>
      </w:r>
      <w:r w:rsidR="00773F71">
        <w:t xml:space="preserve">), associated with observed checklist </w:t>
      </w:r>
      <w:r w:rsidR="00773F71" w:rsidRPr="00126373">
        <w:rPr>
          <w:i/>
          <w:iCs/>
        </w:rPr>
        <w:t>c</w:t>
      </w:r>
      <w:r w:rsidR="00773F71">
        <w:t xml:space="preserve">, sample polygon </w:t>
      </w:r>
      <w:proofErr w:type="spellStart"/>
      <w:r w:rsidR="00773F71">
        <w:rPr>
          <w:i/>
          <w:iCs/>
        </w:rPr>
        <w:t>i</w:t>
      </w:r>
      <w:proofErr w:type="spellEnd"/>
      <w:r w:rsidR="00773F71">
        <w:t xml:space="preserve">, and year </w:t>
      </w:r>
      <w:r w:rsidR="00773F71" w:rsidRPr="00315E09">
        <w:rPr>
          <w:i/>
          <w:iCs/>
        </w:rPr>
        <w:t>t</w:t>
      </w:r>
      <w:r w:rsidR="00773F71">
        <w:t>:</w:t>
      </w:r>
    </w:p>
    <w:tbl>
      <w:tblPr>
        <w:tblStyle w:val="Table"/>
        <w:tblW w:w="5000" w:type="pct"/>
        <w:tblLayout w:type="fixed"/>
        <w:tblLook w:val="0000" w:firstRow="0" w:lastRow="0" w:firstColumn="0" w:lastColumn="0" w:noHBand="0" w:noVBand="0"/>
      </w:tblPr>
      <w:tblGrid>
        <w:gridCol w:w="8190"/>
        <w:gridCol w:w="1170"/>
      </w:tblGrid>
      <w:tr w:rsidR="00773F71" w14:paraId="6959DDC4" w14:textId="77777777" w:rsidTr="00AD7105">
        <w:tc>
          <w:tcPr>
            <w:tcW w:w="6930" w:type="dxa"/>
          </w:tcPr>
          <w:p w14:paraId="0CF448C2"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c</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Poisson</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c,i,t</m:t>
                        </m:r>
                      </m:sub>
                    </m:sSub>
                  </m:e>
                </m:d>
              </m:oMath>
            </m:oMathPara>
          </w:p>
        </w:tc>
        <w:tc>
          <w:tcPr>
            <w:tcW w:w="990" w:type="dxa"/>
          </w:tcPr>
          <w:p w14:paraId="1297EC88" w14:textId="77777777" w:rsidR="00773F71" w:rsidRDefault="00773F71" w:rsidP="00AD7105">
            <w:pPr>
              <w:pStyle w:val="Compact"/>
              <w:jc w:val="right"/>
            </w:pPr>
            <w:proofErr w:type="spellStart"/>
            <w:r>
              <w:t>Eqn</w:t>
            </w:r>
            <w:proofErr w:type="spellEnd"/>
            <w:r>
              <w:t xml:space="preserve"> 3</w:t>
            </w:r>
          </w:p>
        </w:tc>
      </w:tr>
    </w:tbl>
    <w:p w14:paraId="379DA988" w14:textId="77777777" w:rsidR="00773F71" w:rsidRDefault="00773F71" w:rsidP="00773F71">
      <w:pPr>
        <w:pStyle w:val="FirstParagraph"/>
        <w:spacing w:before="0" w:after="0"/>
      </w:pPr>
      <w:r>
        <w:t xml:space="preserve">Furthermore, we modeled the log-scale </w:t>
      </w:r>
      <m:oMath>
        <m:sSub>
          <m:sSubPr>
            <m:ctrlPr>
              <w:rPr>
                <w:rFonts w:ascii="Cambria Math" w:hAnsi="Cambria Math"/>
              </w:rPr>
            </m:ctrlPr>
          </m:sSubPr>
          <m:e>
            <m:r>
              <w:rPr>
                <w:rFonts w:ascii="Cambria Math" w:hAnsi="Cambria Math"/>
              </w:rPr>
              <m:t>λ</m:t>
            </m:r>
          </m:e>
          <m:sub>
            <m:r>
              <w:rPr>
                <w:rFonts w:ascii="Cambria Math" w:hAnsi="Cambria Math"/>
              </w:rPr>
              <m:t>i</m:t>
            </m:r>
            <m:r>
              <m:rPr>
                <m:sty m:val="p"/>
              </m:rPr>
              <w:rPr>
                <w:rFonts w:ascii="Cambria Math" w:hAnsi="Cambria Math"/>
              </w:rPr>
              <m:t>,</m:t>
            </m:r>
            <m:r>
              <w:rPr>
                <w:rFonts w:ascii="Cambria Math" w:hAnsi="Cambria Math"/>
              </w:rPr>
              <m:t>t</m:t>
            </m:r>
          </m:sub>
        </m:sSub>
      </m:oMath>
      <w:r>
        <w:t xml:space="preserve"> as a function of environmental covariates that likely impact the abundance of pinyon jays across space and time:</w:t>
      </w:r>
    </w:p>
    <w:tbl>
      <w:tblPr>
        <w:tblStyle w:val="Table"/>
        <w:tblW w:w="5000" w:type="pct"/>
        <w:tblLayout w:type="fixed"/>
        <w:tblLook w:val="0000" w:firstRow="0" w:lastRow="0" w:firstColumn="0" w:lastColumn="0" w:noHBand="0" w:noVBand="0"/>
      </w:tblPr>
      <w:tblGrid>
        <w:gridCol w:w="8190"/>
        <w:gridCol w:w="1170"/>
      </w:tblGrid>
      <w:tr w:rsidR="00773F71" w:rsidRPr="00315E09" w14:paraId="770378AB" w14:textId="77777777" w:rsidTr="00AD7105">
        <w:tc>
          <w:tcPr>
            <w:tcW w:w="8190" w:type="dxa"/>
          </w:tcPr>
          <w:p w14:paraId="367D8D84" w14:textId="77777777" w:rsidR="00773F71" w:rsidRPr="00315E09" w:rsidRDefault="00773F71" w:rsidP="00AD7105">
            <w:pPr>
              <w:pStyle w:val="Compact"/>
              <w:rPr>
                <w:sz w:val="20"/>
                <w:szCs w:val="20"/>
              </w:rPr>
            </w:pPr>
            <m:oMathPara>
              <m:oMathParaPr>
                <m:jc m:val="center"/>
              </m:oMathParaPr>
              <m:oMath>
                <m:r>
                  <w:rPr>
                    <w:rFonts w:ascii="Cambria Math" w:hAnsi="Cambria Math"/>
                    <w:sz w:val="20"/>
                    <w:szCs w:val="20"/>
                  </w:rPr>
                  <m:t>log</m:t>
                </m:r>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λ</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e>
                </m:d>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0</m:t>
                    </m:r>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2</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k</m:t>
                        </m:r>
                      </m:sub>
                    </m:sSub>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3</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2+k</m:t>
                        </m:r>
                      </m:sub>
                    </m:sSub>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Z</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r>
                  <m:rPr>
                    <m:sty m:val="p"/>
                  </m:rPr>
                  <w:rPr>
                    <w:rFonts w:ascii="Cambria Math" w:hAnsi="Cambria Math"/>
                    <w:sz w:val="20"/>
                    <w:szCs w:val="20"/>
                  </w:rPr>
                  <m:t>+</m:t>
                </m:r>
                <m:nary>
                  <m:naryPr>
                    <m:chr m:val="∑"/>
                    <m:limLoc m:val="undOvr"/>
                    <m:ctrlPr>
                      <w:rPr>
                        <w:rFonts w:ascii="Cambria Math" w:hAnsi="Cambria Math"/>
                        <w:sz w:val="20"/>
                        <w:szCs w:val="20"/>
                      </w:rPr>
                    </m:ctrlPr>
                  </m:naryPr>
                  <m:sub>
                    <m:r>
                      <w:rPr>
                        <w:rFonts w:ascii="Cambria Math" w:hAnsi="Cambria Math"/>
                        <w:sz w:val="20"/>
                        <w:szCs w:val="20"/>
                      </w:rPr>
                      <m:t>k</m:t>
                    </m:r>
                    <m:r>
                      <m:rPr>
                        <m:sty m:val="p"/>
                      </m:rPr>
                      <w:rPr>
                        <w:rFonts w:ascii="Cambria Math" w:hAnsi="Cambria Math"/>
                        <w:sz w:val="20"/>
                        <w:szCs w:val="20"/>
                      </w:rPr>
                      <m:t>=</m:t>
                    </m:r>
                    <m:r>
                      <w:rPr>
                        <w:rFonts w:ascii="Cambria Math" w:hAnsi="Cambria Math"/>
                        <w:sz w:val="20"/>
                        <w:szCs w:val="20"/>
                      </w:rPr>
                      <m:t>1</m:t>
                    </m:r>
                  </m:sub>
                  <m:sup>
                    <m:r>
                      <w:rPr>
                        <w:rFonts w:ascii="Cambria Math" w:hAnsi="Cambria Math"/>
                        <w:sz w:val="20"/>
                        <w:szCs w:val="20"/>
                      </w:rPr>
                      <m:t>2</m:t>
                    </m:r>
                  </m:sup>
                  <m:e>
                    <m:sSub>
                      <m:sSubPr>
                        <m:ctrlPr>
                          <w:rPr>
                            <w:rFonts w:ascii="Cambria Math" w:hAnsi="Cambria Math"/>
                            <w:i/>
                            <w:sz w:val="20"/>
                            <w:szCs w:val="20"/>
                          </w:rPr>
                        </m:ctrlPr>
                      </m:sSubPr>
                      <m:e>
                        <m:r>
                          <w:rPr>
                            <w:rFonts w:ascii="Cambria Math" w:hAnsi="Cambria Math"/>
                            <w:sz w:val="20"/>
                            <w:szCs w:val="20"/>
                          </w:rPr>
                          <m:t>α</m:t>
                        </m:r>
                      </m:e>
                      <m:sub>
                        <m:r>
                          <w:rPr>
                            <w:rFonts w:ascii="Cambria Math" w:hAnsi="Cambria Math"/>
                            <w:sz w:val="20"/>
                            <w:szCs w:val="20"/>
                          </w:rPr>
                          <m:t>5+k</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Z</m:t>
                        </m:r>
                      </m:e>
                      <m:sub>
                        <m:sSub>
                          <m:sSubPr>
                            <m:ctrlPr>
                              <w:rPr>
                                <w:rFonts w:ascii="Cambria Math" w:hAnsi="Cambria Math"/>
                                <w:i/>
                                <w:sz w:val="20"/>
                                <w:szCs w:val="20"/>
                              </w:rPr>
                            </m:ctrlPr>
                          </m:sSubPr>
                          <m:e>
                            <m:r>
                              <w:rPr>
                                <w:rFonts w:ascii="Cambria Math" w:hAnsi="Cambria Math"/>
                                <w:sz w:val="20"/>
                                <w:szCs w:val="20"/>
                              </w:rPr>
                              <m:t>l</m:t>
                            </m:r>
                          </m:e>
                          <m:sub>
                            <m:r>
                              <w:rPr>
                                <w:rFonts w:ascii="Cambria Math" w:hAnsi="Cambria Math"/>
                                <w:sz w:val="20"/>
                                <w:szCs w:val="20"/>
                              </w:rPr>
                              <m:t>i,t</m:t>
                            </m:r>
                          </m:sub>
                        </m:sSub>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i,t</m:t>
                            </m:r>
                          </m:sub>
                        </m:sSub>
                      </m:sub>
                    </m:sSub>
                    <m:nary>
                      <m:naryPr>
                        <m:chr m:val="∑"/>
                        <m:limLoc m:val="undOvr"/>
                        <m:ctrlPr>
                          <w:rPr>
                            <w:rFonts w:ascii="Cambria Math" w:hAnsi="Cambria Math"/>
                            <w:sz w:val="20"/>
                            <w:szCs w:val="20"/>
                          </w:rPr>
                        </m:ctrlPr>
                      </m:naryPr>
                      <m:sub>
                        <m:r>
                          <w:rPr>
                            <w:rFonts w:ascii="Cambria Math" w:hAnsi="Cambria Math"/>
                            <w:sz w:val="20"/>
                            <w:szCs w:val="20"/>
                          </w:rPr>
                          <m:t>k=2</m:t>
                        </m:r>
                      </m:sub>
                      <m:sup>
                        <m:r>
                          <w:rPr>
                            <w:rFonts w:ascii="Cambria Math" w:hAnsi="Cambria Math"/>
                            <w:sz w:val="20"/>
                            <w:szCs w:val="20"/>
                          </w:rPr>
                          <m:t>3</m:t>
                        </m:r>
                      </m:sup>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6+k</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Z</m:t>
                            </m:r>
                          </m:e>
                          <m:sub>
                            <m:sSub>
                              <m:sSubPr>
                                <m:ctrlPr>
                                  <w:rPr>
                                    <w:rFonts w:ascii="Cambria Math" w:hAnsi="Cambria Math"/>
                                    <w:i/>
                                    <w:sz w:val="20"/>
                                    <w:szCs w:val="20"/>
                                  </w:rPr>
                                </m:ctrlPr>
                              </m:sSubPr>
                              <m:e>
                                <m:r>
                                  <w:rPr>
                                    <w:rFonts w:ascii="Cambria Math" w:hAnsi="Cambria Math"/>
                                    <w:sz w:val="20"/>
                                    <w:szCs w:val="20"/>
                                  </w:rPr>
                                  <m:t>l</m:t>
                                </m:r>
                              </m:e>
                              <m:sub>
                                <m:r>
                                  <w:rPr>
                                    <w:rFonts w:ascii="Cambria Math" w:hAnsi="Cambria Math"/>
                                    <w:sz w:val="20"/>
                                    <w:szCs w:val="20"/>
                                  </w:rPr>
                                  <m:t>i,t</m:t>
                                </m:r>
                              </m:sub>
                            </m:sSub>
                          </m:sub>
                        </m:sSub>
                      </m:e>
                    </m:nary>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Z</m:t>
                    </m:r>
                  </m:e>
                  <m:sub>
                    <m:sSub>
                      <m:sSubPr>
                        <m:ctrlPr>
                          <w:rPr>
                            <w:rFonts w:ascii="Cambria Math" w:hAnsi="Cambria Math"/>
                            <w:sz w:val="20"/>
                            <w:szCs w:val="20"/>
                          </w:rPr>
                        </m:ctrlPr>
                      </m:sSubPr>
                      <m:e>
                        <m:r>
                          <w:rPr>
                            <w:rFonts w:ascii="Cambria Math" w:hAnsi="Cambria Math"/>
                            <w:sz w:val="20"/>
                            <w:szCs w:val="20"/>
                          </w:rPr>
                          <m:t>k</m:t>
                        </m:r>
                      </m:e>
                      <m:sub>
                        <m:r>
                          <w:rPr>
                            <w:rFonts w:ascii="Cambria Math" w:hAnsi="Cambria Math"/>
                            <w:sz w:val="20"/>
                            <w:szCs w:val="20"/>
                          </w:rPr>
                          <m:t>i</m:t>
                        </m:r>
                        <m:r>
                          <m:rPr>
                            <m:sty m:val="p"/>
                          </m:rPr>
                          <w:rPr>
                            <w:rFonts w:ascii="Cambria Math" w:hAnsi="Cambria Math"/>
                            <w:sz w:val="20"/>
                            <w:szCs w:val="20"/>
                          </w:rPr>
                          <m:t>,</m:t>
                        </m:r>
                        <m:r>
                          <w:rPr>
                            <w:rFonts w:ascii="Cambria Math" w:hAnsi="Cambria Math"/>
                            <w:sz w:val="20"/>
                            <w:szCs w:val="20"/>
                          </w:rPr>
                          <m:t>t</m:t>
                        </m:r>
                      </m:sub>
                    </m:sSub>
                  </m:sub>
                </m:sSub>
              </m:oMath>
            </m:oMathPara>
          </w:p>
        </w:tc>
        <w:tc>
          <w:tcPr>
            <w:tcW w:w="1170" w:type="dxa"/>
          </w:tcPr>
          <w:p w14:paraId="09AAC2E5" w14:textId="77777777" w:rsidR="00773F71" w:rsidRPr="00281722" w:rsidRDefault="00773F71" w:rsidP="00AD7105">
            <w:pPr>
              <w:pStyle w:val="Compact"/>
              <w:jc w:val="right"/>
            </w:pPr>
            <w:proofErr w:type="spellStart"/>
            <w:r w:rsidRPr="00281722">
              <w:t>Eqn</w:t>
            </w:r>
            <w:proofErr w:type="spellEnd"/>
            <w:r w:rsidRPr="00281722">
              <w:t xml:space="preserve"> 4</w:t>
            </w:r>
          </w:p>
        </w:tc>
      </w:tr>
    </w:tbl>
    <w:p w14:paraId="5B394223" w14:textId="77777777" w:rsidR="00773F71" w:rsidRDefault="00773F71" w:rsidP="00773F71">
      <w:pPr>
        <w:pStyle w:val="FirstParagraph"/>
        <w:spacing w:before="0" w:after="0"/>
      </w:pPr>
      <w:r>
        <w:t xml:space="preserve">In this formulation, </w:t>
      </w:r>
      <m:oMath>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includes the static covariate of monsoonality (</w:t>
      </w:r>
      <w:r w:rsidRPr="00315E09">
        <w:rPr>
          <w:i/>
          <w:iCs/>
        </w:rPr>
        <w:t>k</w:t>
      </w:r>
      <w:r>
        <w:t xml:space="preserve"> = 1), which varies across space (by sample polygon, </w:t>
      </w:r>
      <w:proofErr w:type="spellStart"/>
      <w:r>
        <w:rPr>
          <w:i/>
          <w:iCs/>
        </w:rPr>
        <w:t>i</w:t>
      </w:r>
      <w:proofErr w:type="spellEnd"/>
      <w:r>
        <w:t xml:space="preserve">) but not across time, </w:t>
      </w:r>
      <w:r w:rsidRPr="006103F0">
        <w:rPr>
          <w:i/>
          <w:iCs/>
        </w:rPr>
        <w:t>t</w:t>
      </w:r>
      <w:r>
        <w:t xml:space="preserve">, and concurrent pinyon pine basal area (BA, </w:t>
      </w:r>
      <w:r w:rsidRPr="00315E09">
        <w:rPr>
          <w:i/>
          <w:iCs/>
        </w:rPr>
        <w:t>k</w:t>
      </w:r>
      <w:r>
        <w:t xml:space="preserve"> = 2), which varies across space and time. Importantly, </w:t>
      </w: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represents covariates that integrate over past and/or future time periods (i.e., pinyon cones [</w:t>
      </w:r>
      <w:r w:rsidRPr="00315E09">
        <w:rPr>
          <w:i/>
          <w:iCs/>
        </w:rPr>
        <w:t>k</w:t>
      </w:r>
      <w:r>
        <w:t xml:space="preserve"> = 1], maximum temperature [</w:t>
      </w:r>
      <w:r w:rsidRPr="00C348BE">
        <w:rPr>
          <w:i/>
          <w:iCs/>
        </w:rPr>
        <w:t>k</w:t>
      </w:r>
      <w:r>
        <w:t xml:space="preserve"> = 2], and precipitation [</w:t>
      </w:r>
      <w:r w:rsidRPr="00C348BE">
        <w:rPr>
          <w:i/>
          <w:iCs/>
        </w:rPr>
        <w:t>k</w:t>
      </w:r>
      <w:r>
        <w:t xml:space="preserve"> = 3]) and are defined using a SAM structure (Ogle et al., 2015). </w:t>
      </w:r>
      <w:proofErr w:type="gramStart"/>
      <w:r>
        <w:t xml:space="preserve">In </w:t>
      </w:r>
      <w:r>
        <w:lastRenderedPageBreak/>
        <w:t>particular, each</w:t>
      </w:r>
      <w:proofErr w:type="gramEnd"/>
      <w:r>
        <w:t xml:space="preserve"> </w:t>
      </w: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oMath>
      <w:r>
        <w:t xml:space="preserve"> is defined as the weighted average of concurrent or past values for each focal covariate:</w:t>
      </w:r>
    </w:p>
    <w:tbl>
      <w:tblPr>
        <w:tblStyle w:val="Table"/>
        <w:tblW w:w="5000" w:type="pct"/>
        <w:tblLayout w:type="fixed"/>
        <w:tblLook w:val="0000" w:firstRow="0" w:lastRow="0" w:firstColumn="0" w:lastColumn="0" w:noHBand="0" w:noVBand="0"/>
      </w:tblPr>
      <w:tblGrid>
        <w:gridCol w:w="8424"/>
        <w:gridCol w:w="936"/>
      </w:tblGrid>
      <w:tr w:rsidR="00773F71" w14:paraId="2F4F0B91" w14:textId="77777777" w:rsidTr="00AD7105">
        <w:tc>
          <w:tcPr>
            <w:tcW w:w="7128" w:type="dxa"/>
          </w:tcPr>
          <w:p w14:paraId="3EAB2908" w14:textId="77777777" w:rsidR="00773F71" w:rsidRDefault="00000000" w:rsidP="00AD7105">
            <w:pPr>
              <w:pStyle w:val="Compact"/>
            </w:pPr>
            <m:oMathPara>
              <m:oMathParaPr>
                <m:jc m:val="center"/>
              </m:oMathParaPr>
              <m:oMath>
                <m:sSub>
                  <m:sSubPr>
                    <m:ctrlPr>
                      <w:rPr>
                        <w:rFonts w:ascii="Cambria Math" w:hAnsi="Cambria Math"/>
                      </w:rPr>
                    </m:ctrlPr>
                  </m:sSubPr>
                  <m:e>
                    <m:r>
                      <w:rPr>
                        <w:rFonts w:ascii="Cambria Math" w:hAnsi="Cambria Math"/>
                      </w:rPr>
                      <m:t>Z</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sub>
                    </m:sSub>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m:t>
                    </m:r>
                    <m:r>
                      <w:rPr>
                        <w:rFonts w:ascii="Cambria Math" w:hAnsi="Cambria Math"/>
                      </w:rPr>
                      <m:t>1</m:t>
                    </m:r>
                  </m:sub>
                  <m:sup>
                    <m:r>
                      <w:rPr>
                        <w:rFonts w:ascii="Cambria Math" w:hAnsi="Cambria Math"/>
                      </w:rPr>
                      <m:t>NLags</m:t>
                    </m:r>
                  </m:sup>
                  <m:e>
                    <m:sSub>
                      <m:sSubPr>
                        <m:ctrlPr>
                          <w:rPr>
                            <w:rFonts w:ascii="Cambria Math" w:hAnsi="Cambria Math"/>
                          </w:rPr>
                        </m:ctrlPr>
                      </m:sSubPr>
                      <m:e>
                        <m:r>
                          <w:rPr>
                            <w:rFonts w:ascii="Cambria Math" w:hAnsi="Cambria Math"/>
                          </w:rPr>
                          <m:t>X</m:t>
                        </m:r>
                      </m:e>
                      <m:sub>
                        <m:sSub>
                          <m:sSubPr>
                            <m:ctrlPr>
                              <w:rPr>
                                <w:rFonts w:ascii="Cambria Math" w:hAnsi="Cambria Math"/>
                              </w:rPr>
                            </m:ctrlPr>
                          </m:sSubPr>
                          <m:e>
                            <m:r>
                              <w:rPr>
                                <w:rFonts w:ascii="Cambria Math" w:hAnsi="Cambria Math"/>
                              </w:rPr>
                              <m:t>k</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l</m:t>
                            </m:r>
                          </m:sub>
                        </m:sSub>
                      </m:sub>
                    </m:sSub>
                  </m:e>
                </m:nary>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l</m:t>
                    </m:r>
                  </m:sub>
                </m:sSub>
              </m:oMath>
            </m:oMathPara>
          </w:p>
        </w:tc>
        <w:tc>
          <w:tcPr>
            <w:tcW w:w="792" w:type="dxa"/>
          </w:tcPr>
          <w:p w14:paraId="4751FC76" w14:textId="77777777" w:rsidR="00773F71" w:rsidRDefault="00773F71" w:rsidP="00AD7105">
            <w:pPr>
              <w:pStyle w:val="Compact"/>
              <w:jc w:val="right"/>
            </w:pPr>
            <w:proofErr w:type="spellStart"/>
            <w:r>
              <w:t>Eqn</w:t>
            </w:r>
            <w:proofErr w:type="spellEnd"/>
            <w:r>
              <w:t xml:space="preserve"> 5</w:t>
            </w:r>
          </w:p>
        </w:tc>
      </w:tr>
    </w:tbl>
    <w:p w14:paraId="067B8535" w14:textId="7D183F02" w:rsidR="00773F71" w:rsidRDefault="16353D87" w:rsidP="00773F71">
      <w:pPr>
        <w:pStyle w:val="FirstParagraph"/>
        <w:spacing w:before="0" w:after="0"/>
      </w:pPr>
      <w:r>
        <w:t>The weights</w:t>
      </w:r>
      <w:r w:rsidRPr="0F72CF47">
        <w:rPr>
          <w:rFonts w:eastAsiaTheme="minorEastAsia"/>
        </w:rPr>
        <w:t xml:space="preserve">, </w:t>
      </w:r>
      <m:oMath>
        <m:sSub>
          <m:sSubPr>
            <m:ctrlPr>
              <w:rPr>
                <w:rFonts w:ascii="Cambria Math" w:hAnsi="Cambria Math"/>
              </w:rPr>
            </m:ctrlPr>
          </m:sSubPr>
          <m:e>
            <m:r>
              <w:rPr>
                <w:rFonts w:ascii="Cambria Math" w:hAnsi="Cambria Math"/>
              </w:rPr>
              <m:t>w</m:t>
            </m:r>
          </m:e>
          <m:sub>
            <m:r>
              <w:rPr>
                <w:rFonts w:ascii="Cambria Math" w:hAnsi="Cambria Math"/>
              </w:rPr>
              <m:t>k</m:t>
            </m:r>
            <m:r>
              <m:rPr>
                <m:sty m:val="p"/>
              </m:rPr>
              <w:rPr>
                <w:rFonts w:ascii="Cambria Math" w:hAnsi="Cambria Math"/>
              </w:rPr>
              <m:t>,</m:t>
            </m:r>
            <m:r>
              <w:rPr>
                <w:rFonts w:ascii="Cambria Math" w:hAnsi="Cambria Math"/>
              </w:rPr>
              <m:t>l</m:t>
            </m:r>
          </m:sub>
        </m:sSub>
      </m:oMath>
      <w:r>
        <w:t xml:space="preserve">, for each covariate, </w:t>
      </w:r>
      <w:r w:rsidRPr="0F72CF47">
        <w:rPr>
          <w:i/>
          <w:iCs/>
        </w:rPr>
        <w:t>k</w:t>
      </w:r>
      <w:r>
        <w:t xml:space="preserve">, across all seasonal or yearly periods, </w:t>
      </w:r>
      <w:r w:rsidRPr="0F72CF47">
        <w:rPr>
          <w:i/>
          <w:iCs/>
        </w:rPr>
        <w:t>l</w:t>
      </w:r>
      <w:r>
        <w:t xml:space="preserve">, were assigned a Dirichlet prior, constraining the weights to sum to 1 across all periods. </w:t>
      </w:r>
      <w:proofErr w:type="gramStart"/>
      <w:r>
        <w:t xml:space="preserve">In particular, </w:t>
      </w:r>
      <w:r w:rsidRPr="0F72CF47">
        <w:rPr>
          <w:i/>
          <w:iCs/>
        </w:rPr>
        <w:t>l</w:t>
      </w:r>
      <w:proofErr w:type="gramEnd"/>
      <w:r>
        <w:t xml:space="preserve"> = -3, -2, -1, +1, +2, representing 5 yearly periods for cones (</w:t>
      </w:r>
      <w:r w:rsidRPr="0F72CF47">
        <w:rPr>
          <w:i/>
          <w:iCs/>
        </w:rPr>
        <w:t>k</w:t>
      </w:r>
      <w:r>
        <w:t xml:space="preserve"> = 1), and </w:t>
      </w:r>
      <w:r w:rsidRPr="0F72CF47">
        <w:rPr>
          <w:i/>
          <w:iCs/>
        </w:rPr>
        <w:t xml:space="preserve">l </w:t>
      </w:r>
      <w:r>
        <w:t>= 1, 2, …, 13, representing concurrent and past seasonal periods for the climate variables (</w:t>
      </w:r>
      <w:r w:rsidRPr="0F72CF47">
        <w:rPr>
          <w:i/>
          <w:iCs/>
        </w:rPr>
        <w:t>k</w:t>
      </w:r>
      <w:r>
        <w:t xml:space="preserve"> = 2 or 3) (see Figure 2). The weights indicate the relative importance of each covariate </w:t>
      </w:r>
      <w:r w:rsidRPr="0F72CF47">
        <w:rPr>
          <w:i/>
          <w:iCs/>
        </w:rPr>
        <w:t>k</w:t>
      </w:r>
      <w:r>
        <w:t xml:space="preserve"> at </w:t>
      </w:r>
      <w:proofErr w:type="gramStart"/>
      <w:r>
        <w:t>time period</w:t>
      </w:r>
      <w:proofErr w:type="gramEnd"/>
      <w:r>
        <w:t xml:space="preserve"> </w:t>
      </w:r>
      <w:r w:rsidRPr="0F72CF47">
        <w:rPr>
          <w:i/>
          <w:iCs/>
        </w:rPr>
        <w:t>l</w:t>
      </w:r>
      <w:r>
        <w:t xml:space="preserve"> to its overall effect on pinyon jay abundance. </w:t>
      </w:r>
      <w:r w:rsidR="004E2CFD">
        <w:t xml:space="preserve">The weights are constrained between zero and one, and larger </w:t>
      </w:r>
      <w:r>
        <w:t xml:space="preserve">values of a particular weight denote higher importance of that season or year to that covariate effect. We are particularly interested in the temporal relationships between jay abundance and pinyon seed availability; high weights for time periods denoted by </w:t>
      </w:r>
      <w:r w:rsidRPr="0F72CF47">
        <w:rPr>
          <w:i/>
          <w:iCs/>
        </w:rPr>
        <w:t>l</w:t>
      </w:r>
      <w:r>
        <w:t xml:space="preserve"> = +1 or </w:t>
      </w:r>
      <w:r w:rsidRPr="0F72CF47">
        <w:rPr>
          <w:i/>
          <w:iCs/>
        </w:rPr>
        <w:t>l</w:t>
      </w:r>
      <w:r>
        <w:t xml:space="preserve"> =  +2, </w:t>
      </w:r>
      <w:r w:rsidRPr="0F72CF47">
        <w:rPr>
          <w:i/>
          <w:iCs/>
        </w:rPr>
        <w:t>w</w:t>
      </w:r>
      <w:r w:rsidRPr="0F72CF47">
        <w:rPr>
          <w:i/>
          <w:iCs/>
          <w:vertAlign w:val="subscript"/>
        </w:rPr>
        <w:t>k</w:t>
      </w:r>
      <w:r w:rsidRPr="007C026E">
        <w:rPr>
          <w:vertAlign w:val="subscript"/>
        </w:rPr>
        <w:t>,+1</w:t>
      </w:r>
      <w:r>
        <w:t xml:space="preserve"> and/or </w:t>
      </w:r>
      <w:r w:rsidRPr="0F72CF47">
        <w:rPr>
          <w:i/>
          <w:iCs/>
        </w:rPr>
        <w:t>w</w:t>
      </w:r>
      <w:r w:rsidRPr="0F72CF47">
        <w:rPr>
          <w:i/>
          <w:iCs/>
          <w:vertAlign w:val="subscript"/>
        </w:rPr>
        <w:t>k</w:t>
      </w:r>
      <w:r w:rsidRPr="007C026E">
        <w:rPr>
          <w:vertAlign w:val="subscript"/>
        </w:rPr>
        <w:t>+2</w:t>
      </w:r>
      <w:r>
        <w:t xml:space="preserve">, would support a strong anticipatory response, a high weight for </w:t>
      </w:r>
      <w:r w:rsidRPr="0F72CF47">
        <w:rPr>
          <w:i/>
          <w:iCs/>
        </w:rPr>
        <w:t>w</w:t>
      </w:r>
      <w:r w:rsidRPr="0F72CF47">
        <w:rPr>
          <w:i/>
          <w:iCs/>
          <w:vertAlign w:val="subscript"/>
        </w:rPr>
        <w:t>k</w:t>
      </w:r>
      <w:r w:rsidRPr="007C026E">
        <w:rPr>
          <w:vertAlign w:val="subscript"/>
        </w:rPr>
        <w:t>,-1</w:t>
      </w:r>
      <w:r>
        <w:t xml:space="preserve"> would support a strong immediate response, and high weights for </w:t>
      </w:r>
      <w:r w:rsidRPr="0F72CF47">
        <w:rPr>
          <w:i/>
          <w:iCs/>
        </w:rPr>
        <w:t>w</w:t>
      </w:r>
      <w:r w:rsidRPr="0F72CF47">
        <w:rPr>
          <w:i/>
          <w:iCs/>
          <w:vertAlign w:val="subscript"/>
        </w:rPr>
        <w:t>k</w:t>
      </w:r>
      <w:r w:rsidRPr="007C026E">
        <w:rPr>
          <w:vertAlign w:val="subscript"/>
        </w:rPr>
        <w:t>,-2</w:t>
      </w:r>
      <w:r>
        <w:t xml:space="preserve"> and/or </w:t>
      </w:r>
      <w:r w:rsidRPr="0F72CF47">
        <w:rPr>
          <w:i/>
          <w:iCs/>
        </w:rPr>
        <w:t>w</w:t>
      </w:r>
      <w:r w:rsidRPr="0F72CF47">
        <w:rPr>
          <w:i/>
          <w:iCs/>
          <w:vertAlign w:val="subscript"/>
        </w:rPr>
        <w:t>k</w:t>
      </w:r>
      <w:r w:rsidRPr="007C026E">
        <w:rPr>
          <w:vertAlign w:val="subscript"/>
        </w:rPr>
        <w:t>,-3</w:t>
      </w:r>
      <w:r>
        <w:t xml:space="preserve"> would be suggestive of a delayed response to cones.</w:t>
      </w:r>
    </w:p>
    <w:p w14:paraId="4BB1F953" w14:textId="77777777" w:rsidR="00773F71" w:rsidRPr="00B24923" w:rsidRDefault="00773F71" w:rsidP="00773F71">
      <w:pPr>
        <w:pStyle w:val="FirstParagraph"/>
        <w:spacing w:before="0" w:after="0"/>
        <w:ind w:firstLine="720"/>
      </w:pPr>
      <w:r w:rsidRPr="004E2CFD">
        <w:t>As depicted in Equation (4), we also considered i</w:t>
      </w:r>
      <w:r>
        <w:t>nteractions between seed (cone) abundance (</w:t>
      </w:r>
      <w:r w:rsidRPr="007C026E">
        <w:rPr>
          <w:i/>
          <w:iCs/>
        </w:rPr>
        <w:t>Z</w:t>
      </w:r>
      <w:r w:rsidRPr="007C026E">
        <w:rPr>
          <w:vertAlign w:val="subscript"/>
        </w:rPr>
        <w:t>1</w:t>
      </w:r>
      <w:r>
        <w:t xml:space="preserve">) and all other covariates, including </w:t>
      </w:r>
      <w:proofErr w:type="spellStart"/>
      <w:r>
        <w:t>monsoonality</w:t>
      </w:r>
      <w:proofErr w:type="spellEnd"/>
      <w:r>
        <w:t xml:space="preserve"> (</w:t>
      </w:r>
      <w:r w:rsidRPr="007C026E">
        <w:rPr>
          <w:i/>
          <w:iCs/>
        </w:rPr>
        <w:t>X</w:t>
      </w:r>
      <w:r w:rsidRPr="007C026E">
        <w:rPr>
          <w:vertAlign w:val="subscript"/>
        </w:rPr>
        <w:t>1</w:t>
      </w:r>
      <w:r>
        <w:t>), pinyon BA (</w:t>
      </w:r>
      <w:r w:rsidRPr="007C026E">
        <w:rPr>
          <w:i/>
          <w:iCs/>
        </w:rPr>
        <w:t>X</w:t>
      </w:r>
      <w:r w:rsidRPr="007C026E">
        <w:rPr>
          <w:vertAlign w:val="subscript"/>
        </w:rPr>
        <w:t>2</w:t>
      </w:r>
      <w:r>
        <w:t>), maximum temperature (</w:t>
      </w:r>
      <w:r w:rsidRPr="007C026E">
        <w:rPr>
          <w:i/>
          <w:iCs/>
        </w:rPr>
        <w:t>Z</w:t>
      </w:r>
      <w:r w:rsidRPr="007C026E">
        <w:rPr>
          <w:vertAlign w:val="subscript"/>
        </w:rPr>
        <w:t>2</w:t>
      </w:r>
      <w:r>
        <w:t>), and precipitation (</w:t>
      </w:r>
      <w:r w:rsidRPr="007C026E">
        <w:rPr>
          <w:i/>
          <w:iCs/>
        </w:rPr>
        <w:t>Z</w:t>
      </w:r>
      <w:r w:rsidRPr="007C026E">
        <w:rPr>
          <w:vertAlign w:val="subscript"/>
        </w:rPr>
        <w:t>3</w:t>
      </w:r>
      <w:r>
        <w:t>). This allowed us to evaluate how the relationship between pinyon jay abundance and pinyon seed production is mediated by other habitat and climate factors related to pinyon seed reliability and alternative food resources. We assigned relativ</w:t>
      </w:r>
      <w:r w:rsidRPr="00C01E47">
        <w:t>ely vague normal priors to the intercept (</w:t>
      </w:r>
      <w:r w:rsidRPr="00C01E47">
        <w:rPr>
          <w:rFonts w:ascii="Symbol" w:eastAsia="Symbol" w:hAnsi="Symbol" w:cs="Symbol"/>
        </w:rPr>
        <w:t>a</w:t>
      </w:r>
      <w:r w:rsidRPr="007C026E">
        <w:rPr>
          <w:vertAlign w:val="subscript"/>
        </w:rPr>
        <w:t>0</w:t>
      </w:r>
      <w:r w:rsidRPr="00C01E47">
        <w:t xml:space="preserve">) and all coefficients (covariate effects; </w:t>
      </w:r>
      <w:r w:rsidRPr="00C01E47">
        <w:rPr>
          <w:rFonts w:ascii="Symbol" w:eastAsia="Symbol" w:hAnsi="Symbol" w:cs="Symbol"/>
        </w:rPr>
        <w:t>a</w:t>
      </w:r>
      <w:r w:rsidRPr="00C01E47">
        <w:rPr>
          <w:vertAlign w:val="subscript"/>
        </w:rPr>
        <w:t xml:space="preserve">1, </w:t>
      </w:r>
      <w:r w:rsidRPr="007C026E">
        <w:rPr>
          <w:rFonts w:ascii="Symbol" w:eastAsia="Symbol" w:hAnsi="Symbol" w:cs="Symbol"/>
        </w:rPr>
        <w:t>a</w:t>
      </w:r>
      <w:r w:rsidRPr="00C01E47">
        <w:rPr>
          <w:vertAlign w:val="subscript"/>
        </w:rPr>
        <w:t xml:space="preserve">1, …, </w:t>
      </w:r>
      <w:r w:rsidRPr="007C026E">
        <w:rPr>
          <w:rFonts w:ascii="Symbol" w:eastAsia="Symbol" w:hAnsi="Symbol" w:cs="Symbol"/>
        </w:rPr>
        <w:t>a</w:t>
      </w:r>
      <w:r>
        <w:rPr>
          <w:vertAlign w:val="subscript"/>
        </w:rPr>
        <w:t>9</w:t>
      </w:r>
      <w:r>
        <w:t xml:space="preserve">) in Equation (4).  </w:t>
      </w:r>
    </w:p>
    <w:p w14:paraId="05B6D267" w14:textId="77777777" w:rsidR="00773F71" w:rsidRDefault="00773F71" w:rsidP="00773F71">
      <w:pPr>
        <w:pStyle w:val="BodyText"/>
        <w:spacing w:before="0" w:after="0"/>
        <w:ind w:firstLine="720"/>
      </w:pPr>
      <w:r>
        <w:lastRenderedPageBreak/>
        <w:t xml:space="preserve">Finally, because sample polygons sometimes covered more than one 4 km </w:t>
      </w:r>
      <w:r>
        <w:rPr>
          <w:rFonts w:ascii="Symbol" w:eastAsia="Symbol" w:hAnsi="Symbol" w:cs="Symbol"/>
        </w:rPr>
        <w:t>´</w:t>
      </w:r>
      <w:r>
        <w:t xml:space="preserve"> 4 km grid cell, we determined the percent of a sample polygon covering each grid cell and then calculated weighted averages of the covariate values based on the covariate values of all overlapping grid cells multiplied by the percent of the sample polygons overlapping that cell. On average, polygons overlapped approximately two (mean = 2.13 </w:t>
      </w:r>
      <w:r>
        <w:rPr>
          <w:rFonts w:ascii="Symbol" w:eastAsia="Symbol" w:hAnsi="Symbol" w:cs="Symbol"/>
        </w:rPr>
        <w:t>±</w:t>
      </w:r>
      <w:r>
        <w:t xml:space="preserve"> 0.01 </w:t>
      </w:r>
      <w:proofErr w:type="spellStart"/>
      <w:r>
        <w:t>s.e.</w:t>
      </w:r>
      <w:proofErr w:type="spellEnd"/>
      <w:r>
        <w:t>) grid cells, with a minimum of one grid cell and a maximum of nine cells for a single polygon.</w:t>
      </w:r>
    </w:p>
    <w:p w14:paraId="0354D1BE" w14:textId="6A44749D" w:rsidR="00EC0CE3" w:rsidRDefault="00EC0CE3" w:rsidP="00773F71">
      <w:pPr>
        <w:pStyle w:val="BodyText"/>
        <w:spacing w:before="0" w:after="0"/>
        <w:ind w:firstLine="720"/>
      </w:pPr>
      <w:r>
        <w:t>The above model was implemented in JAGS to produce posterior estimates of model parameters. See additional</w:t>
      </w:r>
      <w:r w:rsidR="004E3AEC">
        <w:t xml:space="preserve"> Results and</w:t>
      </w:r>
      <w:r>
        <w:t xml:space="preserve"> Materials and Methods in Supporting Information for details on model implementation, including assessment of convergence, model performance, and out-of-sample model validation. </w:t>
      </w:r>
    </w:p>
    <w:p w14:paraId="042A9F97" w14:textId="77777777" w:rsidR="004E3AEC" w:rsidRDefault="004E3AEC" w:rsidP="004E3AEC">
      <w:pPr>
        <w:pStyle w:val="BodyText"/>
        <w:spacing w:before="0" w:after="0"/>
      </w:pPr>
    </w:p>
    <w:p w14:paraId="5C448BC7" w14:textId="77777777" w:rsidR="004E3AEC" w:rsidRDefault="004E3AEC" w:rsidP="004E3AEC">
      <w:pPr>
        <w:pStyle w:val="BodyText"/>
        <w:spacing w:before="0" w:after="0"/>
        <w:rPr>
          <w:b/>
          <w:bCs/>
        </w:rPr>
      </w:pPr>
      <w:r w:rsidRPr="004E3AEC">
        <w:rPr>
          <w:b/>
          <w:bCs/>
        </w:rPr>
        <w:t>Acknowledgements</w:t>
      </w:r>
    </w:p>
    <w:p w14:paraId="1438E62D" w14:textId="77777777" w:rsidR="004E3AEC" w:rsidRDefault="004E3AEC" w:rsidP="004E3AEC">
      <w:pPr>
        <w:pStyle w:val="BodyText"/>
        <w:spacing w:before="0" w:after="0"/>
        <w:rPr>
          <w:b/>
          <w:bCs/>
        </w:rPr>
      </w:pPr>
    </w:p>
    <w:p w14:paraId="4EACA4DF" w14:textId="5CB0DCFF" w:rsidR="004E3AEC" w:rsidRPr="004E3AEC" w:rsidRDefault="004E3AEC" w:rsidP="004E3AEC">
      <w:pPr>
        <w:pStyle w:val="BodyText"/>
        <w:spacing w:before="0" w:after="0"/>
        <w:rPr>
          <w:b/>
          <w:bCs/>
        </w:rPr>
        <w:sectPr w:rsidR="004E3AEC" w:rsidRPr="004E3AEC" w:rsidSect="00167C71">
          <w:pgSz w:w="12240" w:h="15840"/>
          <w:pgMar w:top="1440" w:right="1440" w:bottom="1440" w:left="1440" w:header="720" w:footer="720" w:gutter="0"/>
          <w:lnNumType w:countBy="1" w:restart="continuous"/>
          <w:cols w:space="720"/>
          <w:titlePg/>
          <w:docGrid w:linePitch="326"/>
        </w:sectPr>
      </w:pPr>
    </w:p>
    <w:p w14:paraId="10D6E46C" w14:textId="6E182D5E" w:rsidR="00482FFC" w:rsidRDefault="00482FFC" w:rsidP="00482FFC">
      <w:pPr>
        <w:pStyle w:val="BodyText"/>
        <w:rPr>
          <w:b/>
          <w:bCs/>
        </w:rPr>
      </w:pPr>
      <w:commentRangeStart w:id="12"/>
      <w:r w:rsidRPr="00482FFC">
        <w:rPr>
          <w:b/>
          <w:bCs/>
        </w:rPr>
        <w:lastRenderedPageBreak/>
        <w:t>References</w:t>
      </w:r>
      <w:commentRangeEnd w:id="12"/>
      <w:r w:rsidR="007D3A5B">
        <w:rPr>
          <w:rStyle w:val="CommentReference"/>
          <w:rFonts w:asciiTheme="minorHAnsi" w:hAnsiTheme="minorHAnsi"/>
        </w:rPr>
        <w:commentReference w:id="12"/>
      </w:r>
    </w:p>
    <w:p w14:paraId="54F88A00" w14:textId="77777777" w:rsidR="00BF3CA7" w:rsidRPr="00BF3CA7" w:rsidRDefault="0019106D" w:rsidP="00BF3CA7">
      <w:pPr>
        <w:pStyle w:val="Bibliography"/>
      </w:pPr>
      <w:r>
        <w:rPr>
          <w:b/>
          <w:bCs/>
        </w:rPr>
        <w:fldChar w:fldCharType="begin"/>
      </w:r>
      <w:r w:rsidR="00B332AB">
        <w:rPr>
          <w:b/>
          <w:bCs/>
        </w:rPr>
        <w:instrText xml:space="preserve"> ADDIN ZOTERO_BIBL {"uncited":[],"omitted":[],"custom":[]} CSL_BIBLIOGRAPHY </w:instrText>
      </w:r>
      <w:r>
        <w:rPr>
          <w:b/>
          <w:bCs/>
        </w:rPr>
        <w:fldChar w:fldCharType="separate"/>
      </w:r>
      <w:r w:rsidR="00BF3CA7" w:rsidRPr="00BF3CA7">
        <w:t xml:space="preserve">Adams, D. K., &amp; Comrie, A. C. (1997). The North American Monsoon. </w:t>
      </w:r>
      <w:r w:rsidR="00BF3CA7" w:rsidRPr="00BF3CA7">
        <w:rPr>
          <w:i/>
          <w:iCs/>
        </w:rPr>
        <w:t>Bulletin of the American Meteorological Society</w:t>
      </w:r>
      <w:r w:rsidR="00BF3CA7" w:rsidRPr="00BF3CA7">
        <w:t xml:space="preserve">, </w:t>
      </w:r>
      <w:r w:rsidR="00BF3CA7" w:rsidRPr="00BF3CA7">
        <w:rPr>
          <w:i/>
          <w:iCs/>
        </w:rPr>
        <w:t>78</w:t>
      </w:r>
      <w:r w:rsidR="00BF3CA7" w:rsidRPr="00BF3CA7">
        <w:t>(10), 2197–2213. https://doi.org/10.1175/1520-0477(1997)078%253C2197:TNAM%253E2.0.CO;2</w:t>
      </w:r>
    </w:p>
    <w:p w14:paraId="5DD2F7CB" w14:textId="77777777" w:rsidR="00BF3CA7" w:rsidRPr="00BF3CA7" w:rsidRDefault="00BF3CA7" w:rsidP="00BF3CA7">
      <w:pPr>
        <w:pStyle w:val="Bibliography"/>
      </w:pPr>
      <w:r w:rsidRPr="00BF3CA7">
        <w:t xml:space="preserve">Allred, B. W., </w:t>
      </w:r>
      <w:proofErr w:type="spellStart"/>
      <w:r w:rsidRPr="00BF3CA7">
        <w:t>Bestelmeyer</w:t>
      </w:r>
      <w:proofErr w:type="spellEnd"/>
      <w:r w:rsidRPr="00BF3CA7">
        <w:t xml:space="preserve">, B. T., Boyd, C. S., Brown, C., Davies, K. W., Duniway, M. C., Ellsworth, L. M., Erickson, T. A., </w:t>
      </w:r>
      <w:proofErr w:type="spellStart"/>
      <w:r w:rsidRPr="00BF3CA7">
        <w:t>Fuhlendorf</w:t>
      </w:r>
      <w:proofErr w:type="spellEnd"/>
      <w:r w:rsidRPr="00BF3CA7">
        <w:t xml:space="preserve">, S. D., Griffiths, T. V., Jansen, V., Jones, M. O., Karl, J., Knight, A., Maestas, J. D., Maynard, J. J., McCord, S. E., Naugle, D. E., Starns, H. D., … Uden, D. R. (2021). Improving Landsat predictions of rangeland fractional cover with multitask learning and uncertainty. </w:t>
      </w:r>
      <w:r w:rsidRPr="00BF3CA7">
        <w:rPr>
          <w:i/>
          <w:iCs/>
        </w:rPr>
        <w:t>Methods in Ecology and Evolution</w:t>
      </w:r>
      <w:r w:rsidRPr="00BF3CA7">
        <w:t xml:space="preserve">, </w:t>
      </w:r>
      <w:r w:rsidRPr="00BF3CA7">
        <w:rPr>
          <w:i/>
          <w:iCs/>
        </w:rPr>
        <w:t>12</w:t>
      </w:r>
      <w:r w:rsidRPr="00BF3CA7">
        <w:t>(5), 841–849. https://doi.org/10.1111/2041-210X.13564</w:t>
      </w:r>
    </w:p>
    <w:p w14:paraId="0178FFC4" w14:textId="77777777" w:rsidR="00BF3CA7" w:rsidRPr="00BF3CA7" w:rsidRDefault="00BF3CA7" w:rsidP="00BF3CA7">
      <w:pPr>
        <w:pStyle w:val="Bibliography"/>
      </w:pPr>
      <w:proofErr w:type="spellStart"/>
      <w:r w:rsidRPr="00BF3CA7">
        <w:t>Bahlai</w:t>
      </w:r>
      <w:proofErr w:type="spellEnd"/>
      <w:r w:rsidRPr="00BF3CA7">
        <w:t xml:space="preserve">, C. A., White, E. R., Perrone, J. D., </w:t>
      </w:r>
      <w:proofErr w:type="spellStart"/>
      <w:r w:rsidRPr="00BF3CA7">
        <w:t>Cusser</w:t>
      </w:r>
      <w:proofErr w:type="spellEnd"/>
      <w:r w:rsidRPr="00BF3CA7">
        <w:t xml:space="preserve">, S., &amp; Stack Whitney, K. (2021). The broken window: An algorithm for quantifying and characterizing misleading trajectories in ecological processes. </w:t>
      </w:r>
      <w:r w:rsidRPr="00BF3CA7">
        <w:rPr>
          <w:i/>
          <w:iCs/>
        </w:rPr>
        <w:t>Ecological Informatics</w:t>
      </w:r>
      <w:r w:rsidRPr="00BF3CA7">
        <w:t xml:space="preserve">, </w:t>
      </w:r>
      <w:r w:rsidRPr="00BF3CA7">
        <w:rPr>
          <w:i/>
          <w:iCs/>
        </w:rPr>
        <w:t>64</w:t>
      </w:r>
      <w:r w:rsidRPr="00BF3CA7">
        <w:t>, 101336. https://doi.org/10.1016/j.ecoinf.2021.101336</w:t>
      </w:r>
    </w:p>
    <w:p w14:paraId="19F8AD97" w14:textId="77777777" w:rsidR="00BF3CA7" w:rsidRPr="00BF3CA7" w:rsidRDefault="00BF3CA7" w:rsidP="00BF3CA7">
      <w:pPr>
        <w:pStyle w:val="Bibliography"/>
      </w:pPr>
      <w:r w:rsidRPr="00BF3CA7">
        <w:t xml:space="preserve">Belitz, M. W., Larsen, E. A., Hurlbert, A. H., Di Cecco, G. J., Neupane, N., Ries, L., Tingley, M. W., Guralnick, R. P., &amp; </w:t>
      </w:r>
      <w:proofErr w:type="spellStart"/>
      <w:r w:rsidRPr="00BF3CA7">
        <w:t>Youngflesh</w:t>
      </w:r>
      <w:proofErr w:type="spellEnd"/>
      <w:r w:rsidRPr="00BF3CA7">
        <w:t xml:space="preserve">, C. (2025). Potential for bird–insect phenological mismatch in a tri‐trophic system. </w:t>
      </w:r>
      <w:r w:rsidRPr="00BF3CA7">
        <w:rPr>
          <w:i/>
          <w:iCs/>
        </w:rPr>
        <w:t>Journal of Animal Ecology</w:t>
      </w:r>
      <w:r w:rsidRPr="00BF3CA7">
        <w:t xml:space="preserve">, </w:t>
      </w:r>
      <w:r w:rsidRPr="00BF3CA7">
        <w:rPr>
          <w:i/>
          <w:iCs/>
        </w:rPr>
        <w:t>94</w:t>
      </w:r>
      <w:r w:rsidRPr="00BF3CA7">
        <w:t>(4), 717–728. https://doi.org/10.1111/1365-2656.70007</w:t>
      </w:r>
    </w:p>
    <w:p w14:paraId="742833D9" w14:textId="77777777" w:rsidR="00BF3CA7" w:rsidRPr="00BF3CA7" w:rsidRDefault="00BF3CA7" w:rsidP="00BF3CA7">
      <w:pPr>
        <w:pStyle w:val="Bibliography"/>
      </w:pPr>
      <w:r w:rsidRPr="00BF3CA7">
        <w:t xml:space="preserve">Bello, C., Galetti, M., </w:t>
      </w:r>
      <w:proofErr w:type="spellStart"/>
      <w:r w:rsidRPr="00BF3CA7">
        <w:t>Pizo</w:t>
      </w:r>
      <w:proofErr w:type="spellEnd"/>
      <w:r w:rsidRPr="00BF3CA7">
        <w:t xml:space="preserve">, M. A., Magnago, L. F. S., Rocha, M. F., Lima, R. A. F., Peres, C. A., Ovaskainen, O., &amp; Jordano, P. (2015). Defaunation affects carbon storage in tropical forests. </w:t>
      </w:r>
      <w:r w:rsidRPr="00BF3CA7">
        <w:rPr>
          <w:i/>
          <w:iCs/>
        </w:rPr>
        <w:t>Science Advances</w:t>
      </w:r>
      <w:r w:rsidRPr="00BF3CA7">
        <w:t xml:space="preserve">, </w:t>
      </w:r>
      <w:r w:rsidRPr="00BF3CA7">
        <w:rPr>
          <w:i/>
          <w:iCs/>
        </w:rPr>
        <w:t>1</w:t>
      </w:r>
      <w:r w:rsidRPr="00BF3CA7">
        <w:t>(11), e1501105. https://doi.org/10.1126/sciadv.1501105</w:t>
      </w:r>
    </w:p>
    <w:p w14:paraId="455A07CD" w14:textId="77777777" w:rsidR="00BF3CA7" w:rsidRPr="00BF3CA7" w:rsidRDefault="00BF3CA7" w:rsidP="00BF3CA7">
      <w:pPr>
        <w:pStyle w:val="Bibliography"/>
      </w:pPr>
      <w:r w:rsidRPr="00BF3CA7">
        <w:lastRenderedPageBreak/>
        <w:t xml:space="preserve">Bergeron, P., </w:t>
      </w:r>
      <w:proofErr w:type="spellStart"/>
      <w:r w:rsidRPr="00BF3CA7">
        <w:t>Réale</w:t>
      </w:r>
      <w:proofErr w:type="spellEnd"/>
      <w:r w:rsidRPr="00BF3CA7">
        <w:t xml:space="preserve">, D., Humphries, M. M., &amp; Garant, D. (2011). Anticipation and tracking of pulsed resources drive population dynamics in eastern chipmunks. </w:t>
      </w:r>
      <w:r w:rsidRPr="00BF3CA7">
        <w:rPr>
          <w:i/>
          <w:iCs/>
        </w:rPr>
        <w:t>Ecology</w:t>
      </w:r>
      <w:r w:rsidRPr="00BF3CA7">
        <w:t xml:space="preserve">, </w:t>
      </w:r>
      <w:r w:rsidRPr="00BF3CA7">
        <w:rPr>
          <w:i/>
          <w:iCs/>
        </w:rPr>
        <w:t>92</w:t>
      </w:r>
      <w:r w:rsidRPr="00BF3CA7">
        <w:t>(11), 2027–2034. https://doi.org/10.1890/11-0766.1</w:t>
      </w:r>
    </w:p>
    <w:p w14:paraId="29EA1E36" w14:textId="77777777" w:rsidR="00BF3CA7" w:rsidRPr="00BF3CA7" w:rsidRDefault="00BF3CA7" w:rsidP="00BF3CA7">
      <w:pPr>
        <w:pStyle w:val="Bibliography"/>
      </w:pPr>
      <w:proofErr w:type="spellStart"/>
      <w:r w:rsidRPr="00BF3CA7">
        <w:t>Bogdziewicz</w:t>
      </w:r>
      <w:proofErr w:type="spellEnd"/>
      <w:r w:rsidRPr="00BF3CA7">
        <w:t xml:space="preserve">, M., Crone, E. E., &amp; Zwolak, R. (2020). Do benefits of seed dispersal and caching by </w:t>
      </w:r>
      <w:proofErr w:type="spellStart"/>
      <w:r w:rsidRPr="00BF3CA7">
        <w:t>scatterhoarders</w:t>
      </w:r>
      <w:proofErr w:type="spellEnd"/>
      <w:r w:rsidRPr="00BF3CA7">
        <w:t xml:space="preserve"> outweigh the costs of predation? An example with oaks and yellow‐necked mice. </w:t>
      </w:r>
      <w:r w:rsidRPr="00BF3CA7">
        <w:rPr>
          <w:i/>
          <w:iCs/>
        </w:rPr>
        <w:t>Journal of Ecology</w:t>
      </w:r>
      <w:r w:rsidRPr="00BF3CA7">
        <w:t xml:space="preserve">, </w:t>
      </w:r>
      <w:r w:rsidRPr="00BF3CA7">
        <w:rPr>
          <w:i/>
          <w:iCs/>
        </w:rPr>
        <w:t>108</w:t>
      </w:r>
      <w:r w:rsidRPr="00BF3CA7">
        <w:t>(3), 1009–1018. https://doi.org/10.1111/1365-2745.13307</w:t>
      </w:r>
    </w:p>
    <w:p w14:paraId="1595D62F" w14:textId="77777777" w:rsidR="00BF3CA7" w:rsidRPr="00BF3CA7" w:rsidRDefault="00BF3CA7" w:rsidP="00BF3CA7">
      <w:pPr>
        <w:pStyle w:val="Bibliography"/>
      </w:pPr>
      <w:proofErr w:type="spellStart"/>
      <w:r w:rsidRPr="00BF3CA7">
        <w:t>Bogdziewicz</w:t>
      </w:r>
      <w:proofErr w:type="spellEnd"/>
      <w:r w:rsidRPr="00BF3CA7">
        <w:t xml:space="preserve">, M., Zwolak, R., &amp; Crone, E. E. (2016). How do vertebrates respond to mast seeding? </w:t>
      </w:r>
      <w:r w:rsidRPr="00BF3CA7">
        <w:rPr>
          <w:i/>
          <w:iCs/>
        </w:rPr>
        <w:t>Oikos</w:t>
      </w:r>
      <w:r w:rsidRPr="00BF3CA7">
        <w:t xml:space="preserve">, </w:t>
      </w:r>
      <w:r w:rsidRPr="00BF3CA7">
        <w:rPr>
          <w:i/>
          <w:iCs/>
        </w:rPr>
        <w:t>125</w:t>
      </w:r>
      <w:r w:rsidRPr="00BF3CA7">
        <w:t>(3), 300–307. https://doi.org/10.1111/oik.03012</w:t>
      </w:r>
    </w:p>
    <w:p w14:paraId="30469760" w14:textId="77777777" w:rsidR="00BF3CA7" w:rsidRPr="00BF3CA7" w:rsidRDefault="00BF3CA7" w:rsidP="00BF3CA7">
      <w:pPr>
        <w:pStyle w:val="Bibliography"/>
      </w:pPr>
      <w:r w:rsidRPr="00BF3CA7">
        <w:t xml:space="preserve">Boone, J. D., Ammon, E., &amp; Johnson, K. (2018). Long-term declines in the Pinyon Jay and management implications for piñon–juniper woodlands. In W. D. Shuford, R. E. Gill, &amp; C. M. Handel, </w:t>
      </w:r>
      <w:r w:rsidRPr="00BF3CA7">
        <w:rPr>
          <w:i/>
          <w:iCs/>
        </w:rPr>
        <w:t>Trends and Traditions: Avifaunal Change in Western North America</w:t>
      </w:r>
      <w:r w:rsidRPr="00BF3CA7">
        <w:t xml:space="preserve"> (pp. 190–197). Western Field Ornithologists. https://doi.org/10.21199/SWB3.10</w:t>
      </w:r>
    </w:p>
    <w:p w14:paraId="1F2A1099" w14:textId="77777777" w:rsidR="00BF3CA7" w:rsidRPr="00BF3CA7" w:rsidRDefault="00BF3CA7" w:rsidP="00BF3CA7">
      <w:pPr>
        <w:pStyle w:val="Bibliography"/>
      </w:pPr>
      <w:r w:rsidRPr="00BF3CA7">
        <w:t xml:space="preserve">Boutin, S., Wauters, L. A., McAdam, A. G., Humphries, M. M., Tosi, G., &amp; Dhondt, A. A. (2006). Anticipatory Reproduction and Population Growth in Seed Predators. </w:t>
      </w:r>
      <w:r w:rsidRPr="00BF3CA7">
        <w:rPr>
          <w:i/>
          <w:iCs/>
        </w:rPr>
        <w:t>Science</w:t>
      </w:r>
      <w:r w:rsidRPr="00BF3CA7">
        <w:t xml:space="preserve">, </w:t>
      </w:r>
      <w:r w:rsidRPr="00BF3CA7">
        <w:rPr>
          <w:i/>
          <w:iCs/>
        </w:rPr>
        <w:t>314</w:t>
      </w:r>
      <w:r w:rsidRPr="00BF3CA7">
        <w:t>(5807), 1928–1930. https://doi.org/10.1126/science.1135520</w:t>
      </w:r>
    </w:p>
    <w:p w14:paraId="2BCB8571" w14:textId="77777777" w:rsidR="00BF3CA7" w:rsidRPr="00BF3CA7" w:rsidRDefault="00BF3CA7" w:rsidP="00BF3CA7">
      <w:pPr>
        <w:pStyle w:val="Bibliography"/>
      </w:pPr>
      <w:r w:rsidRPr="00BF3CA7">
        <w:t xml:space="preserve">Branson, D. H. (2008). Influence of a Large Late Summer Precipitation Event on Food Limitation and Grasshopper Population Dynamics in a Northern Great Plains Grassland. </w:t>
      </w:r>
      <w:r w:rsidRPr="00BF3CA7">
        <w:rPr>
          <w:i/>
          <w:iCs/>
        </w:rPr>
        <w:t>Environmental Entomology</w:t>
      </w:r>
      <w:r w:rsidRPr="00BF3CA7">
        <w:t xml:space="preserve">, </w:t>
      </w:r>
      <w:r w:rsidRPr="00BF3CA7">
        <w:rPr>
          <w:i/>
          <w:iCs/>
        </w:rPr>
        <w:t>37</w:t>
      </w:r>
      <w:r w:rsidRPr="00BF3CA7">
        <w:t>(3), 686–695. https://doi.org/10.1603/0046-225X(2008)37%255B686:IOALLS%255D2.0.CO;2</w:t>
      </w:r>
    </w:p>
    <w:p w14:paraId="39CAFAF2" w14:textId="77777777" w:rsidR="00BF3CA7" w:rsidRPr="00BF3CA7" w:rsidRDefault="00BF3CA7" w:rsidP="00BF3CA7">
      <w:pPr>
        <w:pStyle w:val="Bibliography"/>
      </w:pPr>
      <w:proofErr w:type="spellStart"/>
      <w:r w:rsidRPr="00BF3CA7">
        <w:t>Bregnard</w:t>
      </w:r>
      <w:proofErr w:type="spellEnd"/>
      <w:r w:rsidRPr="00BF3CA7">
        <w:t xml:space="preserve">, C., Rais, O., &amp; </w:t>
      </w:r>
      <w:proofErr w:type="spellStart"/>
      <w:r w:rsidRPr="00BF3CA7">
        <w:t>Voordouw</w:t>
      </w:r>
      <w:proofErr w:type="spellEnd"/>
      <w:r w:rsidRPr="00BF3CA7">
        <w:t xml:space="preserve">, M. J. (2021). Masting by beech trees predicts the risk of Lyme disease. </w:t>
      </w:r>
      <w:r w:rsidRPr="00BF3CA7">
        <w:rPr>
          <w:i/>
          <w:iCs/>
        </w:rPr>
        <w:t>Parasites &amp; Vectors</w:t>
      </w:r>
      <w:r w:rsidRPr="00BF3CA7">
        <w:t xml:space="preserve">, </w:t>
      </w:r>
      <w:r w:rsidRPr="00BF3CA7">
        <w:rPr>
          <w:i/>
          <w:iCs/>
        </w:rPr>
        <w:t>14</w:t>
      </w:r>
      <w:r w:rsidRPr="00BF3CA7">
        <w:t>(1), 168. https://doi.org/10.1186/s13071-021-04646-0</w:t>
      </w:r>
    </w:p>
    <w:p w14:paraId="3B09E6EA" w14:textId="77777777" w:rsidR="00BF3CA7" w:rsidRPr="00BF3CA7" w:rsidRDefault="00BF3CA7" w:rsidP="00BF3CA7">
      <w:pPr>
        <w:pStyle w:val="Bibliography"/>
      </w:pPr>
      <w:r w:rsidRPr="00BF3CA7">
        <w:lastRenderedPageBreak/>
        <w:t xml:space="preserve">Breshears, D. D., Cobb, N. S., Rich, P. M., Price, K. P., Allen, C. D., Balice, R. G., Romme, W. H., Kastens, J. H., Floyd, M. L., Belnap, J., Anderson, J. J., Myers, O. B., &amp; Meyer, C. W. (2005). Regional vegetation die-off in response to global-change-type drought. </w:t>
      </w:r>
      <w:r w:rsidRPr="00BF3CA7">
        <w:rPr>
          <w:i/>
          <w:iCs/>
        </w:rPr>
        <w:t>Proceedings of the National Academy of Sciences</w:t>
      </w:r>
      <w:r w:rsidRPr="00BF3CA7">
        <w:t xml:space="preserve">, </w:t>
      </w:r>
      <w:r w:rsidRPr="00BF3CA7">
        <w:rPr>
          <w:i/>
          <w:iCs/>
        </w:rPr>
        <w:t>102</w:t>
      </w:r>
      <w:r w:rsidRPr="00BF3CA7">
        <w:t>(42), 15144–15148. https://doi.org/10.1073/pnas.0505734102</w:t>
      </w:r>
    </w:p>
    <w:p w14:paraId="05EC600D" w14:textId="77777777" w:rsidR="00BF3CA7" w:rsidRPr="00BF3CA7" w:rsidRDefault="00BF3CA7" w:rsidP="00BF3CA7">
      <w:pPr>
        <w:pStyle w:val="Bibliography"/>
      </w:pPr>
      <w:r w:rsidRPr="00BF3CA7">
        <w:t xml:space="preserve">Brodie, J. F., Bello, C., Emer, C., Galetti, M., Luskin, M. S., </w:t>
      </w:r>
      <w:proofErr w:type="spellStart"/>
      <w:r w:rsidRPr="00BF3CA7">
        <w:t>Osuri</w:t>
      </w:r>
      <w:proofErr w:type="spellEnd"/>
      <w:r w:rsidRPr="00BF3CA7">
        <w:t xml:space="preserve">, A., Peres, C. A., Stoll, A., Villar, N., &amp; López, A. (2025). Defaunation impacts on the carbon balance of tropical forests. </w:t>
      </w:r>
      <w:r w:rsidRPr="00BF3CA7">
        <w:rPr>
          <w:i/>
          <w:iCs/>
        </w:rPr>
        <w:t>Conservation Biology</w:t>
      </w:r>
      <w:r w:rsidRPr="00BF3CA7">
        <w:t xml:space="preserve">, </w:t>
      </w:r>
      <w:r w:rsidRPr="00BF3CA7">
        <w:rPr>
          <w:i/>
          <w:iCs/>
        </w:rPr>
        <w:t>39</w:t>
      </w:r>
      <w:r w:rsidRPr="00BF3CA7">
        <w:t>(1), e14414. https://doi.org/10.1111/cobi.14414</w:t>
      </w:r>
    </w:p>
    <w:p w14:paraId="582D794F" w14:textId="77777777" w:rsidR="00BF3CA7" w:rsidRPr="00BF3CA7" w:rsidRDefault="00BF3CA7" w:rsidP="00BF3CA7">
      <w:pPr>
        <w:pStyle w:val="Bibliography"/>
      </w:pPr>
      <w:proofErr w:type="spellStart"/>
      <w:r w:rsidRPr="00BF3CA7">
        <w:t>CaraDonna</w:t>
      </w:r>
      <w:proofErr w:type="spellEnd"/>
      <w:r w:rsidRPr="00BF3CA7">
        <w:t xml:space="preserve">, P. J., Petry, W. K., Brennan, R. M., Cunningham, J. L., Bronstein, J. L., Waser, N. M., &amp; Sanders, N. J. (2017). Interaction rewiring and the rapid turnover of plant–pollinator networks. </w:t>
      </w:r>
      <w:r w:rsidRPr="00BF3CA7">
        <w:rPr>
          <w:i/>
          <w:iCs/>
        </w:rPr>
        <w:t>Ecology Letters</w:t>
      </w:r>
      <w:r w:rsidRPr="00BF3CA7">
        <w:t xml:space="preserve">, </w:t>
      </w:r>
      <w:r w:rsidRPr="00BF3CA7">
        <w:rPr>
          <w:i/>
          <w:iCs/>
        </w:rPr>
        <w:t>20</w:t>
      </w:r>
      <w:r w:rsidRPr="00BF3CA7">
        <w:t>(3), 385–394. https://doi.org/10.1111/ele.12740</w:t>
      </w:r>
    </w:p>
    <w:p w14:paraId="6393BA71" w14:textId="77777777" w:rsidR="00BF3CA7" w:rsidRPr="00BF3CA7" w:rsidRDefault="00BF3CA7" w:rsidP="00BF3CA7">
      <w:pPr>
        <w:pStyle w:val="Bibliography"/>
      </w:pPr>
      <w:r w:rsidRPr="00BF3CA7">
        <w:t xml:space="preserve">Cornell Lab of Ornithology. (2024a). </w:t>
      </w:r>
      <w:r w:rsidRPr="00BF3CA7">
        <w:rPr>
          <w:i/>
          <w:iCs/>
        </w:rPr>
        <w:t>eBird Basic Dataset</w:t>
      </w:r>
      <w:r w:rsidRPr="00BF3CA7">
        <w:t xml:space="preserve"> (Version EBD_relJun-2024) [Dataset].</w:t>
      </w:r>
    </w:p>
    <w:p w14:paraId="35646CB9" w14:textId="77777777" w:rsidR="00BF3CA7" w:rsidRPr="00BF3CA7" w:rsidRDefault="00BF3CA7" w:rsidP="00BF3CA7">
      <w:pPr>
        <w:pStyle w:val="Bibliography"/>
      </w:pPr>
      <w:r w:rsidRPr="00BF3CA7">
        <w:t xml:space="preserve">Cornell Lab of Ornithology. (2024b). </w:t>
      </w:r>
      <w:r w:rsidRPr="00BF3CA7">
        <w:rPr>
          <w:i/>
          <w:iCs/>
        </w:rPr>
        <w:t>eBird Basic Dataset</w:t>
      </w:r>
      <w:r w:rsidRPr="00BF3CA7">
        <w:t xml:space="preserve"> (Version EBD_relMay-2024) [Dataset].</w:t>
      </w:r>
    </w:p>
    <w:p w14:paraId="68ABCFB8" w14:textId="77777777" w:rsidR="00BF3CA7" w:rsidRPr="00BF3CA7" w:rsidRDefault="00BF3CA7" w:rsidP="00BF3CA7">
      <w:pPr>
        <w:pStyle w:val="Bibliography"/>
      </w:pPr>
      <w:proofErr w:type="spellStart"/>
      <w:r w:rsidRPr="00BF3CA7">
        <w:t>D’Alelio</w:t>
      </w:r>
      <w:proofErr w:type="spellEnd"/>
      <w:r w:rsidRPr="00BF3CA7">
        <w:t xml:space="preserve">, D., Hay Mele, B., </w:t>
      </w:r>
      <w:proofErr w:type="spellStart"/>
      <w:r w:rsidRPr="00BF3CA7">
        <w:t>Libralato</w:t>
      </w:r>
      <w:proofErr w:type="spellEnd"/>
      <w:r w:rsidRPr="00BF3CA7">
        <w:t xml:space="preserve">, S., Ribera </w:t>
      </w:r>
      <w:proofErr w:type="spellStart"/>
      <w:r w:rsidRPr="00BF3CA7">
        <w:t>d’Alcalà</w:t>
      </w:r>
      <w:proofErr w:type="spellEnd"/>
      <w:r w:rsidRPr="00BF3CA7">
        <w:t xml:space="preserve">, M., &amp; Jordán, F. (2019). Rewiring and indirect effects underpin modularity reshuffling in a marine food web under environmental shifts. </w:t>
      </w:r>
      <w:r w:rsidRPr="00BF3CA7">
        <w:rPr>
          <w:i/>
          <w:iCs/>
        </w:rPr>
        <w:t>Ecology and Evolution</w:t>
      </w:r>
      <w:r w:rsidRPr="00BF3CA7">
        <w:t xml:space="preserve">, </w:t>
      </w:r>
      <w:r w:rsidRPr="00BF3CA7">
        <w:rPr>
          <w:i/>
          <w:iCs/>
        </w:rPr>
        <w:t>9</w:t>
      </w:r>
      <w:r w:rsidRPr="00BF3CA7">
        <w:t>(20), 11631–11646. https://doi.org/10.1002/ece3.5641</w:t>
      </w:r>
    </w:p>
    <w:p w14:paraId="224CAFDF" w14:textId="77777777" w:rsidR="00BF3CA7" w:rsidRPr="00BF3CA7" w:rsidRDefault="00BF3CA7" w:rsidP="00BF3CA7">
      <w:pPr>
        <w:pStyle w:val="Bibliography"/>
      </w:pPr>
      <w:r w:rsidRPr="00BF3CA7">
        <w:t xml:space="preserve">Donoso, I., Sorensen, M. C., </w:t>
      </w:r>
      <w:proofErr w:type="spellStart"/>
      <w:r w:rsidRPr="00BF3CA7">
        <w:t>Blendinger</w:t>
      </w:r>
      <w:proofErr w:type="spellEnd"/>
      <w:r w:rsidRPr="00BF3CA7">
        <w:t xml:space="preserve">, P. G., Kissling, W. D., </w:t>
      </w:r>
      <w:proofErr w:type="spellStart"/>
      <w:r w:rsidRPr="00BF3CA7">
        <w:t>Neuschulz</w:t>
      </w:r>
      <w:proofErr w:type="spellEnd"/>
      <w:r w:rsidRPr="00BF3CA7">
        <w:t xml:space="preserve">, E. L., Mueller, T., &amp; Schleuning, M. (2020). Downsizing of animal communities triggers stronger functional than structural decay in seed-dispersal networks. </w:t>
      </w:r>
      <w:r w:rsidRPr="00BF3CA7">
        <w:rPr>
          <w:i/>
          <w:iCs/>
        </w:rPr>
        <w:t>Nature Communications</w:t>
      </w:r>
      <w:r w:rsidRPr="00BF3CA7">
        <w:t xml:space="preserve">, </w:t>
      </w:r>
      <w:r w:rsidRPr="00BF3CA7">
        <w:rPr>
          <w:i/>
          <w:iCs/>
        </w:rPr>
        <w:t>11</w:t>
      </w:r>
      <w:r w:rsidRPr="00BF3CA7">
        <w:t>(1), 1582. https://doi.org/10.1038/s41467-020-15438-y</w:t>
      </w:r>
    </w:p>
    <w:p w14:paraId="7303B24F" w14:textId="77777777" w:rsidR="00BF3CA7" w:rsidRPr="00BF3CA7" w:rsidRDefault="00BF3CA7" w:rsidP="00BF3CA7">
      <w:pPr>
        <w:pStyle w:val="Bibliography"/>
      </w:pPr>
      <w:r w:rsidRPr="00BF3CA7">
        <w:lastRenderedPageBreak/>
        <w:t xml:space="preserve">Elith, J., &amp; </w:t>
      </w:r>
      <w:proofErr w:type="spellStart"/>
      <w:r w:rsidRPr="00BF3CA7">
        <w:t>Leathwick</w:t>
      </w:r>
      <w:proofErr w:type="spellEnd"/>
      <w:r w:rsidRPr="00BF3CA7">
        <w:t xml:space="preserve">, J. R. (2009). Species Distribution Models: Ecological Explanation and Prediction Across Space and Time. </w:t>
      </w:r>
      <w:r w:rsidRPr="00BF3CA7">
        <w:rPr>
          <w:i/>
          <w:iCs/>
        </w:rPr>
        <w:t>Annual Review of Ecology, Evolution, and Systematics</w:t>
      </w:r>
      <w:r w:rsidRPr="00BF3CA7">
        <w:t xml:space="preserve">, </w:t>
      </w:r>
      <w:r w:rsidRPr="00BF3CA7">
        <w:rPr>
          <w:i/>
          <w:iCs/>
        </w:rPr>
        <w:t>40</w:t>
      </w:r>
      <w:r w:rsidRPr="00BF3CA7">
        <w:t>(1), 677–697. https://doi.org/10.1146/annurev.ecolsys.110308.120159</w:t>
      </w:r>
    </w:p>
    <w:p w14:paraId="6FDC78A8" w14:textId="77777777" w:rsidR="00BF3CA7" w:rsidRPr="00BF3CA7" w:rsidRDefault="00BF3CA7" w:rsidP="00BF3CA7">
      <w:pPr>
        <w:pStyle w:val="Bibliography"/>
      </w:pPr>
      <w:r w:rsidRPr="00BF3CA7">
        <w:t xml:space="preserve">Essl, F., Dullinger, S., </w:t>
      </w:r>
      <w:proofErr w:type="spellStart"/>
      <w:r w:rsidRPr="00BF3CA7">
        <w:t>Rabitsch</w:t>
      </w:r>
      <w:proofErr w:type="spellEnd"/>
      <w:r w:rsidRPr="00BF3CA7">
        <w:t xml:space="preserve">, W., Hulme, P. E., </w:t>
      </w:r>
      <w:proofErr w:type="spellStart"/>
      <w:r w:rsidRPr="00BF3CA7">
        <w:t>Pyšek</w:t>
      </w:r>
      <w:proofErr w:type="spellEnd"/>
      <w:r w:rsidRPr="00BF3CA7">
        <w:t xml:space="preserve">, P., Wilson, J. R. U., &amp; Richardson, D. M. (2015). Historical legacies accumulate to shape future biodiversity in an era of rapid global change. </w:t>
      </w:r>
      <w:r w:rsidRPr="00BF3CA7">
        <w:rPr>
          <w:i/>
          <w:iCs/>
        </w:rPr>
        <w:t>Diversity and Distributions</w:t>
      </w:r>
      <w:r w:rsidRPr="00BF3CA7">
        <w:t xml:space="preserve">, </w:t>
      </w:r>
      <w:r w:rsidRPr="00BF3CA7">
        <w:rPr>
          <w:i/>
          <w:iCs/>
        </w:rPr>
        <w:t>21</w:t>
      </w:r>
      <w:r w:rsidRPr="00BF3CA7">
        <w:t>(5), 534–547. https://doi.org/10.1111/ddi.12312</w:t>
      </w:r>
    </w:p>
    <w:p w14:paraId="780DBDE3" w14:textId="77777777" w:rsidR="00BF3CA7" w:rsidRPr="00BF3CA7" w:rsidRDefault="00BF3CA7" w:rsidP="00BF3CA7">
      <w:pPr>
        <w:pStyle w:val="Bibliography"/>
      </w:pPr>
      <w:r w:rsidRPr="00BF3CA7">
        <w:t xml:space="preserve">Evans, M. E. K., Dey, S. M. N., Heilman, K. A., Tipton, J. R., DeRose, R. J., </w:t>
      </w:r>
      <w:proofErr w:type="spellStart"/>
      <w:r w:rsidRPr="00BF3CA7">
        <w:t>Klesse</w:t>
      </w:r>
      <w:proofErr w:type="spellEnd"/>
      <w:r w:rsidRPr="00BF3CA7">
        <w:t xml:space="preserve">, S., Schultz, E. L., &amp; Shaw, J. D. (2024). Tree rings reveal the transient risk of extinction hidden inside climate envelope forecasts. </w:t>
      </w:r>
      <w:r w:rsidRPr="00BF3CA7">
        <w:rPr>
          <w:i/>
          <w:iCs/>
        </w:rPr>
        <w:t>Proceedings of the National Academy of Sciences</w:t>
      </w:r>
      <w:r w:rsidRPr="00BF3CA7">
        <w:t xml:space="preserve">, </w:t>
      </w:r>
      <w:r w:rsidRPr="00BF3CA7">
        <w:rPr>
          <w:i/>
          <w:iCs/>
        </w:rPr>
        <w:t>121</w:t>
      </w:r>
      <w:r w:rsidRPr="00BF3CA7">
        <w:t>(24), e2315700121. https://doi.org/10.1073/pnas.2315700121</w:t>
      </w:r>
    </w:p>
    <w:p w14:paraId="423AAD38" w14:textId="77777777" w:rsidR="00BF3CA7" w:rsidRPr="00BF3CA7" w:rsidRDefault="00BF3CA7" w:rsidP="00BF3CA7">
      <w:pPr>
        <w:pStyle w:val="Bibliography"/>
      </w:pPr>
      <w:r w:rsidRPr="00BF3CA7">
        <w:t xml:space="preserve">Fietz, J., Kager, T., &amp; Schauer, S. (2009). </w:t>
      </w:r>
      <w:proofErr w:type="gramStart"/>
      <w:r w:rsidRPr="00BF3CA7">
        <w:t>Is</w:t>
      </w:r>
      <w:proofErr w:type="gramEnd"/>
      <w:r w:rsidRPr="00BF3CA7">
        <w:t xml:space="preserve"> energy supply the trigger for reproductive activity in male edible dormice (</w:t>
      </w:r>
      <w:proofErr w:type="spellStart"/>
      <w:r w:rsidRPr="00BF3CA7">
        <w:t>Glis</w:t>
      </w:r>
      <w:proofErr w:type="spellEnd"/>
      <w:r w:rsidRPr="00BF3CA7">
        <w:t xml:space="preserve"> </w:t>
      </w:r>
      <w:proofErr w:type="spellStart"/>
      <w:r w:rsidRPr="00BF3CA7">
        <w:t>glis</w:t>
      </w:r>
      <w:proofErr w:type="spellEnd"/>
      <w:r w:rsidRPr="00BF3CA7">
        <w:t xml:space="preserve">)? </w:t>
      </w:r>
      <w:r w:rsidRPr="00BF3CA7">
        <w:rPr>
          <w:i/>
          <w:iCs/>
        </w:rPr>
        <w:t>Journal of Comparative Physiology B</w:t>
      </w:r>
      <w:r w:rsidRPr="00BF3CA7">
        <w:t xml:space="preserve">, </w:t>
      </w:r>
      <w:r w:rsidRPr="00BF3CA7">
        <w:rPr>
          <w:i/>
          <w:iCs/>
        </w:rPr>
        <w:t>179</w:t>
      </w:r>
      <w:r w:rsidRPr="00BF3CA7">
        <w:t>(7), 829–837. https://doi.org/10.1007/s00360-009-0364-2</w:t>
      </w:r>
    </w:p>
    <w:p w14:paraId="60140BA4" w14:textId="77777777" w:rsidR="00BF3CA7" w:rsidRPr="00BF3CA7" w:rsidRDefault="00BF3CA7" w:rsidP="00BF3CA7">
      <w:pPr>
        <w:pStyle w:val="Bibliography"/>
      </w:pPr>
      <w:r w:rsidRPr="00BF3CA7">
        <w:t xml:space="preserve">Fink, D., Auer, T., Johnston, A., </w:t>
      </w:r>
      <w:proofErr w:type="spellStart"/>
      <w:r w:rsidRPr="00BF3CA7">
        <w:t>Strimas</w:t>
      </w:r>
      <w:proofErr w:type="spellEnd"/>
      <w:r w:rsidRPr="00BF3CA7">
        <w:t xml:space="preserve">-Mackey, M., Ligocki, S., Robinson, O., </w:t>
      </w:r>
      <w:proofErr w:type="spellStart"/>
      <w:r w:rsidRPr="00BF3CA7">
        <w:t>Hochachka</w:t>
      </w:r>
      <w:proofErr w:type="spellEnd"/>
      <w:r w:rsidRPr="00BF3CA7">
        <w:t xml:space="preserve">, W., </w:t>
      </w:r>
      <w:proofErr w:type="spellStart"/>
      <w:r w:rsidRPr="00BF3CA7">
        <w:t>Jaromczyk</w:t>
      </w:r>
      <w:proofErr w:type="spellEnd"/>
      <w:r w:rsidRPr="00BF3CA7">
        <w:t xml:space="preserve">, L., Crowley, C., Dunham, K., Stillman, A., Davis, C., Stokowski, M., Ruiz-Gutierrez, V., Wood, C., &amp; Rodewald, A. (2025). </w:t>
      </w:r>
      <w:r w:rsidRPr="00BF3CA7">
        <w:rPr>
          <w:i/>
          <w:iCs/>
        </w:rPr>
        <w:t>eBird Status and Trends, Data Version 2023</w:t>
      </w:r>
      <w:r w:rsidRPr="00BF3CA7">
        <w:t xml:space="preserve"> [Dataset]. Cornell Lab of Ornithology. https://doi.org/10.2173/WZTW8903</w:t>
      </w:r>
    </w:p>
    <w:p w14:paraId="7C0F8BA9" w14:textId="77777777" w:rsidR="00BF3CA7" w:rsidRPr="00BF3CA7" w:rsidRDefault="00BF3CA7" w:rsidP="00BF3CA7">
      <w:pPr>
        <w:pStyle w:val="Bibliography"/>
      </w:pPr>
      <w:r w:rsidRPr="00BF3CA7">
        <w:t xml:space="preserve">Finn, C., </w:t>
      </w:r>
      <w:proofErr w:type="spellStart"/>
      <w:r w:rsidRPr="00BF3CA7">
        <w:t>Grattarola</w:t>
      </w:r>
      <w:proofErr w:type="spellEnd"/>
      <w:r w:rsidRPr="00BF3CA7">
        <w:t xml:space="preserve">, F., &amp; </w:t>
      </w:r>
      <w:proofErr w:type="spellStart"/>
      <w:r w:rsidRPr="00BF3CA7">
        <w:t>Pincheira</w:t>
      </w:r>
      <w:proofErr w:type="spellEnd"/>
      <w:r w:rsidRPr="00BF3CA7">
        <w:t xml:space="preserve">‐Donoso, D. (2023). More losers than winners: Investigating Anthropocene defaunation through the diversity of population trends. </w:t>
      </w:r>
      <w:r w:rsidRPr="00BF3CA7">
        <w:rPr>
          <w:i/>
          <w:iCs/>
        </w:rPr>
        <w:t>Biological Reviews</w:t>
      </w:r>
      <w:r w:rsidRPr="00BF3CA7">
        <w:t xml:space="preserve">, </w:t>
      </w:r>
      <w:r w:rsidRPr="00BF3CA7">
        <w:rPr>
          <w:i/>
          <w:iCs/>
        </w:rPr>
        <w:t>98</w:t>
      </w:r>
      <w:r w:rsidRPr="00BF3CA7">
        <w:t>(5), 1732–1748. https://doi.org/10.1111/brv.12974</w:t>
      </w:r>
    </w:p>
    <w:p w14:paraId="7B6DC09C" w14:textId="77777777" w:rsidR="00BF3CA7" w:rsidRPr="00BF3CA7" w:rsidRDefault="00BF3CA7" w:rsidP="00BF3CA7">
      <w:pPr>
        <w:pStyle w:val="Bibliography"/>
      </w:pPr>
      <w:proofErr w:type="spellStart"/>
      <w:r w:rsidRPr="00BF3CA7">
        <w:t>Foest</w:t>
      </w:r>
      <w:proofErr w:type="spellEnd"/>
      <w:r w:rsidRPr="00BF3CA7">
        <w:t xml:space="preserve">, J. J., </w:t>
      </w:r>
      <w:proofErr w:type="spellStart"/>
      <w:r w:rsidRPr="00BF3CA7">
        <w:t>Bogdziewicz</w:t>
      </w:r>
      <w:proofErr w:type="spellEnd"/>
      <w:r w:rsidRPr="00BF3CA7">
        <w:t xml:space="preserve">, M., </w:t>
      </w:r>
      <w:proofErr w:type="spellStart"/>
      <w:r w:rsidRPr="00BF3CA7">
        <w:t>Pesendorfer</w:t>
      </w:r>
      <w:proofErr w:type="spellEnd"/>
      <w:r w:rsidRPr="00BF3CA7">
        <w:t xml:space="preserve">, M. B., Ascoli, D., </w:t>
      </w:r>
      <w:proofErr w:type="spellStart"/>
      <w:r w:rsidRPr="00BF3CA7">
        <w:t>Cutini</w:t>
      </w:r>
      <w:proofErr w:type="spellEnd"/>
      <w:r w:rsidRPr="00BF3CA7">
        <w:t xml:space="preserve">, A., Nussbaumer, A., </w:t>
      </w:r>
      <w:proofErr w:type="spellStart"/>
      <w:r w:rsidRPr="00BF3CA7">
        <w:t>Verstraeten</w:t>
      </w:r>
      <w:proofErr w:type="spellEnd"/>
      <w:r w:rsidRPr="00BF3CA7">
        <w:t xml:space="preserve">, A., </w:t>
      </w:r>
      <w:proofErr w:type="spellStart"/>
      <w:r w:rsidRPr="00BF3CA7">
        <w:t>Beudert</w:t>
      </w:r>
      <w:proofErr w:type="spellEnd"/>
      <w:r w:rsidRPr="00BF3CA7">
        <w:t xml:space="preserve">, B., </w:t>
      </w:r>
      <w:proofErr w:type="spellStart"/>
      <w:r w:rsidRPr="00BF3CA7">
        <w:t>Chianucci</w:t>
      </w:r>
      <w:proofErr w:type="spellEnd"/>
      <w:r w:rsidRPr="00BF3CA7">
        <w:t xml:space="preserve">, F., </w:t>
      </w:r>
      <w:proofErr w:type="spellStart"/>
      <w:r w:rsidRPr="00BF3CA7">
        <w:t>Mezzavilla</w:t>
      </w:r>
      <w:proofErr w:type="spellEnd"/>
      <w:r w:rsidRPr="00BF3CA7">
        <w:t xml:space="preserve">, F., Gratzer, G., Kunstler, G., </w:t>
      </w:r>
      <w:proofErr w:type="spellStart"/>
      <w:r w:rsidRPr="00BF3CA7">
        <w:lastRenderedPageBreak/>
        <w:t>Meesenburg</w:t>
      </w:r>
      <w:proofErr w:type="spellEnd"/>
      <w:r w:rsidRPr="00BF3CA7">
        <w:t xml:space="preserve">, H., Wagner, M., Mund, M., Cools, N., Vacek, S., Schmidt, W., Vacek, Z., &amp; Hacket‐Pain, A. (2024). Widespread breakdown in masting in European beech due to rising summer temperatures. </w:t>
      </w:r>
      <w:r w:rsidRPr="00BF3CA7">
        <w:rPr>
          <w:i/>
          <w:iCs/>
        </w:rPr>
        <w:t>Global Change Biology</w:t>
      </w:r>
      <w:r w:rsidRPr="00BF3CA7">
        <w:t xml:space="preserve">, </w:t>
      </w:r>
      <w:r w:rsidRPr="00BF3CA7">
        <w:rPr>
          <w:i/>
          <w:iCs/>
        </w:rPr>
        <w:t>30</w:t>
      </w:r>
      <w:r w:rsidRPr="00BF3CA7">
        <w:t>(5), e17307. https://doi.org/10.1111/gcb.17307</w:t>
      </w:r>
    </w:p>
    <w:p w14:paraId="3C83285E" w14:textId="77777777" w:rsidR="00BF3CA7" w:rsidRPr="00BF3CA7" w:rsidRDefault="00BF3CA7" w:rsidP="00BF3CA7">
      <w:pPr>
        <w:pStyle w:val="Bibliography"/>
      </w:pPr>
      <w:r w:rsidRPr="00BF3CA7">
        <w:t xml:space="preserve">Gamelon, M., Focardi, S., </w:t>
      </w:r>
      <w:proofErr w:type="spellStart"/>
      <w:r w:rsidRPr="00BF3CA7">
        <w:t>Baubet</w:t>
      </w:r>
      <w:proofErr w:type="spellEnd"/>
      <w:r w:rsidRPr="00BF3CA7">
        <w:t xml:space="preserve">, E., Brandt, S., Franzetti, B., Ronchi, F., Venner, S., Sæther, B.-E., &amp; Gaillard, J.-M. (2017). Reproductive allocation in pulsed-resource environments: A comparative study in two populations of wild boar. </w:t>
      </w:r>
      <w:proofErr w:type="spellStart"/>
      <w:r w:rsidRPr="00BF3CA7">
        <w:rPr>
          <w:i/>
          <w:iCs/>
        </w:rPr>
        <w:t>Oecologia</w:t>
      </w:r>
      <w:proofErr w:type="spellEnd"/>
      <w:r w:rsidRPr="00BF3CA7">
        <w:t xml:space="preserve">, </w:t>
      </w:r>
      <w:r w:rsidRPr="00BF3CA7">
        <w:rPr>
          <w:i/>
          <w:iCs/>
        </w:rPr>
        <w:t>183</w:t>
      </w:r>
      <w:r w:rsidRPr="00BF3CA7">
        <w:t>(4), 1065–1076. https://doi.org/10.1007/s00442-017-3821-8</w:t>
      </w:r>
    </w:p>
    <w:p w14:paraId="0EB07631" w14:textId="77777777" w:rsidR="00BF3CA7" w:rsidRPr="00BF3CA7" w:rsidRDefault="00BF3CA7" w:rsidP="00BF3CA7">
      <w:pPr>
        <w:pStyle w:val="Bibliography"/>
      </w:pPr>
      <w:r w:rsidRPr="00BF3CA7">
        <w:t xml:space="preserve">Garfin, G., Jardine, A., Merideth, R., Black, M., &amp; LeRoy, S. (Eds.). (2013). </w:t>
      </w:r>
      <w:r w:rsidRPr="00BF3CA7">
        <w:rPr>
          <w:i/>
          <w:iCs/>
        </w:rPr>
        <w:t>Assessment of climate change in southwest United States: A report prepared for the National Climate Assessment</w:t>
      </w:r>
      <w:r w:rsidRPr="00BF3CA7">
        <w:t>. Island Press.</w:t>
      </w:r>
    </w:p>
    <w:p w14:paraId="22B2F9B0" w14:textId="77777777" w:rsidR="00BF3CA7" w:rsidRPr="00BF3CA7" w:rsidRDefault="00BF3CA7" w:rsidP="00BF3CA7">
      <w:pPr>
        <w:pStyle w:val="Bibliography"/>
      </w:pPr>
      <w:r w:rsidRPr="00BF3CA7">
        <w:t xml:space="preserve">Hacket-Pain, A., &amp; </w:t>
      </w:r>
      <w:proofErr w:type="spellStart"/>
      <w:r w:rsidRPr="00BF3CA7">
        <w:t>Bogdziewicz</w:t>
      </w:r>
      <w:proofErr w:type="spellEnd"/>
      <w:r w:rsidRPr="00BF3CA7">
        <w:t xml:space="preserve">, M. (2021). Climate change and plant reproduction: Trends and drivers of mast seeding change. </w:t>
      </w:r>
      <w:r w:rsidRPr="00BF3CA7">
        <w:rPr>
          <w:i/>
          <w:iCs/>
        </w:rPr>
        <w:t>Philosophical Transactions of the Royal Society B: Biological Sciences</w:t>
      </w:r>
      <w:r w:rsidRPr="00BF3CA7">
        <w:t xml:space="preserve">, </w:t>
      </w:r>
      <w:r w:rsidRPr="00BF3CA7">
        <w:rPr>
          <w:i/>
          <w:iCs/>
        </w:rPr>
        <w:t>376</w:t>
      </w:r>
      <w:r w:rsidRPr="00BF3CA7">
        <w:t>(1839), 20200379. https://doi.org/10.1098/rstb.2020.0379</w:t>
      </w:r>
    </w:p>
    <w:p w14:paraId="47219E24" w14:textId="77777777" w:rsidR="00BF3CA7" w:rsidRPr="00BF3CA7" w:rsidRDefault="00BF3CA7" w:rsidP="00BF3CA7">
      <w:pPr>
        <w:pStyle w:val="Bibliography"/>
      </w:pPr>
      <w:r w:rsidRPr="00BF3CA7">
        <w:t xml:space="preserve">Hallworth, M. T., Sirén, A. P. K., DeLuca, W. V., Duclos, T. R., McFarland, K. P., Hill, J. M., Rimmer, C. C., &amp; Morelli, T. L. (2024). Boom and bust: The effects of masting on seed predator range dynamics and trophic cascades. </w:t>
      </w:r>
      <w:r w:rsidRPr="00BF3CA7">
        <w:rPr>
          <w:i/>
          <w:iCs/>
        </w:rPr>
        <w:t>Diversity and Distributions</w:t>
      </w:r>
      <w:r w:rsidRPr="00BF3CA7">
        <w:t xml:space="preserve">, </w:t>
      </w:r>
      <w:r w:rsidRPr="00BF3CA7">
        <w:rPr>
          <w:i/>
          <w:iCs/>
        </w:rPr>
        <w:t>30</w:t>
      </w:r>
      <w:r w:rsidRPr="00BF3CA7">
        <w:t>(8), e13861. https://doi.org/10.1111/ddi.13861</w:t>
      </w:r>
    </w:p>
    <w:p w14:paraId="6FBCB6AC" w14:textId="77777777" w:rsidR="00BF3CA7" w:rsidRPr="00BF3CA7" w:rsidRDefault="00BF3CA7" w:rsidP="00BF3CA7">
      <w:pPr>
        <w:pStyle w:val="Bibliography"/>
      </w:pPr>
      <w:proofErr w:type="spellStart"/>
      <w:r w:rsidRPr="00BF3CA7">
        <w:t>Hijmans</w:t>
      </w:r>
      <w:proofErr w:type="spellEnd"/>
      <w:r w:rsidRPr="00BF3CA7">
        <w:t xml:space="preserve">, R. J., &amp; Graham, C. H. (2006). The ability of climate envelope models to predict the effect of climate change on species distributions. </w:t>
      </w:r>
      <w:r w:rsidRPr="00BF3CA7">
        <w:rPr>
          <w:i/>
          <w:iCs/>
        </w:rPr>
        <w:t>Global Change Biology</w:t>
      </w:r>
      <w:r w:rsidRPr="00BF3CA7">
        <w:t xml:space="preserve">, </w:t>
      </w:r>
      <w:r w:rsidRPr="00BF3CA7">
        <w:rPr>
          <w:i/>
          <w:iCs/>
        </w:rPr>
        <w:t>12</w:t>
      </w:r>
      <w:r w:rsidRPr="00BF3CA7">
        <w:t>(12), 2272–2281. https://doi.org/10.1111/j.1365-2486.2006.01256.x</w:t>
      </w:r>
    </w:p>
    <w:p w14:paraId="35B8DE65" w14:textId="77777777" w:rsidR="00BF3CA7" w:rsidRPr="00BF3CA7" w:rsidRDefault="00BF3CA7" w:rsidP="00BF3CA7">
      <w:pPr>
        <w:pStyle w:val="Bibliography"/>
      </w:pPr>
      <w:r w:rsidRPr="00BF3CA7">
        <w:t xml:space="preserve">Hirzel, A. H., &amp; Le Lay, G. (2008). Habitat suitability modelling and niche theory. </w:t>
      </w:r>
      <w:r w:rsidRPr="00BF3CA7">
        <w:rPr>
          <w:i/>
          <w:iCs/>
        </w:rPr>
        <w:t>Journal of Applied Ecology</w:t>
      </w:r>
      <w:r w:rsidRPr="00BF3CA7">
        <w:t xml:space="preserve">, </w:t>
      </w:r>
      <w:r w:rsidRPr="00BF3CA7">
        <w:rPr>
          <w:i/>
          <w:iCs/>
        </w:rPr>
        <w:t>45</w:t>
      </w:r>
      <w:r w:rsidRPr="00BF3CA7">
        <w:t>(5), 1372–1381. https://doi.org/10.1111/j.1365-2664.2008.01524.x</w:t>
      </w:r>
    </w:p>
    <w:p w14:paraId="1038908D" w14:textId="77777777" w:rsidR="00BF3CA7" w:rsidRPr="00BF3CA7" w:rsidRDefault="00BF3CA7" w:rsidP="00BF3CA7">
      <w:pPr>
        <w:pStyle w:val="Bibliography"/>
      </w:pPr>
      <w:proofErr w:type="spellStart"/>
      <w:r w:rsidRPr="00BF3CA7">
        <w:lastRenderedPageBreak/>
        <w:t>Hochachka</w:t>
      </w:r>
      <w:proofErr w:type="spellEnd"/>
      <w:r w:rsidRPr="00BF3CA7">
        <w:t xml:space="preserve">, W. M., Ruiz-Gutierrez, V., &amp; Johnston, A. (2023). Considerations for fitting occupancy models to data from eBird and similar volunteer-collected data. </w:t>
      </w:r>
      <w:r w:rsidRPr="00BF3CA7">
        <w:rPr>
          <w:i/>
          <w:iCs/>
        </w:rPr>
        <w:t>Ornithology</w:t>
      </w:r>
      <w:r w:rsidRPr="00BF3CA7">
        <w:t xml:space="preserve">, </w:t>
      </w:r>
      <w:r w:rsidRPr="00BF3CA7">
        <w:rPr>
          <w:i/>
          <w:iCs/>
        </w:rPr>
        <w:t>140</w:t>
      </w:r>
      <w:r w:rsidRPr="00BF3CA7">
        <w:t>(4). https://doi.org/10.1093/ornithology/ukad035</w:t>
      </w:r>
    </w:p>
    <w:p w14:paraId="650E2C1D" w14:textId="77777777" w:rsidR="00BF3CA7" w:rsidRPr="00BF3CA7" w:rsidRDefault="00BF3CA7" w:rsidP="00BF3CA7">
      <w:pPr>
        <w:pStyle w:val="Bibliography"/>
      </w:pPr>
      <w:r w:rsidRPr="00BF3CA7">
        <w:t xml:space="preserve">Hogue, A. S., &amp; Breon, K. (2022). The greatest threats to species. </w:t>
      </w:r>
      <w:r w:rsidRPr="00BF3CA7">
        <w:rPr>
          <w:i/>
          <w:iCs/>
        </w:rPr>
        <w:t>Conservation Science and Practice</w:t>
      </w:r>
      <w:r w:rsidRPr="00BF3CA7">
        <w:t xml:space="preserve">, </w:t>
      </w:r>
      <w:r w:rsidRPr="00BF3CA7">
        <w:rPr>
          <w:i/>
          <w:iCs/>
        </w:rPr>
        <w:t>4</w:t>
      </w:r>
      <w:r w:rsidRPr="00BF3CA7">
        <w:t>(5), e12670. https://doi.org/10.1111/csp2.12670</w:t>
      </w:r>
    </w:p>
    <w:p w14:paraId="6BBF4BE5" w14:textId="77777777" w:rsidR="00BF3CA7" w:rsidRPr="00BF3CA7" w:rsidRDefault="00BF3CA7" w:rsidP="00BF3CA7">
      <w:pPr>
        <w:pStyle w:val="Bibliography"/>
      </w:pPr>
      <w:proofErr w:type="spellStart"/>
      <w:r w:rsidRPr="00BF3CA7">
        <w:t>Jaureguiberry</w:t>
      </w:r>
      <w:proofErr w:type="spellEnd"/>
      <w:r w:rsidRPr="00BF3CA7">
        <w:t xml:space="preserve">, P., </w:t>
      </w:r>
      <w:proofErr w:type="spellStart"/>
      <w:r w:rsidRPr="00BF3CA7">
        <w:t>Titeux</w:t>
      </w:r>
      <w:proofErr w:type="spellEnd"/>
      <w:r w:rsidRPr="00BF3CA7">
        <w:t xml:space="preserve">, N., Wiemers, M., Bowler, D. E., </w:t>
      </w:r>
      <w:proofErr w:type="spellStart"/>
      <w:r w:rsidRPr="00BF3CA7">
        <w:t>Coscieme</w:t>
      </w:r>
      <w:proofErr w:type="spellEnd"/>
      <w:r w:rsidRPr="00BF3CA7">
        <w:t xml:space="preserve">, L., Golden, A. S., Guerra, C. A., Jacob, U., Takahashi, Y., </w:t>
      </w:r>
      <w:proofErr w:type="spellStart"/>
      <w:r w:rsidRPr="00BF3CA7">
        <w:t>Settele</w:t>
      </w:r>
      <w:proofErr w:type="spellEnd"/>
      <w:r w:rsidRPr="00BF3CA7">
        <w:t xml:space="preserve">, J., Díaz, S., Molnár, Z., &amp; Purvis, A. (2022). The direct drivers of recent global anthropogenic biodiversity loss. </w:t>
      </w:r>
      <w:r w:rsidRPr="00BF3CA7">
        <w:rPr>
          <w:i/>
          <w:iCs/>
        </w:rPr>
        <w:t>Science Advances</w:t>
      </w:r>
      <w:r w:rsidRPr="00BF3CA7">
        <w:t xml:space="preserve">, </w:t>
      </w:r>
      <w:r w:rsidRPr="00BF3CA7">
        <w:rPr>
          <w:i/>
          <w:iCs/>
        </w:rPr>
        <w:t>8</w:t>
      </w:r>
      <w:r w:rsidRPr="00BF3CA7">
        <w:t>(45), eabm9982. https://doi.org/10.1126/sciadv.abm9982</w:t>
      </w:r>
    </w:p>
    <w:p w14:paraId="24CF7798" w14:textId="77777777" w:rsidR="00BF3CA7" w:rsidRPr="00BF3CA7" w:rsidRDefault="00BF3CA7" w:rsidP="00BF3CA7">
      <w:pPr>
        <w:pStyle w:val="Bibliography"/>
      </w:pPr>
      <w:r w:rsidRPr="00BF3CA7">
        <w:t xml:space="preserve">Johnson, K., Neville, T. B., Smith, J. W., &amp; Horner, M. W. (2016). Home range- and colony-scale habitat models for Pinyon Jays in piñon-juniper woodlands of New Mexico, USA. </w:t>
      </w:r>
      <w:r w:rsidRPr="00BF3CA7">
        <w:rPr>
          <w:i/>
          <w:iCs/>
        </w:rPr>
        <w:t>Avian Conservation and Ecology</w:t>
      </w:r>
      <w:r w:rsidRPr="00BF3CA7">
        <w:t xml:space="preserve">, </w:t>
      </w:r>
      <w:r w:rsidRPr="00BF3CA7">
        <w:rPr>
          <w:i/>
          <w:iCs/>
        </w:rPr>
        <w:t>11</w:t>
      </w:r>
      <w:r w:rsidRPr="00BF3CA7">
        <w:t>(2). https://doi.org/10.5751/ace-00890-110206</w:t>
      </w:r>
    </w:p>
    <w:p w14:paraId="462BCF2C" w14:textId="77777777" w:rsidR="00BF3CA7" w:rsidRPr="00BF3CA7" w:rsidRDefault="00BF3CA7" w:rsidP="00BF3CA7">
      <w:pPr>
        <w:pStyle w:val="Bibliography"/>
      </w:pPr>
      <w:r w:rsidRPr="00BF3CA7">
        <w:t xml:space="preserve">Kehoe, R., Frago, E., &amp; Sanders, D. (2021). Cascading extinctions as a hidden driver of insect decline. </w:t>
      </w:r>
      <w:r w:rsidRPr="00BF3CA7">
        <w:rPr>
          <w:i/>
          <w:iCs/>
        </w:rPr>
        <w:t>Ecological Entomology</w:t>
      </w:r>
      <w:r w:rsidRPr="00BF3CA7">
        <w:t xml:space="preserve">, </w:t>
      </w:r>
      <w:r w:rsidRPr="00BF3CA7">
        <w:rPr>
          <w:i/>
          <w:iCs/>
        </w:rPr>
        <w:t>46</w:t>
      </w:r>
      <w:r w:rsidRPr="00BF3CA7">
        <w:t>(4), 743–756. https://doi.org/10.1111/een.12985</w:t>
      </w:r>
    </w:p>
    <w:p w14:paraId="19B7935E" w14:textId="77777777" w:rsidR="00BF3CA7" w:rsidRPr="00BF3CA7" w:rsidRDefault="00BF3CA7" w:rsidP="00BF3CA7">
      <w:pPr>
        <w:pStyle w:val="Bibliography"/>
      </w:pPr>
      <w:r w:rsidRPr="00BF3CA7">
        <w:t xml:space="preserve">Kelly, D., &amp; Sork, V. L. (2002). Mast Seeding in Perennial Plants: Why, How, Where? </w:t>
      </w:r>
      <w:r w:rsidRPr="00BF3CA7">
        <w:rPr>
          <w:i/>
          <w:iCs/>
        </w:rPr>
        <w:t>Annual Review of Ecology and Systematics</w:t>
      </w:r>
      <w:r w:rsidRPr="00BF3CA7">
        <w:t xml:space="preserve">, </w:t>
      </w:r>
      <w:r w:rsidRPr="00BF3CA7">
        <w:rPr>
          <w:i/>
          <w:iCs/>
        </w:rPr>
        <w:t>33</w:t>
      </w:r>
      <w:r w:rsidRPr="00BF3CA7">
        <w:t>(1), 427–447. https://doi.org/10.1146/annurev.ecolsys.33.020602.095433</w:t>
      </w:r>
    </w:p>
    <w:p w14:paraId="329D4275" w14:textId="77777777" w:rsidR="00BF3CA7" w:rsidRPr="00BF3CA7" w:rsidRDefault="00BF3CA7" w:rsidP="00BF3CA7">
      <w:pPr>
        <w:pStyle w:val="Bibliography"/>
      </w:pPr>
      <w:r w:rsidRPr="00BF3CA7">
        <w:t xml:space="preserve">Kéry, M., &amp; Schmidt, B. (2008). Imperfect detection and its consequences for monitoring for conservation. </w:t>
      </w:r>
      <w:r w:rsidRPr="00BF3CA7">
        <w:rPr>
          <w:i/>
          <w:iCs/>
        </w:rPr>
        <w:t>Community Ecology</w:t>
      </w:r>
      <w:r w:rsidRPr="00BF3CA7">
        <w:t xml:space="preserve">, </w:t>
      </w:r>
      <w:r w:rsidRPr="00BF3CA7">
        <w:rPr>
          <w:i/>
          <w:iCs/>
        </w:rPr>
        <w:t>9</w:t>
      </w:r>
      <w:r w:rsidRPr="00BF3CA7">
        <w:t>(2), 207–216. https://doi.org/10.1556/ComEc.9.2008.2.10</w:t>
      </w:r>
    </w:p>
    <w:p w14:paraId="560B5D04" w14:textId="77777777" w:rsidR="00BF3CA7" w:rsidRPr="00BF3CA7" w:rsidRDefault="00BF3CA7" w:rsidP="00BF3CA7">
      <w:pPr>
        <w:pStyle w:val="Bibliography"/>
      </w:pPr>
      <w:r w:rsidRPr="00BF3CA7">
        <w:t xml:space="preserve">Langendorf, R. E., Estes, J. A., Watson, J. C., Kenner, M. C., Hatfield, B. B., Tinker, M. T., Waddle, E., </w:t>
      </w:r>
      <w:proofErr w:type="spellStart"/>
      <w:r w:rsidRPr="00BF3CA7">
        <w:t>DeMarche</w:t>
      </w:r>
      <w:proofErr w:type="spellEnd"/>
      <w:r w:rsidRPr="00BF3CA7">
        <w:t xml:space="preserve">, M. L., &amp; Doak, D. F. (2025). Dynamic and context-dependent </w:t>
      </w:r>
      <w:r w:rsidRPr="00BF3CA7">
        <w:lastRenderedPageBreak/>
        <w:t xml:space="preserve">keystone species effects in kelp forests. </w:t>
      </w:r>
      <w:r w:rsidRPr="00BF3CA7">
        <w:rPr>
          <w:i/>
          <w:iCs/>
        </w:rPr>
        <w:t>Proceedings of the National Academy of Sciences</w:t>
      </w:r>
      <w:r w:rsidRPr="00BF3CA7">
        <w:t xml:space="preserve">, </w:t>
      </w:r>
      <w:r w:rsidRPr="00BF3CA7">
        <w:rPr>
          <w:i/>
          <w:iCs/>
        </w:rPr>
        <w:t>122</w:t>
      </w:r>
      <w:r w:rsidRPr="00BF3CA7">
        <w:t>(10), e2413360122. https://doi.org/10.1073/pnas.2413360122</w:t>
      </w:r>
    </w:p>
    <w:p w14:paraId="0CFC4C7B" w14:textId="77777777" w:rsidR="00BF3CA7" w:rsidRPr="00BF3CA7" w:rsidRDefault="00BF3CA7" w:rsidP="00BF3CA7">
      <w:pPr>
        <w:pStyle w:val="Bibliography"/>
      </w:pPr>
      <w:r w:rsidRPr="00BF3CA7">
        <w:t xml:space="preserve">Lee‐Yaw, J. A., McCune, J. L., </w:t>
      </w:r>
      <w:proofErr w:type="spellStart"/>
      <w:r w:rsidRPr="00BF3CA7">
        <w:t>Pironon</w:t>
      </w:r>
      <w:proofErr w:type="spellEnd"/>
      <w:r w:rsidRPr="00BF3CA7">
        <w:t xml:space="preserve">, S., &amp; Sheth, S. N. (2022). Species distribution models rarely predict the biology of real populations. </w:t>
      </w:r>
      <w:proofErr w:type="spellStart"/>
      <w:r w:rsidRPr="00BF3CA7">
        <w:rPr>
          <w:i/>
          <w:iCs/>
        </w:rPr>
        <w:t>Ecography</w:t>
      </w:r>
      <w:proofErr w:type="spellEnd"/>
      <w:r w:rsidRPr="00BF3CA7">
        <w:t xml:space="preserve">, </w:t>
      </w:r>
      <w:r w:rsidRPr="00BF3CA7">
        <w:rPr>
          <w:i/>
          <w:iCs/>
        </w:rPr>
        <w:t>2022</w:t>
      </w:r>
      <w:r w:rsidRPr="00BF3CA7">
        <w:t>(6). https://doi.org/10.1111/ecog.05877</w:t>
      </w:r>
    </w:p>
    <w:p w14:paraId="460EBEFC" w14:textId="77777777" w:rsidR="00BF3CA7" w:rsidRPr="00BF3CA7" w:rsidRDefault="00BF3CA7" w:rsidP="00BF3CA7">
      <w:pPr>
        <w:pStyle w:val="Bibliography"/>
      </w:pPr>
      <w:r w:rsidRPr="00BF3CA7">
        <w:t xml:space="preserve">Leopold, A. (1949). </w:t>
      </w:r>
      <w:r w:rsidRPr="00BF3CA7">
        <w:rPr>
          <w:i/>
          <w:iCs/>
        </w:rPr>
        <w:t xml:space="preserve">A </w:t>
      </w:r>
      <w:proofErr w:type="gramStart"/>
      <w:r w:rsidRPr="00BF3CA7">
        <w:rPr>
          <w:i/>
          <w:iCs/>
        </w:rPr>
        <w:t>Sand county</w:t>
      </w:r>
      <w:proofErr w:type="gramEnd"/>
      <w:r w:rsidRPr="00BF3CA7">
        <w:rPr>
          <w:i/>
          <w:iCs/>
        </w:rPr>
        <w:t xml:space="preserve"> almanac and sketches here and there</w:t>
      </w:r>
      <w:r w:rsidRPr="00BF3CA7">
        <w:t>. OUP.</w:t>
      </w:r>
    </w:p>
    <w:p w14:paraId="3EC19B25" w14:textId="77777777" w:rsidR="00BF3CA7" w:rsidRPr="00BF3CA7" w:rsidRDefault="00BF3CA7" w:rsidP="00BF3CA7">
      <w:pPr>
        <w:pStyle w:val="Bibliography"/>
      </w:pPr>
      <w:r w:rsidRPr="00BF3CA7">
        <w:t xml:space="preserve">Ligon, J. D. (1973). Foraging behavior of the white-headed woodpecker in Idaho. </w:t>
      </w:r>
      <w:r w:rsidRPr="00BF3CA7">
        <w:rPr>
          <w:i/>
          <w:iCs/>
        </w:rPr>
        <w:t>The Auk</w:t>
      </w:r>
      <w:r w:rsidRPr="00BF3CA7">
        <w:t xml:space="preserve">, </w:t>
      </w:r>
      <w:r w:rsidRPr="00BF3CA7">
        <w:rPr>
          <w:i/>
          <w:iCs/>
        </w:rPr>
        <w:t>90</w:t>
      </w:r>
      <w:r w:rsidRPr="00BF3CA7">
        <w:t>(4), 862–869.</w:t>
      </w:r>
    </w:p>
    <w:p w14:paraId="2469ACDD" w14:textId="77777777" w:rsidR="00BF3CA7" w:rsidRPr="00BF3CA7" w:rsidRDefault="00BF3CA7" w:rsidP="00BF3CA7">
      <w:pPr>
        <w:pStyle w:val="Bibliography"/>
      </w:pPr>
      <w:r w:rsidRPr="00BF3CA7">
        <w:t xml:space="preserve">Ligon, J. D. (1978). Reproductive Interdependence of Pinon Jays and Pinon Pines. </w:t>
      </w:r>
      <w:r w:rsidRPr="00BF3CA7">
        <w:rPr>
          <w:i/>
          <w:iCs/>
        </w:rPr>
        <w:t>Ecological Monographs</w:t>
      </w:r>
      <w:r w:rsidRPr="00BF3CA7">
        <w:t xml:space="preserve">, </w:t>
      </w:r>
      <w:r w:rsidRPr="00BF3CA7">
        <w:rPr>
          <w:i/>
          <w:iCs/>
        </w:rPr>
        <w:t>48</w:t>
      </w:r>
      <w:r w:rsidRPr="00BF3CA7">
        <w:t>(2), 111–126. https://doi.org/10.2307/2937295</w:t>
      </w:r>
    </w:p>
    <w:p w14:paraId="05196CA3" w14:textId="77777777" w:rsidR="00BF3CA7" w:rsidRPr="00BF3CA7" w:rsidRDefault="00BF3CA7" w:rsidP="00BF3CA7">
      <w:pPr>
        <w:pStyle w:val="Bibliography"/>
      </w:pPr>
      <w:r w:rsidRPr="00BF3CA7">
        <w:t xml:space="preserve">Lindén, A., Lehikoinen, A., Hokkanen, T., &amp; Väisänen, R. A. (2011). Modelling irruptions and population dynamics of the great spotted woodpecker – joint effects of density and cone crops. </w:t>
      </w:r>
      <w:r w:rsidRPr="00BF3CA7">
        <w:rPr>
          <w:i/>
          <w:iCs/>
        </w:rPr>
        <w:t>Oikos</w:t>
      </w:r>
      <w:r w:rsidRPr="00BF3CA7">
        <w:t xml:space="preserve">, </w:t>
      </w:r>
      <w:r w:rsidRPr="00BF3CA7">
        <w:rPr>
          <w:i/>
          <w:iCs/>
        </w:rPr>
        <w:t>120</w:t>
      </w:r>
      <w:r w:rsidRPr="00BF3CA7">
        <w:t>(7), 1065–1075. https://doi.org/10.1111/j.1600-0706.2010.18970.x</w:t>
      </w:r>
    </w:p>
    <w:p w14:paraId="3B694E3B" w14:textId="77777777" w:rsidR="00BF3CA7" w:rsidRPr="00BF3CA7" w:rsidRDefault="00BF3CA7" w:rsidP="00BF3CA7">
      <w:pPr>
        <w:pStyle w:val="Bibliography"/>
      </w:pPr>
      <w:r w:rsidRPr="00BF3CA7">
        <w:t xml:space="preserve">Liu, O. R., &amp; Gaines, S. D. (2022). Environmental context dependency in species interactions. </w:t>
      </w:r>
      <w:r w:rsidRPr="00BF3CA7">
        <w:rPr>
          <w:i/>
          <w:iCs/>
        </w:rPr>
        <w:t>Proceedings of the National Academy of Sciences</w:t>
      </w:r>
      <w:r w:rsidRPr="00BF3CA7">
        <w:t xml:space="preserve">, </w:t>
      </w:r>
      <w:r w:rsidRPr="00BF3CA7">
        <w:rPr>
          <w:i/>
          <w:iCs/>
        </w:rPr>
        <w:t>119</w:t>
      </w:r>
      <w:r w:rsidRPr="00BF3CA7">
        <w:t>(36), e2118539119. https://doi.org/10.1073/pnas.2118539119</w:t>
      </w:r>
    </w:p>
    <w:p w14:paraId="51EAFCEF" w14:textId="77777777" w:rsidR="00BF3CA7" w:rsidRPr="00BF3CA7" w:rsidRDefault="00BF3CA7" w:rsidP="00BF3CA7">
      <w:pPr>
        <w:pStyle w:val="Bibliography"/>
      </w:pPr>
      <w:proofErr w:type="spellStart"/>
      <w:r w:rsidRPr="00BF3CA7">
        <w:t>Marzluff</w:t>
      </w:r>
      <w:proofErr w:type="spellEnd"/>
      <w:r w:rsidRPr="00BF3CA7">
        <w:t xml:space="preserve">, &amp; Balda, R. P. (1992). </w:t>
      </w:r>
      <w:r w:rsidRPr="00BF3CA7">
        <w:rPr>
          <w:i/>
          <w:iCs/>
        </w:rPr>
        <w:t>The Pinyon Jay: Behavioral Ecology of a Colonial and Cooperative Corvid</w:t>
      </w:r>
      <w:r w:rsidRPr="00BF3CA7">
        <w:t>. T &amp; AD Poyser Ltd.</w:t>
      </w:r>
    </w:p>
    <w:p w14:paraId="3EF62BF3" w14:textId="77777777" w:rsidR="00BF3CA7" w:rsidRPr="00BF3CA7" w:rsidRDefault="00BF3CA7" w:rsidP="00BF3CA7">
      <w:pPr>
        <w:pStyle w:val="Bibliography"/>
      </w:pPr>
      <w:proofErr w:type="spellStart"/>
      <w:r w:rsidRPr="00BF3CA7">
        <w:t>Marzluff</w:t>
      </w:r>
      <w:proofErr w:type="spellEnd"/>
      <w:r w:rsidRPr="00BF3CA7">
        <w:t xml:space="preserve">, J. M. (1988). Do pinyon jays alter nest placement based on prior experience? </w:t>
      </w:r>
      <w:r w:rsidRPr="00BF3CA7">
        <w:rPr>
          <w:i/>
          <w:iCs/>
        </w:rPr>
        <w:t xml:space="preserve">Animal </w:t>
      </w:r>
      <w:proofErr w:type="spellStart"/>
      <w:r w:rsidRPr="00BF3CA7">
        <w:rPr>
          <w:i/>
          <w:iCs/>
        </w:rPr>
        <w:t>Behaviour</w:t>
      </w:r>
      <w:proofErr w:type="spellEnd"/>
      <w:r w:rsidRPr="00BF3CA7">
        <w:t xml:space="preserve">, </w:t>
      </w:r>
      <w:r w:rsidRPr="00BF3CA7">
        <w:rPr>
          <w:i/>
          <w:iCs/>
        </w:rPr>
        <w:t>36</w:t>
      </w:r>
      <w:r w:rsidRPr="00BF3CA7">
        <w:t>(1), 1–10. https://doi.org/10.1016/s0003-3472(88)80244-6</w:t>
      </w:r>
    </w:p>
    <w:p w14:paraId="0500DBED" w14:textId="77777777" w:rsidR="00BF3CA7" w:rsidRPr="00BF3CA7" w:rsidRDefault="00BF3CA7" w:rsidP="00BF3CA7">
      <w:pPr>
        <w:pStyle w:val="Bibliography"/>
      </w:pPr>
      <w:proofErr w:type="spellStart"/>
      <w:r w:rsidRPr="00BF3CA7">
        <w:t>Marzluff</w:t>
      </w:r>
      <w:proofErr w:type="spellEnd"/>
      <w:r w:rsidRPr="00BF3CA7">
        <w:t xml:space="preserve">, J. M., &amp; Balda, R. P. (1988). The Advantages of, and Constraints Forcing, Mate Fidelity in Pinyon Jays. </w:t>
      </w:r>
      <w:r w:rsidRPr="00BF3CA7">
        <w:rPr>
          <w:i/>
          <w:iCs/>
        </w:rPr>
        <w:t>The Auk</w:t>
      </w:r>
      <w:r w:rsidRPr="00BF3CA7">
        <w:t xml:space="preserve">, </w:t>
      </w:r>
      <w:r w:rsidRPr="00BF3CA7">
        <w:rPr>
          <w:i/>
          <w:iCs/>
        </w:rPr>
        <w:t>105</w:t>
      </w:r>
      <w:r w:rsidRPr="00BF3CA7">
        <w:t>(2), 286–295. https://doi.org/10.2307/4087492</w:t>
      </w:r>
    </w:p>
    <w:p w14:paraId="0D01D3FD" w14:textId="77777777" w:rsidR="00BF3CA7" w:rsidRPr="00BF3CA7" w:rsidRDefault="00BF3CA7" w:rsidP="00BF3CA7">
      <w:pPr>
        <w:pStyle w:val="Bibliography"/>
      </w:pPr>
      <w:r w:rsidRPr="00BF3CA7">
        <w:lastRenderedPageBreak/>
        <w:t xml:space="preserve">Maurer, G. E., Hallmark, A. J., Brown, R. F., Sala, O. E., &amp; Collins, S. L. (2020). Sensitivity of primary production to precipitation across the United States. </w:t>
      </w:r>
      <w:r w:rsidRPr="00BF3CA7">
        <w:rPr>
          <w:i/>
          <w:iCs/>
        </w:rPr>
        <w:t>Ecology Letters</w:t>
      </w:r>
      <w:r w:rsidRPr="00BF3CA7">
        <w:t xml:space="preserve">, </w:t>
      </w:r>
      <w:r w:rsidRPr="00BF3CA7">
        <w:rPr>
          <w:i/>
          <w:iCs/>
        </w:rPr>
        <w:t>23</w:t>
      </w:r>
      <w:r w:rsidRPr="00BF3CA7">
        <w:t>(3), 527–536. https://doi.org/10.1111/ele.13455</w:t>
      </w:r>
    </w:p>
    <w:p w14:paraId="1A2E4FED" w14:textId="77777777" w:rsidR="00BF3CA7" w:rsidRPr="00BF3CA7" w:rsidRDefault="00BF3CA7" w:rsidP="00BF3CA7">
      <w:pPr>
        <w:pStyle w:val="Bibliography"/>
      </w:pPr>
      <w:r w:rsidRPr="00BF3CA7">
        <w:t xml:space="preserve">McDermott, M. E., &amp; DeGroote, L. W. (2016). Long‐term climate impacts on breeding bird phenology in Pennsylvania, </w:t>
      </w:r>
      <w:r w:rsidRPr="00BF3CA7">
        <w:rPr>
          <w:smallCaps/>
        </w:rPr>
        <w:t>USA</w:t>
      </w:r>
      <w:r w:rsidRPr="00BF3CA7">
        <w:t xml:space="preserve">. </w:t>
      </w:r>
      <w:r w:rsidRPr="00BF3CA7">
        <w:rPr>
          <w:i/>
          <w:iCs/>
        </w:rPr>
        <w:t>Global Change Biology</w:t>
      </w:r>
      <w:r w:rsidRPr="00BF3CA7">
        <w:t xml:space="preserve">, </w:t>
      </w:r>
      <w:r w:rsidRPr="00BF3CA7">
        <w:rPr>
          <w:i/>
          <w:iCs/>
        </w:rPr>
        <w:t>22</w:t>
      </w:r>
      <w:r w:rsidRPr="00BF3CA7">
        <w:t>(10), 3304–3319. https://doi.org/10.1111/gcb.13363</w:t>
      </w:r>
    </w:p>
    <w:p w14:paraId="7DBD07B8" w14:textId="77777777" w:rsidR="00BF3CA7" w:rsidRPr="00BF3CA7" w:rsidRDefault="00BF3CA7" w:rsidP="00BF3CA7">
      <w:pPr>
        <w:pStyle w:val="Bibliography"/>
      </w:pPr>
      <w:proofErr w:type="spellStart"/>
      <w:r w:rsidRPr="00BF3CA7">
        <w:t>Mcshea</w:t>
      </w:r>
      <w:proofErr w:type="spellEnd"/>
      <w:r w:rsidRPr="00BF3CA7">
        <w:t xml:space="preserve">, W. J., Healy, W. M., Devers, P., Fearer, T., Koch, F. H., Stauffer, D., &amp; Waldon, J. (2007). Forestry Matters: Decline of Oaks Will Impact Wildlife in Hardwood Forests. </w:t>
      </w:r>
      <w:r w:rsidRPr="00BF3CA7">
        <w:rPr>
          <w:i/>
          <w:iCs/>
        </w:rPr>
        <w:t>The Journal of Wildlife Management</w:t>
      </w:r>
      <w:r w:rsidRPr="00BF3CA7">
        <w:t xml:space="preserve">, </w:t>
      </w:r>
      <w:r w:rsidRPr="00BF3CA7">
        <w:rPr>
          <w:i/>
          <w:iCs/>
        </w:rPr>
        <w:t>71</w:t>
      </w:r>
      <w:r w:rsidRPr="00BF3CA7">
        <w:t>(5), 1717–1728. https://doi.org/10.2193/2006-169</w:t>
      </w:r>
    </w:p>
    <w:p w14:paraId="57DE08C4" w14:textId="77777777" w:rsidR="00BF3CA7" w:rsidRPr="00BF3CA7" w:rsidRDefault="00BF3CA7" w:rsidP="00BF3CA7">
      <w:pPr>
        <w:pStyle w:val="Bibliography"/>
      </w:pPr>
      <w:proofErr w:type="spellStart"/>
      <w:r w:rsidRPr="00BF3CA7">
        <w:t>Meddens</w:t>
      </w:r>
      <w:proofErr w:type="spellEnd"/>
      <w:r w:rsidRPr="00BF3CA7">
        <w:t xml:space="preserve">, A. J. H., Hicke, J. A., </w:t>
      </w:r>
      <w:proofErr w:type="spellStart"/>
      <w:r w:rsidRPr="00BF3CA7">
        <w:t>Macalady</w:t>
      </w:r>
      <w:proofErr w:type="spellEnd"/>
      <w:r w:rsidRPr="00BF3CA7">
        <w:t xml:space="preserve">, A. K., Buotte, P. C., Cowles, T. R., &amp; Allen, C. D. (2015). Patterns and causes of observed piñon pine mortality in the southwestern United States. </w:t>
      </w:r>
      <w:r w:rsidRPr="00BF3CA7">
        <w:rPr>
          <w:i/>
          <w:iCs/>
        </w:rPr>
        <w:t>New Phytologist</w:t>
      </w:r>
      <w:r w:rsidRPr="00BF3CA7">
        <w:t xml:space="preserve">, </w:t>
      </w:r>
      <w:r w:rsidRPr="00BF3CA7">
        <w:rPr>
          <w:i/>
          <w:iCs/>
        </w:rPr>
        <w:t>206</w:t>
      </w:r>
      <w:r w:rsidRPr="00BF3CA7">
        <w:t>(1), 91–97. https://doi.org/10.1111/nph.13193</w:t>
      </w:r>
    </w:p>
    <w:p w14:paraId="7C0328D5" w14:textId="77777777" w:rsidR="00BF3CA7" w:rsidRPr="00BF3CA7" w:rsidRDefault="00BF3CA7" w:rsidP="00BF3CA7">
      <w:pPr>
        <w:pStyle w:val="Bibliography"/>
      </w:pPr>
      <w:proofErr w:type="spellStart"/>
      <w:r w:rsidRPr="00BF3CA7">
        <w:t>Michalet</w:t>
      </w:r>
      <w:proofErr w:type="spellEnd"/>
      <w:r w:rsidRPr="00BF3CA7">
        <w:t xml:space="preserve">, R., Choler, P., Callaway, R. M., &amp; Whitham, T. G. (2021). Rainfall continentality, via the winter Gams angle, provides a new dimension to biogeographical distributions in the western United States. </w:t>
      </w:r>
      <w:r w:rsidRPr="00BF3CA7">
        <w:rPr>
          <w:i/>
          <w:iCs/>
        </w:rPr>
        <w:t>Global Ecology and Biogeography</w:t>
      </w:r>
      <w:r w:rsidRPr="00BF3CA7">
        <w:t xml:space="preserve">, </w:t>
      </w:r>
      <w:r w:rsidRPr="00BF3CA7">
        <w:rPr>
          <w:i/>
          <w:iCs/>
        </w:rPr>
        <w:t>30</w:t>
      </w:r>
      <w:r w:rsidRPr="00BF3CA7">
        <w:t>(2), 384–397. https://doi.org/10.1111/geb.13223</w:t>
      </w:r>
    </w:p>
    <w:p w14:paraId="20426738" w14:textId="77777777" w:rsidR="00BF3CA7" w:rsidRPr="00BF3CA7" w:rsidRDefault="00BF3CA7" w:rsidP="00BF3CA7">
      <w:pPr>
        <w:pStyle w:val="Bibliography"/>
      </w:pPr>
      <w:r w:rsidRPr="00BF3CA7">
        <w:t xml:space="preserve">Moore, C. M., &amp; Dittel, J. W. (2020). On mutualism, models, and masting: The effects of seed‐dispersing animals on the plants they disperse. </w:t>
      </w:r>
      <w:r w:rsidRPr="00BF3CA7">
        <w:rPr>
          <w:i/>
          <w:iCs/>
        </w:rPr>
        <w:t>Journal of Ecology</w:t>
      </w:r>
      <w:r w:rsidRPr="00BF3CA7">
        <w:t xml:space="preserve">, </w:t>
      </w:r>
      <w:r w:rsidRPr="00BF3CA7">
        <w:rPr>
          <w:i/>
          <w:iCs/>
        </w:rPr>
        <w:t>108</w:t>
      </w:r>
      <w:r w:rsidRPr="00BF3CA7">
        <w:t>(5), 1775–1783. https://doi.org/10.1111/1365-2745.13414</w:t>
      </w:r>
    </w:p>
    <w:p w14:paraId="2E7EA224" w14:textId="77777777" w:rsidR="00BF3CA7" w:rsidRPr="00BF3CA7" w:rsidRDefault="00BF3CA7" w:rsidP="00BF3CA7">
      <w:pPr>
        <w:pStyle w:val="Bibliography"/>
      </w:pPr>
      <w:r w:rsidRPr="00BF3CA7">
        <w:t xml:space="preserve">Munson, S. M., Bradford, J. B., Butterfield, B. J., &amp; Gremer, J. R. (2022). Primary production responses to extreme changes in North American Monsoon precipitation vary by </w:t>
      </w:r>
      <w:r w:rsidRPr="00BF3CA7">
        <w:lastRenderedPageBreak/>
        <w:t xml:space="preserve">elevation and plant functional composition through time. </w:t>
      </w:r>
      <w:r w:rsidRPr="00BF3CA7">
        <w:rPr>
          <w:i/>
          <w:iCs/>
        </w:rPr>
        <w:t>Journal of Ecology</w:t>
      </w:r>
      <w:r w:rsidRPr="00BF3CA7">
        <w:t xml:space="preserve">, </w:t>
      </w:r>
      <w:r w:rsidRPr="00BF3CA7">
        <w:rPr>
          <w:i/>
          <w:iCs/>
        </w:rPr>
        <w:t>110</w:t>
      </w:r>
      <w:r w:rsidRPr="00BF3CA7">
        <w:t>(9), 2232–2245. https://doi.org/10.1111/1365-2745.13947</w:t>
      </w:r>
    </w:p>
    <w:p w14:paraId="4B1F0DE7" w14:textId="77777777" w:rsidR="00BF3CA7" w:rsidRPr="00BF3CA7" w:rsidRDefault="00BF3CA7" w:rsidP="00BF3CA7">
      <w:pPr>
        <w:pStyle w:val="Bibliography"/>
      </w:pPr>
      <w:r w:rsidRPr="00BF3CA7">
        <w:t xml:space="preserve">Neilson, R. P., &amp; </w:t>
      </w:r>
      <w:proofErr w:type="spellStart"/>
      <w:r w:rsidRPr="00BF3CA7">
        <w:t>Wullstein</w:t>
      </w:r>
      <w:proofErr w:type="spellEnd"/>
      <w:r w:rsidRPr="00BF3CA7">
        <w:t xml:space="preserve">, L. H. (1983). Biogeography of Two Southwest American Oaks in Relation to Atmospheric Dynamics. </w:t>
      </w:r>
      <w:r w:rsidRPr="00BF3CA7">
        <w:rPr>
          <w:i/>
          <w:iCs/>
        </w:rPr>
        <w:t>Journal of Biogeography</w:t>
      </w:r>
      <w:r w:rsidRPr="00BF3CA7">
        <w:t xml:space="preserve">, </w:t>
      </w:r>
      <w:r w:rsidRPr="00BF3CA7">
        <w:rPr>
          <w:i/>
          <w:iCs/>
        </w:rPr>
        <w:t>10</w:t>
      </w:r>
      <w:r w:rsidRPr="00BF3CA7">
        <w:t>(4), 275. https://doi.org/10.2307/2844738</w:t>
      </w:r>
    </w:p>
    <w:p w14:paraId="0165340F" w14:textId="77777777" w:rsidR="00BF3CA7" w:rsidRPr="00BF3CA7" w:rsidRDefault="00BF3CA7" w:rsidP="00BF3CA7">
      <w:pPr>
        <w:pStyle w:val="Bibliography"/>
      </w:pPr>
      <w:r w:rsidRPr="00BF3CA7">
        <w:t xml:space="preserve">Ockendon, N., Baker, D. J., Carr, J. A., White, E. C., Almond, R. E. A., Amano, T., Bertram, E., Bradbury, R. B., Bradley, C., Butchart, S. H. M., </w:t>
      </w:r>
      <w:proofErr w:type="spellStart"/>
      <w:r w:rsidRPr="00BF3CA7">
        <w:t>Doswald</w:t>
      </w:r>
      <w:proofErr w:type="spellEnd"/>
      <w:r w:rsidRPr="00BF3CA7">
        <w:t xml:space="preserve">, N., Foden, W., Gill, D. J. C., Green, R. E., Sutherland, W. J., Tanner, E. V. J., &amp; Pearce‐Higgins, J. W. (2014). Mechanisms underpinning climatic impacts on natural populations: Altered species interactions are more important than direct effects. </w:t>
      </w:r>
      <w:r w:rsidRPr="00BF3CA7">
        <w:rPr>
          <w:i/>
          <w:iCs/>
        </w:rPr>
        <w:t>Global Change Biology</w:t>
      </w:r>
      <w:r w:rsidRPr="00BF3CA7">
        <w:t xml:space="preserve">, </w:t>
      </w:r>
      <w:r w:rsidRPr="00BF3CA7">
        <w:rPr>
          <w:i/>
          <w:iCs/>
        </w:rPr>
        <w:t>20</w:t>
      </w:r>
      <w:r w:rsidRPr="00BF3CA7">
        <w:t>(7), 2221–2229. https://doi.org/10.1111/gcb.12559</w:t>
      </w:r>
    </w:p>
    <w:p w14:paraId="228ACE76" w14:textId="77777777" w:rsidR="00BF3CA7" w:rsidRPr="00BF3CA7" w:rsidRDefault="00BF3CA7" w:rsidP="00BF3CA7">
      <w:pPr>
        <w:pStyle w:val="Bibliography"/>
      </w:pPr>
      <w:r w:rsidRPr="00BF3CA7">
        <w:t xml:space="preserve">Ogle, K., Barber, J. J., Barron‐Gafford, G. A., Bentley, L. P., Young, J. M., Huxman, T. E., Loik, M. E., &amp; Tissue, D. T. (2015). Quantifying ecological memory in plant and ecosystem processes. </w:t>
      </w:r>
      <w:r w:rsidRPr="00BF3CA7">
        <w:rPr>
          <w:i/>
          <w:iCs/>
        </w:rPr>
        <w:t>Ecology Letters</w:t>
      </w:r>
      <w:r w:rsidRPr="00BF3CA7">
        <w:t xml:space="preserve">, </w:t>
      </w:r>
      <w:r w:rsidRPr="00BF3CA7">
        <w:rPr>
          <w:i/>
          <w:iCs/>
        </w:rPr>
        <w:t>18</w:t>
      </w:r>
      <w:r w:rsidRPr="00BF3CA7">
        <w:t>(3), 221–235. https://doi.org/10.1111/ele.12399</w:t>
      </w:r>
    </w:p>
    <w:p w14:paraId="421F4262" w14:textId="77777777" w:rsidR="00BF3CA7" w:rsidRPr="00BF3CA7" w:rsidRDefault="00BF3CA7" w:rsidP="00BF3CA7">
      <w:pPr>
        <w:pStyle w:val="Bibliography"/>
      </w:pPr>
      <w:proofErr w:type="spellStart"/>
      <w:r w:rsidRPr="00BF3CA7">
        <w:t>Ostfeld</w:t>
      </w:r>
      <w:proofErr w:type="spellEnd"/>
      <w:r w:rsidRPr="00BF3CA7">
        <w:t xml:space="preserve">, R. S., &amp; </w:t>
      </w:r>
      <w:proofErr w:type="spellStart"/>
      <w:r w:rsidRPr="00BF3CA7">
        <w:t>Keesing</w:t>
      </w:r>
      <w:proofErr w:type="spellEnd"/>
      <w:r w:rsidRPr="00BF3CA7">
        <w:t xml:space="preserve">, F. (2000). Pulsed resources and community dynamics of consumers in terrestrial ecosystems. </w:t>
      </w:r>
      <w:r w:rsidRPr="00BF3CA7">
        <w:rPr>
          <w:i/>
          <w:iCs/>
        </w:rPr>
        <w:t>Trends in Ecology &amp; Evolution</w:t>
      </w:r>
      <w:r w:rsidRPr="00BF3CA7">
        <w:t xml:space="preserve">, </w:t>
      </w:r>
      <w:r w:rsidRPr="00BF3CA7">
        <w:rPr>
          <w:i/>
          <w:iCs/>
        </w:rPr>
        <w:t>15</w:t>
      </w:r>
      <w:r w:rsidRPr="00BF3CA7">
        <w:t>(6), 232–237. https://doi.org/10.1016/S0169-5347(00)01862-0</w:t>
      </w:r>
    </w:p>
    <w:p w14:paraId="444293D0" w14:textId="77777777" w:rsidR="00BF3CA7" w:rsidRPr="00BF3CA7" w:rsidRDefault="00BF3CA7" w:rsidP="00BF3CA7">
      <w:pPr>
        <w:pStyle w:val="Bibliography"/>
      </w:pPr>
      <w:r w:rsidRPr="00BF3CA7">
        <w:t xml:space="preserve">Padisak, J. (1992). Seasonal Succession of Phytoplankton in a Large Shallow Lake (Balaton, Hungary)—A Dynamic Approach to Ecological Memory, Its Possible Role and Mechanisms. </w:t>
      </w:r>
      <w:r w:rsidRPr="00BF3CA7">
        <w:rPr>
          <w:i/>
          <w:iCs/>
        </w:rPr>
        <w:t>The Journal of Ecology</w:t>
      </w:r>
      <w:r w:rsidRPr="00BF3CA7">
        <w:t xml:space="preserve">, </w:t>
      </w:r>
      <w:r w:rsidRPr="00BF3CA7">
        <w:rPr>
          <w:i/>
          <w:iCs/>
        </w:rPr>
        <w:t>80</w:t>
      </w:r>
      <w:r w:rsidRPr="00BF3CA7">
        <w:t>(2), 217. https://doi.org/10.2307/2261008</w:t>
      </w:r>
    </w:p>
    <w:p w14:paraId="492D6B81" w14:textId="77777777" w:rsidR="00BF3CA7" w:rsidRPr="00BF3CA7" w:rsidRDefault="00BF3CA7" w:rsidP="00BF3CA7">
      <w:pPr>
        <w:pStyle w:val="Bibliography"/>
      </w:pPr>
      <w:r w:rsidRPr="00BF3CA7">
        <w:t xml:space="preserve">Parmenter, R. R., </w:t>
      </w:r>
      <w:proofErr w:type="spellStart"/>
      <w:r w:rsidRPr="00BF3CA7">
        <w:t>Zlotin</w:t>
      </w:r>
      <w:proofErr w:type="spellEnd"/>
      <w:r w:rsidRPr="00BF3CA7">
        <w:t xml:space="preserve">, R. I., Moore, D. I., &amp; Myers, O. B. (2018). Environmental and endogenous drivers of tree mast production and synchrony in piñon–juniper–oak woodlands of New Mexico. </w:t>
      </w:r>
      <w:r w:rsidRPr="00BF3CA7">
        <w:rPr>
          <w:i/>
          <w:iCs/>
        </w:rPr>
        <w:t>Ecosphere</w:t>
      </w:r>
      <w:r w:rsidRPr="00BF3CA7">
        <w:t xml:space="preserve">, </w:t>
      </w:r>
      <w:r w:rsidRPr="00BF3CA7">
        <w:rPr>
          <w:i/>
          <w:iCs/>
        </w:rPr>
        <w:t>9</w:t>
      </w:r>
      <w:r w:rsidRPr="00BF3CA7">
        <w:t>(8), e02360. https://doi.org/10.1002/ecs2.2360</w:t>
      </w:r>
    </w:p>
    <w:p w14:paraId="6E81FEA4" w14:textId="77777777" w:rsidR="00BF3CA7" w:rsidRPr="00BF3CA7" w:rsidRDefault="00BF3CA7" w:rsidP="00BF3CA7">
      <w:pPr>
        <w:pStyle w:val="Bibliography"/>
      </w:pPr>
      <w:r w:rsidRPr="00BF3CA7">
        <w:lastRenderedPageBreak/>
        <w:t xml:space="preserve">Pearse, I. S., Koenig, W. D., &amp; Kelly, D. (2016). Mechanisms of mast seeding: Resources, weather, cues, and selection. </w:t>
      </w:r>
      <w:r w:rsidRPr="00BF3CA7">
        <w:rPr>
          <w:i/>
          <w:iCs/>
        </w:rPr>
        <w:t>New Phytologist</w:t>
      </w:r>
      <w:r w:rsidRPr="00BF3CA7">
        <w:t xml:space="preserve">, </w:t>
      </w:r>
      <w:r w:rsidRPr="00BF3CA7">
        <w:rPr>
          <w:i/>
          <w:iCs/>
        </w:rPr>
        <w:t>212</w:t>
      </w:r>
      <w:r w:rsidRPr="00BF3CA7">
        <w:t>(3), 546–562. https://doi.org/10.1111/nph.14114</w:t>
      </w:r>
    </w:p>
    <w:p w14:paraId="0C12BE0F" w14:textId="77777777" w:rsidR="00BF3CA7" w:rsidRPr="00BF3CA7" w:rsidRDefault="00BF3CA7" w:rsidP="00BF3CA7">
      <w:pPr>
        <w:pStyle w:val="Bibliography"/>
      </w:pPr>
      <w:proofErr w:type="spellStart"/>
      <w:r w:rsidRPr="00BF3CA7">
        <w:t>Pesendorfer</w:t>
      </w:r>
      <w:proofErr w:type="spellEnd"/>
      <w:r w:rsidRPr="00BF3CA7">
        <w:t xml:space="preserve">, M. B., Sillett, T. S., Koenig, W. D., &amp; Morrison, S. A. (2016). Scatter-hoarding corvids as seed dispersers for oaks and pines: A review of a widely distributed mutualism and its utility to habitat restoration. </w:t>
      </w:r>
      <w:r w:rsidRPr="00BF3CA7">
        <w:rPr>
          <w:i/>
          <w:iCs/>
        </w:rPr>
        <w:t>The Condor</w:t>
      </w:r>
      <w:r w:rsidRPr="00BF3CA7">
        <w:t xml:space="preserve">, </w:t>
      </w:r>
      <w:r w:rsidRPr="00BF3CA7">
        <w:rPr>
          <w:i/>
          <w:iCs/>
        </w:rPr>
        <w:t>118</w:t>
      </w:r>
      <w:r w:rsidRPr="00BF3CA7">
        <w:t>(2), 215–237. https://doi.org/10.1650/condor-15-125.1</w:t>
      </w:r>
    </w:p>
    <w:p w14:paraId="46120F41" w14:textId="77777777" w:rsidR="00BF3CA7" w:rsidRPr="00BF3CA7" w:rsidRDefault="00BF3CA7" w:rsidP="00BF3CA7">
      <w:pPr>
        <w:pStyle w:val="Bibliography"/>
      </w:pPr>
      <w:proofErr w:type="spellStart"/>
      <w:r w:rsidRPr="00BF3CA7">
        <w:t>Poisot</w:t>
      </w:r>
      <w:proofErr w:type="spellEnd"/>
      <w:r w:rsidRPr="00BF3CA7">
        <w:t xml:space="preserve">, T., Stouffer, D. B., &amp; Gravel, D. (2015). Beyond species: Why ecological interaction networks vary through space and time. </w:t>
      </w:r>
      <w:r w:rsidRPr="00BF3CA7">
        <w:rPr>
          <w:i/>
          <w:iCs/>
        </w:rPr>
        <w:t>Oikos</w:t>
      </w:r>
      <w:r w:rsidRPr="00BF3CA7">
        <w:t xml:space="preserve">, </w:t>
      </w:r>
      <w:r w:rsidRPr="00BF3CA7">
        <w:rPr>
          <w:i/>
          <w:iCs/>
        </w:rPr>
        <w:t>124</w:t>
      </w:r>
      <w:r w:rsidRPr="00BF3CA7">
        <w:t>(3), 243–251. https://doi.org/10.1111/oik.01719</w:t>
      </w:r>
    </w:p>
    <w:p w14:paraId="3DE0073B" w14:textId="77777777" w:rsidR="00BF3CA7" w:rsidRPr="00BF3CA7" w:rsidRDefault="00BF3CA7" w:rsidP="00BF3CA7">
      <w:pPr>
        <w:pStyle w:val="Bibliography"/>
      </w:pPr>
      <w:r w:rsidRPr="00BF3CA7">
        <w:t xml:space="preserve">PRISM Climate Group. (2025). </w:t>
      </w:r>
      <w:r w:rsidRPr="00BF3CA7">
        <w:rPr>
          <w:i/>
          <w:iCs/>
        </w:rPr>
        <w:t>PRISM</w:t>
      </w:r>
      <w:r w:rsidRPr="00BF3CA7">
        <w:t xml:space="preserve"> [Computer software]. https://prism.oregonstate.edu</w:t>
      </w:r>
    </w:p>
    <w:p w14:paraId="56823B5F" w14:textId="77777777" w:rsidR="00BF3CA7" w:rsidRPr="00BF3CA7" w:rsidRDefault="00BF3CA7" w:rsidP="00BF3CA7">
      <w:pPr>
        <w:pStyle w:val="Bibliography"/>
      </w:pPr>
      <w:r w:rsidRPr="00BF3CA7">
        <w:t xml:space="preserve">Qiu, T., Aravena, M.-C., Ascoli, D., Bergeron, Y., </w:t>
      </w:r>
      <w:proofErr w:type="spellStart"/>
      <w:r w:rsidRPr="00BF3CA7">
        <w:t>Bogdziewicz</w:t>
      </w:r>
      <w:proofErr w:type="spellEnd"/>
      <w:r w:rsidRPr="00BF3CA7">
        <w:t xml:space="preserve">, M., Boivin, T., Bonal, R., </w:t>
      </w:r>
      <w:proofErr w:type="spellStart"/>
      <w:r w:rsidRPr="00BF3CA7">
        <w:t>Caignard</w:t>
      </w:r>
      <w:proofErr w:type="spellEnd"/>
      <w:r w:rsidRPr="00BF3CA7">
        <w:t xml:space="preserve">, T., </w:t>
      </w:r>
      <w:proofErr w:type="spellStart"/>
      <w:r w:rsidRPr="00BF3CA7">
        <w:t>Cailleret</w:t>
      </w:r>
      <w:proofErr w:type="spellEnd"/>
      <w:r w:rsidRPr="00BF3CA7">
        <w:t xml:space="preserve">, M., Calama, R., Calderon, S. D., Camarero, J. J., Chang-Yang, C.-H., Chave, J., </w:t>
      </w:r>
      <w:proofErr w:type="spellStart"/>
      <w:r w:rsidRPr="00BF3CA7">
        <w:t>Chianucci</w:t>
      </w:r>
      <w:proofErr w:type="spellEnd"/>
      <w:r w:rsidRPr="00BF3CA7">
        <w:t xml:space="preserve">, F., </w:t>
      </w:r>
      <w:proofErr w:type="spellStart"/>
      <w:r w:rsidRPr="00BF3CA7">
        <w:t>Courbaud</w:t>
      </w:r>
      <w:proofErr w:type="spellEnd"/>
      <w:r w:rsidRPr="00BF3CA7">
        <w:t xml:space="preserve">, B., </w:t>
      </w:r>
      <w:proofErr w:type="spellStart"/>
      <w:r w:rsidRPr="00BF3CA7">
        <w:t>Cutini</w:t>
      </w:r>
      <w:proofErr w:type="spellEnd"/>
      <w:r w:rsidRPr="00BF3CA7">
        <w:t xml:space="preserve">, A., Das, A. J., </w:t>
      </w:r>
      <w:proofErr w:type="spellStart"/>
      <w:r w:rsidRPr="00BF3CA7">
        <w:t>Delpierre</w:t>
      </w:r>
      <w:proofErr w:type="spellEnd"/>
      <w:r w:rsidRPr="00BF3CA7">
        <w:t xml:space="preserve">, N., … Clark, J. S. (2023). Masting is uncommon in trees that depend on mutualist dispersers in the context of global climate and fertility gradients. </w:t>
      </w:r>
      <w:r w:rsidRPr="00BF3CA7">
        <w:rPr>
          <w:i/>
          <w:iCs/>
        </w:rPr>
        <w:t>Nature Plants</w:t>
      </w:r>
      <w:r w:rsidRPr="00BF3CA7">
        <w:t xml:space="preserve">, </w:t>
      </w:r>
      <w:r w:rsidRPr="00BF3CA7">
        <w:rPr>
          <w:i/>
          <w:iCs/>
        </w:rPr>
        <w:t>9</w:t>
      </w:r>
      <w:r w:rsidRPr="00BF3CA7">
        <w:t>(7), 1044–1056. https://doi.org/10.1038/s41477-023-01446-5</w:t>
      </w:r>
    </w:p>
    <w:p w14:paraId="5D2C9CA7" w14:textId="77777777" w:rsidR="00BF3CA7" w:rsidRPr="00BF3CA7" w:rsidRDefault="00BF3CA7" w:rsidP="00BF3CA7">
      <w:pPr>
        <w:pStyle w:val="Bibliography"/>
      </w:pPr>
      <w:r w:rsidRPr="00BF3CA7">
        <w:t xml:space="preserve">Redmond, M. D., Forcella, F., &amp; Barger, N. N. (2012). Declines in pinyon </w:t>
      </w:r>
      <w:proofErr w:type="gramStart"/>
      <w:r w:rsidRPr="00BF3CA7">
        <w:t>pine cone</w:t>
      </w:r>
      <w:proofErr w:type="gramEnd"/>
      <w:r w:rsidRPr="00BF3CA7">
        <w:t xml:space="preserve"> production associated with regional warming. </w:t>
      </w:r>
      <w:r w:rsidRPr="00BF3CA7">
        <w:rPr>
          <w:i/>
          <w:iCs/>
        </w:rPr>
        <w:t>Ecosphere</w:t>
      </w:r>
      <w:r w:rsidRPr="00BF3CA7">
        <w:t xml:space="preserve">, </w:t>
      </w:r>
      <w:r w:rsidRPr="00BF3CA7">
        <w:rPr>
          <w:i/>
          <w:iCs/>
        </w:rPr>
        <w:t>3</w:t>
      </w:r>
      <w:r w:rsidRPr="00BF3CA7">
        <w:t>(12), 1–14. https://doi.org/10.1890/ES12-00306.1</w:t>
      </w:r>
    </w:p>
    <w:p w14:paraId="13829726" w14:textId="77777777" w:rsidR="00BF3CA7" w:rsidRPr="00BF3CA7" w:rsidRDefault="00BF3CA7" w:rsidP="00BF3CA7">
      <w:pPr>
        <w:pStyle w:val="Bibliography"/>
      </w:pPr>
      <w:r w:rsidRPr="00BF3CA7">
        <w:t xml:space="preserve">Robinson, O. J., Ruiz-Gutierrez, V., Fink, D., Meese, R. J., Holyoak, M., &amp; Cooch, E. G. (2018). Using citizen science data in integrated population models to inform conservation. </w:t>
      </w:r>
      <w:r w:rsidRPr="00BF3CA7">
        <w:rPr>
          <w:i/>
          <w:iCs/>
        </w:rPr>
        <w:t>Biological Conservation</w:t>
      </w:r>
      <w:r w:rsidRPr="00BF3CA7">
        <w:t xml:space="preserve">, </w:t>
      </w:r>
      <w:r w:rsidRPr="00BF3CA7">
        <w:rPr>
          <w:i/>
          <w:iCs/>
        </w:rPr>
        <w:t>227</w:t>
      </w:r>
      <w:r w:rsidRPr="00BF3CA7">
        <w:t>, 361–368. https://doi.org/10.1016/j.biocon.2018.10.002</w:t>
      </w:r>
    </w:p>
    <w:p w14:paraId="13ED568A" w14:textId="77777777" w:rsidR="00BF3CA7" w:rsidRPr="00BF3CA7" w:rsidRDefault="00BF3CA7" w:rsidP="00BF3CA7">
      <w:pPr>
        <w:pStyle w:val="Bibliography"/>
      </w:pPr>
      <w:r w:rsidRPr="00BF3CA7">
        <w:lastRenderedPageBreak/>
        <w:t xml:space="preserve">Rodman, K. C., Wilkerson, K. J., Wion, A. P., Huffman, D. W., </w:t>
      </w:r>
      <w:proofErr w:type="spellStart"/>
      <w:r w:rsidRPr="00BF3CA7">
        <w:t>Antoninka</w:t>
      </w:r>
      <w:proofErr w:type="spellEnd"/>
      <w:r w:rsidRPr="00BF3CA7">
        <w:t xml:space="preserve">, A. J., Barrera, M., Cobb, N. S., &amp; Redmond, M. D. (2025). Positive Drought </w:t>
      </w:r>
      <w:proofErr w:type="gramStart"/>
      <w:r w:rsidRPr="00BF3CA7">
        <w:t>Feedbacks</w:t>
      </w:r>
      <w:proofErr w:type="gramEnd"/>
      <w:r w:rsidRPr="00BF3CA7">
        <w:t xml:space="preserve"> Increase Tree Mortality Risk in Dry Woodlands of the </w:t>
      </w:r>
      <w:r w:rsidRPr="00BF3CA7">
        <w:rPr>
          <w:smallCaps/>
        </w:rPr>
        <w:t>US</w:t>
      </w:r>
      <w:r w:rsidRPr="00BF3CA7">
        <w:t xml:space="preserve"> Southwest. </w:t>
      </w:r>
      <w:r w:rsidRPr="00BF3CA7">
        <w:rPr>
          <w:i/>
          <w:iCs/>
        </w:rPr>
        <w:t>Ecology and Evolution</w:t>
      </w:r>
      <w:r w:rsidRPr="00BF3CA7">
        <w:t xml:space="preserve">, </w:t>
      </w:r>
      <w:r w:rsidRPr="00BF3CA7">
        <w:rPr>
          <w:i/>
          <w:iCs/>
        </w:rPr>
        <w:t>15</w:t>
      </w:r>
      <w:r w:rsidRPr="00BF3CA7">
        <w:t>(12), e72667. https://doi.org/10.1002/ece3.72667</w:t>
      </w:r>
    </w:p>
    <w:p w14:paraId="131D956C" w14:textId="77777777" w:rsidR="00BF3CA7" w:rsidRPr="00BF3CA7" w:rsidRDefault="00BF3CA7" w:rsidP="00BF3CA7">
      <w:pPr>
        <w:pStyle w:val="Bibliography"/>
      </w:pPr>
      <w:r w:rsidRPr="00BF3CA7">
        <w:t xml:space="preserve">Romme, W. H., Allen, C. D., Bailey, J. D., Baker, W. L., </w:t>
      </w:r>
      <w:proofErr w:type="spellStart"/>
      <w:r w:rsidRPr="00BF3CA7">
        <w:t>Bestelmeyer</w:t>
      </w:r>
      <w:proofErr w:type="spellEnd"/>
      <w:r w:rsidRPr="00BF3CA7">
        <w:t xml:space="preserve">, B. T., Brown, P. M., Eisenhart, K. S., Floyd, M. L., Huffman, D. W., Jacobs, B. F., Miller, R. F., </w:t>
      </w:r>
      <w:proofErr w:type="spellStart"/>
      <w:r w:rsidRPr="00BF3CA7">
        <w:t>Muldavin</w:t>
      </w:r>
      <w:proofErr w:type="spellEnd"/>
      <w:r w:rsidRPr="00BF3CA7">
        <w:t xml:space="preserve">, E. H., Swetnam, T. W., Tausch, R. J., &amp; Weisberg, P. J. (2009). Historical and Modern Disturbance Regimes, Stand Structures, and Landscape Dynamics in Piñon–Juniper Vegetation of the Western United States. </w:t>
      </w:r>
      <w:r w:rsidRPr="00BF3CA7">
        <w:rPr>
          <w:i/>
          <w:iCs/>
        </w:rPr>
        <w:t>Rangeland Ecology &amp; Management</w:t>
      </w:r>
      <w:r w:rsidRPr="00BF3CA7">
        <w:t xml:space="preserve">, </w:t>
      </w:r>
      <w:r w:rsidRPr="00BF3CA7">
        <w:rPr>
          <w:i/>
          <w:iCs/>
        </w:rPr>
        <w:t>62</w:t>
      </w:r>
      <w:r w:rsidRPr="00BF3CA7">
        <w:t>(3), 203–222. https://doi.org/10.2111/08-188R1.1</w:t>
      </w:r>
    </w:p>
    <w:p w14:paraId="70FA06EE" w14:textId="77777777" w:rsidR="00BF3CA7" w:rsidRPr="00BF3CA7" w:rsidRDefault="00BF3CA7" w:rsidP="00BF3CA7">
      <w:pPr>
        <w:pStyle w:val="Bibliography"/>
      </w:pPr>
      <w:r w:rsidRPr="00BF3CA7">
        <w:t xml:space="preserve">Roopnarine, P. D. (2006). Extinction cascades and catastrophe in ancient food webs. </w:t>
      </w:r>
      <w:r w:rsidRPr="00BF3CA7">
        <w:rPr>
          <w:i/>
          <w:iCs/>
        </w:rPr>
        <w:t>Paleobiology</w:t>
      </w:r>
      <w:r w:rsidRPr="00BF3CA7">
        <w:t xml:space="preserve">, </w:t>
      </w:r>
      <w:r w:rsidRPr="00BF3CA7">
        <w:rPr>
          <w:i/>
          <w:iCs/>
        </w:rPr>
        <w:t>32</w:t>
      </w:r>
      <w:r w:rsidRPr="00BF3CA7">
        <w:t>(1), 1–19. https://doi.org/10.1666/05008.1</w:t>
      </w:r>
    </w:p>
    <w:p w14:paraId="42E8C93A" w14:textId="77777777" w:rsidR="00BF3CA7" w:rsidRPr="00BF3CA7" w:rsidRDefault="00BF3CA7" w:rsidP="00BF3CA7">
      <w:pPr>
        <w:pStyle w:val="Bibliography"/>
      </w:pPr>
      <w:r w:rsidRPr="00BF3CA7">
        <w:t xml:space="preserve">Royle, J. A. (2004). </w:t>
      </w:r>
      <w:r w:rsidRPr="00BF3CA7">
        <w:rPr>
          <w:i/>
          <w:iCs/>
        </w:rPr>
        <w:t>N</w:t>
      </w:r>
      <w:r w:rsidRPr="00BF3CA7">
        <w:t xml:space="preserve">‐Mixture Models for Estimating Population Size from Spatially Replicated Counts. </w:t>
      </w:r>
      <w:r w:rsidRPr="00BF3CA7">
        <w:rPr>
          <w:i/>
          <w:iCs/>
        </w:rPr>
        <w:t>Biometrics</w:t>
      </w:r>
      <w:r w:rsidRPr="00BF3CA7">
        <w:t xml:space="preserve">, </w:t>
      </w:r>
      <w:r w:rsidRPr="00BF3CA7">
        <w:rPr>
          <w:i/>
          <w:iCs/>
        </w:rPr>
        <w:t>60</w:t>
      </w:r>
      <w:r w:rsidRPr="00BF3CA7">
        <w:t>(1), 108–115. https://doi.org/10.1111/j.0006-341x.2004.00142.x</w:t>
      </w:r>
    </w:p>
    <w:p w14:paraId="777C9E25" w14:textId="77777777" w:rsidR="00BF3CA7" w:rsidRPr="00BF3CA7" w:rsidRDefault="00BF3CA7" w:rsidP="00BF3CA7">
      <w:pPr>
        <w:pStyle w:val="Bibliography"/>
      </w:pPr>
      <w:r w:rsidRPr="00BF3CA7">
        <w:t xml:space="preserve">Royle, J. A., Nichols, J. D., &amp; Kéry, M. (2005). Modelling occurrence and abundance of species when detection is imperfect. </w:t>
      </w:r>
      <w:r w:rsidRPr="00BF3CA7">
        <w:rPr>
          <w:i/>
          <w:iCs/>
        </w:rPr>
        <w:t>Oikos</w:t>
      </w:r>
      <w:r w:rsidRPr="00BF3CA7">
        <w:t xml:space="preserve">, </w:t>
      </w:r>
      <w:r w:rsidRPr="00BF3CA7">
        <w:rPr>
          <w:i/>
          <w:iCs/>
        </w:rPr>
        <w:t>110</w:t>
      </w:r>
      <w:r w:rsidRPr="00BF3CA7">
        <w:t>(2), 353–359. https://doi.org/10.1111/j.0030-1299.2005.13534.x</w:t>
      </w:r>
    </w:p>
    <w:p w14:paraId="02CBD6C0" w14:textId="77777777" w:rsidR="00BF3CA7" w:rsidRPr="00BF3CA7" w:rsidRDefault="00BF3CA7" w:rsidP="00BF3CA7">
      <w:pPr>
        <w:pStyle w:val="Bibliography"/>
      </w:pPr>
      <w:r w:rsidRPr="00BF3CA7">
        <w:t xml:space="preserve">Sawaya, G. M., Goldberg, A. S., Steele, M. A., &amp; Dalgleish, H. J. (2018). Environmental variation shifts the relationship between trees and </w:t>
      </w:r>
      <w:proofErr w:type="spellStart"/>
      <w:r w:rsidRPr="00BF3CA7">
        <w:t>scatterhoarders</w:t>
      </w:r>
      <w:proofErr w:type="spellEnd"/>
      <w:r w:rsidRPr="00BF3CA7">
        <w:t xml:space="preserve"> along the continuum from mutualism to antagonism. </w:t>
      </w:r>
      <w:r w:rsidRPr="00BF3CA7">
        <w:rPr>
          <w:i/>
          <w:iCs/>
        </w:rPr>
        <w:t>Integrative Zoology</w:t>
      </w:r>
      <w:r w:rsidRPr="00BF3CA7">
        <w:t xml:space="preserve">, </w:t>
      </w:r>
      <w:r w:rsidRPr="00BF3CA7">
        <w:rPr>
          <w:i/>
          <w:iCs/>
        </w:rPr>
        <w:t>13</w:t>
      </w:r>
      <w:r w:rsidRPr="00BF3CA7">
        <w:t>(3), 319–330. https://doi.org/10.1111/1749-4877.12311</w:t>
      </w:r>
    </w:p>
    <w:p w14:paraId="60FA270A" w14:textId="77777777" w:rsidR="00BF3CA7" w:rsidRPr="00BF3CA7" w:rsidRDefault="00BF3CA7" w:rsidP="00BF3CA7">
      <w:pPr>
        <w:pStyle w:val="Bibliography"/>
      </w:pPr>
      <w:proofErr w:type="spellStart"/>
      <w:r w:rsidRPr="00BF3CA7">
        <w:lastRenderedPageBreak/>
        <w:t>Selonen</w:t>
      </w:r>
      <w:proofErr w:type="spellEnd"/>
      <w:r w:rsidRPr="00BF3CA7">
        <w:t xml:space="preserve">, V., Varjonen, R., &amp; </w:t>
      </w:r>
      <w:proofErr w:type="spellStart"/>
      <w:r w:rsidRPr="00BF3CA7">
        <w:t>Korpimäki</w:t>
      </w:r>
      <w:proofErr w:type="spellEnd"/>
      <w:r w:rsidRPr="00BF3CA7">
        <w:t xml:space="preserve">, E. (2015). Immediate or lagged responses of a red squirrel population to pulsed resources. </w:t>
      </w:r>
      <w:proofErr w:type="spellStart"/>
      <w:r w:rsidRPr="00BF3CA7">
        <w:rPr>
          <w:i/>
          <w:iCs/>
        </w:rPr>
        <w:t>Oecologia</w:t>
      </w:r>
      <w:proofErr w:type="spellEnd"/>
      <w:r w:rsidRPr="00BF3CA7">
        <w:t xml:space="preserve">, </w:t>
      </w:r>
      <w:r w:rsidRPr="00BF3CA7">
        <w:rPr>
          <w:i/>
          <w:iCs/>
        </w:rPr>
        <w:t>177</w:t>
      </w:r>
      <w:r w:rsidRPr="00BF3CA7">
        <w:t>(2), 401–411. https://doi.org/10.1007/s00442-014-3148-7</w:t>
      </w:r>
    </w:p>
    <w:p w14:paraId="77B899AD" w14:textId="77777777" w:rsidR="00BF3CA7" w:rsidRPr="00BF3CA7" w:rsidRDefault="00BF3CA7" w:rsidP="00BF3CA7">
      <w:pPr>
        <w:pStyle w:val="Bibliography"/>
      </w:pPr>
      <w:r w:rsidRPr="00BF3CA7">
        <w:t xml:space="preserve">Shepperd, W. D., Edminster, C. B., &amp; Mata, S. A. (2006). Long-Term </w:t>
      </w:r>
      <w:proofErr w:type="spellStart"/>
      <w:r w:rsidRPr="00BF3CA7">
        <w:t>Seedfall</w:t>
      </w:r>
      <w:proofErr w:type="spellEnd"/>
      <w:r w:rsidRPr="00BF3CA7">
        <w:t xml:space="preserve">, Establishment, Survival, and Growth of Natural and Planted Ponderosa Pine in the Colorado Front Range. </w:t>
      </w:r>
      <w:r w:rsidRPr="00BF3CA7">
        <w:rPr>
          <w:i/>
          <w:iCs/>
        </w:rPr>
        <w:t>Western Journal of Applied Forestry</w:t>
      </w:r>
      <w:r w:rsidRPr="00BF3CA7">
        <w:t xml:space="preserve">, </w:t>
      </w:r>
      <w:r w:rsidRPr="00BF3CA7">
        <w:rPr>
          <w:i/>
          <w:iCs/>
        </w:rPr>
        <w:t>21</w:t>
      </w:r>
      <w:r w:rsidRPr="00BF3CA7">
        <w:t>(1), 19–26. https://doi.org/10.1093/wjaf/21.1.19</w:t>
      </w:r>
    </w:p>
    <w:p w14:paraId="7FEC7A07" w14:textId="77777777" w:rsidR="00BF3CA7" w:rsidRPr="00BF3CA7" w:rsidRDefault="00BF3CA7" w:rsidP="00BF3CA7">
      <w:pPr>
        <w:pStyle w:val="Bibliography"/>
      </w:pPr>
      <w:r w:rsidRPr="00BF3CA7">
        <w:t xml:space="preserve">Shriver, R. K., Yackulic, C. B., Bell, D. M., &amp; Bradford, J. B. (2022). Dry forest decline is driven by both declining recruitment and increasing mortality in response to warm, dry conditions. </w:t>
      </w:r>
      <w:r w:rsidRPr="00BF3CA7">
        <w:rPr>
          <w:i/>
          <w:iCs/>
        </w:rPr>
        <w:t>Global Ecology and Biogeography</w:t>
      </w:r>
      <w:r w:rsidRPr="00BF3CA7">
        <w:t xml:space="preserve">, </w:t>
      </w:r>
      <w:r w:rsidRPr="00BF3CA7">
        <w:rPr>
          <w:i/>
          <w:iCs/>
        </w:rPr>
        <w:t>31</w:t>
      </w:r>
      <w:r w:rsidRPr="00BF3CA7">
        <w:t>(11), 2259–2269. https://doi.org/10.1111/geb.13582</w:t>
      </w:r>
    </w:p>
    <w:p w14:paraId="2E126C3C" w14:textId="77777777" w:rsidR="00BF3CA7" w:rsidRPr="00BF3CA7" w:rsidRDefault="00BF3CA7" w:rsidP="00BF3CA7">
      <w:pPr>
        <w:pStyle w:val="Bibliography"/>
      </w:pPr>
      <w:proofErr w:type="spellStart"/>
      <w:r w:rsidRPr="00BF3CA7">
        <w:t>Sicich</w:t>
      </w:r>
      <w:proofErr w:type="spellEnd"/>
      <w:r w:rsidRPr="00BF3CA7">
        <w:t xml:space="preserve">, B., Young, A. C., Bundy, C. S., Abadi, F., &amp; Desmond, M. J. (2025). Open spaces and arthropod abundance are important foraging habitat components for </w:t>
      </w:r>
      <w:proofErr w:type="spellStart"/>
      <w:r w:rsidRPr="00BF3CA7">
        <w:rPr>
          <w:i/>
          <w:iCs/>
        </w:rPr>
        <w:t>Gymnorhinus</w:t>
      </w:r>
      <w:proofErr w:type="spellEnd"/>
      <w:r w:rsidRPr="00BF3CA7">
        <w:rPr>
          <w:i/>
          <w:iCs/>
        </w:rPr>
        <w:t xml:space="preserve"> </w:t>
      </w:r>
      <w:proofErr w:type="spellStart"/>
      <w:r w:rsidRPr="00BF3CA7">
        <w:rPr>
          <w:i/>
          <w:iCs/>
        </w:rPr>
        <w:t>cyanocephalus</w:t>
      </w:r>
      <w:proofErr w:type="spellEnd"/>
      <w:r w:rsidRPr="00BF3CA7">
        <w:t xml:space="preserve"> (Pinyon Jay) in south-central New Mexico. </w:t>
      </w:r>
      <w:r w:rsidRPr="00BF3CA7">
        <w:rPr>
          <w:i/>
          <w:iCs/>
        </w:rPr>
        <w:t>Ornithological Applications</w:t>
      </w:r>
      <w:r w:rsidRPr="00BF3CA7">
        <w:t>, duaf046. https://doi.org/10.1093/ornithapp/duaf046</w:t>
      </w:r>
    </w:p>
    <w:p w14:paraId="13CEFFDC" w14:textId="77777777" w:rsidR="00BF3CA7" w:rsidRPr="00BF3CA7" w:rsidRDefault="00BF3CA7" w:rsidP="00BF3CA7">
      <w:pPr>
        <w:pStyle w:val="Bibliography"/>
      </w:pPr>
      <w:r w:rsidRPr="00BF3CA7">
        <w:t xml:space="preserve">Skagen, S. K., &amp; Adams, A. A. Y. (2012). Weather effects on avian breeding performance and implications of climate change. </w:t>
      </w:r>
      <w:r w:rsidRPr="00BF3CA7">
        <w:rPr>
          <w:i/>
          <w:iCs/>
        </w:rPr>
        <w:t>Ecological Applications</w:t>
      </w:r>
      <w:r w:rsidRPr="00BF3CA7">
        <w:t xml:space="preserve">, </w:t>
      </w:r>
      <w:r w:rsidRPr="00BF3CA7">
        <w:rPr>
          <w:i/>
          <w:iCs/>
        </w:rPr>
        <w:t>22</w:t>
      </w:r>
      <w:r w:rsidRPr="00BF3CA7">
        <w:t>(4), 1131–1145. https://doi.org/10.1890/11-0291.1</w:t>
      </w:r>
    </w:p>
    <w:p w14:paraId="073A4808" w14:textId="77777777" w:rsidR="00BF3CA7" w:rsidRPr="00BF3CA7" w:rsidRDefault="00BF3CA7" w:rsidP="00BF3CA7">
      <w:pPr>
        <w:pStyle w:val="Bibliography"/>
      </w:pPr>
      <w:r w:rsidRPr="00BF3CA7">
        <w:t xml:space="preserve">Srinivasan, U. T., Dunne, J. A., Harte, J., &amp; Martinez, N. D. (2007). RESPONSE OF COMPLEX FOOD WEBS TO REALISTIC EXTINCTION SEQUENCES. </w:t>
      </w:r>
      <w:r w:rsidRPr="00BF3CA7">
        <w:rPr>
          <w:i/>
          <w:iCs/>
        </w:rPr>
        <w:t>Ecology</w:t>
      </w:r>
      <w:r w:rsidRPr="00BF3CA7">
        <w:t xml:space="preserve">, </w:t>
      </w:r>
      <w:r w:rsidRPr="00BF3CA7">
        <w:rPr>
          <w:i/>
          <w:iCs/>
        </w:rPr>
        <w:t>88</w:t>
      </w:r>
      <w:r w:rsidRPr="00BF3CA7">
        <w:t>(3), 671–682. https://doi.org/10.1890/06-0971</w:t>
      </w:r>
    </w:p>
    <w:p w14:paraId="61EA1BB8" w14:textId="77777777" w:rsidR="00BF3CA7" w:rsidRPr="00BF3CA7" w:rsidRDefault="00BF3CA7" w:rsidP="00BF3CA7">
      <w:pPr>
        <w:pStyle w:val="Bibliography"/>
      </w:pPr>
      <w:r w:rsidRPr="00BF3CA7">
        <w:t xml:space="preserve">Stotz, N. G., &amp; Balda, R. P. (1995). Cache and recovery behavior of wild pinyon jays in northern Arizona. </w:t>
      </w:r>
      <w:r w:rsidRPr="00BF3CA7">
        <w:rPr>
          <w:i/>
          <w:iCs/>
        </w:rPr>
        <w:t>The Southwestern Naturalist</w:t>
      </w:r>
      <w:r w:rsidRPr="00BF3CA7">
        <w:t xml:space="preserve">, </w:t>
      </w:r>
      <w:r w:rsidRPr="00BF3CA7">
        <w:rPr>
          <w:i/>
          <w:iCs/>
        </w:rPr>
        <w:t>40</w:t>
      </w:r>
      <w:r w:rsidRPr="00BF3CA7">
        <w:t>(2), 180–184.</w:t>
      </w:r>
    </w:p>
    <w:p w14:paraId="6D364040" w14:textId="77777777" w:rsidR="00BF3CA7" w:rsidRPr="00BF3CA7" w:rsidRDefault="00BF3CA7" w:rsidP="00BF3CA7">
      <w:pPr>
        <w:pStyle w:val="Bibliography"/>
      </w:pPr>
      <w:proofErr w:type="spellStart"/>
      <w:r w:rsidRPr="00BF3CA7">
        <w:lastRenderedPageBreak/>
        <w:t>Strimas</w:t>
      </w:r>
      <w:proofErr w:type="spellEnd"/>
      <w:r w:rsidRPr="00BF3CA7">
        <w:t xml:space="preserve">-Mackey, M., </w:t>
      </w:r>
      <w:proofErr w:type="spellStart"/>
      <w:r w:rsidRPr="00BF3CA7">
        <w:t>Hochachka</w:t>
      </w:r>
      <w:proofErr w:type="spellEnd"/>
      <w:r w:rsidRPr="00BF3CA7">
        <w:t xml:space="preserve">, W. M., Ruiz-Gutierrez, V., Robinson, O. J., Miller, E. T., Auer, T., </w:t>
      </w:r>
      <w:proofErr w:type="spellStart"/>
      <w:r w:rsidRPr="00BF3CA7">
        <w:t>Kelling</w:t>
      </w:r>
      <w:proofErr w:type="spellEnd"/>
      <w:r w:rsidRPr="00BF3CA7">
        <w:t xml:space="preserve">, S., Fink, D., &amp; Johnston, A. (2023). </w:t>
      </w:r>
      <w:r w:rsidRPr="00BF3CA7">
        <w:rPr>
          <w:i/>
          <w:iCs/>
        </w:rPr>
        <w:t>Best Practices for Using eBird Data: Vol. Version 2.0</w:t>
      </w:r>
      <w:r w:rsidRPr="00BF3CA7">
        <w:t>. Cornell Lab of Ornithology. https://doi.org/10.5281/zenodo.3620739</w:t>
      </w:r>
    </w:p>
    <w:p w14:paraId="554BD25B" w14:textId="77777777" w:rsidR="00BF3CA7" w:rsidRPr="00BF3CA7" w:rsidRDefault="00BF3CA7" w:rsidP="00BF3CA7">
      <w:pPr>
        <w:pStyle w:val="Bibliography"/>
      </w:pPr>
      <w:r w:rsidRPr="00BF3CA7">
        <w:t xml:space="preserve">Sullivan, B. L., Wood, C. L., Iliff, M. J., Bonney, R. E., Fink, D., &amp; </w:t>
      </w:r>
      <w:proofErr w:type="spellStart"/>
      <w:r w:rsidRPr="00BF3CA7">
        <w:t>Kelling</w:t>
      </w:r>
      <w:proofErr w:type="spellEnd"/>
      <w:r w:rsidRPr="00BF3CA7">
        <w:t xml:space="preserve">, S. (2009). eBird: A citizen-based bird observation network in the biological sciences. </w:t>
      </w:r>
      <w:r w:rsidRPr="00BF3CA7">
        <w:rPr>
          <w:i/>
          <w:iCs/>
        </w:rPr>
        <w:t>Biological Conservation</w:t>
      </w:r>
      <w:r w:rsidRPr="00BF3CA7">
        <w:t xml:space="preserve">, </w:t>
      </w:r>
      <w:r w:rsidRPr="00BF3CA7">
        <w:rPr>
          <w:i/>
          <w:iCs/>
        </w:rPr>
        <w:t>142</w:t>
      </w:r>
      <w:r w:rsidRPr="00BF3CA7">
        <w:t>(10), 2282–2292. https://doi.org/10.1016/j.biocon.2009.05.006</w:t>
      </w:r>
    </w:p>
    <w:p w14:paraId="58D1D7AE" w14:textId="77777777" w:rsidR="00BF3CA7" w:rsidRPr="00BF3CA7" w:rsidRDefault="00BF3CA7" w:rsidP="00BF3CA7">
      <w:pPr>
        <w:pStyle w:val="Bibliography"/>
      </w:pPr>
      <w:r w:rsidRPr="00BF3CA7">
        <w:t xml:space="preserve">Svenning, J., Gravel, D., Holt, R. D., Schurr, F. M., </w:t>
      </w:r>
      <w:proofErr w:type="spellStart"/>
      <w:r w:rsidRPr="00BF3CA7">
        <w:t>Thuiller</w:t>
      </w:r>
      <w:proofErr w:type="spellEnd"/>
      <w:r w:rsidRPr="00BF3CA7">
        <w:t xml:space="preserve">, W., </w:t>
      </w:r>
      <w:proofErr w:type="spellStart"/>
      <w:r w:rsidRPr="00BF3CA7">
        <w:t>Münkemüller</w:t>
      </w:r>
      <w:proofErr w:type="spellEnd"/>
      <w:r w:rsidRPr="00BF3CA7">
        <w:t xml:space="preserve">, T., </w:t>
      </w:r>
      <w:proofErr w:type="spellStart"/>
      <w:r w:rsidRPr="00BF3CA7">
        <w:t>Schiffers</w:t>
      </w:r>
      <w:proofErr w:type="spellEnd"/>
      <w:r w:rsidRPr="00BF3CA7">
        <w:t xml:space="preserve">, K. H., Dullinger, S., Edwards, T. C., </w:t>
      </w:r>
      <w:proofErr w:type="spellStart"/>
      <w:r w:rsidRPr="00BF3CA7">
        <w:t>Hickler</w:t>
      </w:r>
      <w:proofErr w:type="spellEnd"/>
      <w:r w:rsidRPr="00BF3CA7">
        <w:t xml:space="preserve">, T., Higgins, S. I., Nabel, J. E. M. S., Pagel, J., &amp; Normand, S. (2014). The influence of interspecific interactions on species range expansion rates. </w:t>
      </w:r>
      <w:proofErr w:type="spellStart"/>
      <w:r w:rsidRPr="00BF3CA7">
        <w:rPr>
          <w:i/>
          <w:iCs/>
        </w:rPr>
        <w:t>Ecography</w:t>
      </w:r>
      <w:proofErr w:type="spellEnd"/>
      <w:r w:rsidRPr="00BF3CA7">
        <w:t xml:space="preserve">, </w:t>
      </w:r>
      <w:r w:rsidRPr="00BF3CA7">
        <w:rPr>
          <w:i/>
          <w:iCs/>
        </w:rPr>
        <w:t>37</w:t>
      </w:r>
      <w:r w:rsidRPr="00BF3CA7">
        <w:t>(12), 1198–1209. https://doi.org/10.1111/j.1600-0587.2013.00574.x</w:t>
      </w:r>
    </w:p>
    <w:p w14:paraId="054C1A43" w14:textId="77777777" w:rsidR="00BF3CA7" w:rsidRPr="00BF3CA7" w:rsidRDefault="00BF3CA7" w:rsidP="00BF3CA7">
      <w:pPr>
        <w:pStyle w:val="Bibliography"/>
      </w:pPr>
      <w:proofErr w:type="spellStart"/>
      <w:r w:rsidRPr="00BF3CA7">
        <w:t>Tylianakis</w:t>
      </w:r>
      <w:proofErr w:type="spellEnd"/>
      <w:r w:rsidRPr="00BF3CA7">
        <w:t xml:space="preserve">, J. M., </w:t>
      </w:r>
      <w:proofErr w:type="spellStart"/>
      <w:r w:rsidRPr="00BF3CA7">
        <w:t>Didham</w:t>
      </w:r>
      <w:proofErr w:type="spellEnd"/>
      <w:r w:rsidRPr="00BF3CA7">
        <w:t xml:space="preserve">, R. K., </w:t>
      </w:r>
      <w:proofErr w:type="spellStart"/>
      <w:r w:rsidRPr="00BF3CA7">
        <w:t>Bascompte</w:t>
      </w:r>
      <w:proofErr w:type="spellEnd"/>
      <w:r w:rsidRPr="00BF3CA7">
        <w:t xml:space="preserve">, J., &amp; Wardle, D. A. (2008). Global change and species interactions in terrestrial ecosystems. </w:t>
      </w:r>
      <w:r w:rsidRPr="00BF3CA7">
        <w:rPr>
          <w:i/>
          <w:iCs/>
        </w:rPr>
        <w:t>Ecology Letters</w:t>
      </w:r>
      <w:r w:rsidRPr="00BF3CA7">
        <w:t xml:space="preserve">, </w:t>
      </w:r>
      <w:r w:rsidRPr="00BF3CA7">
        <w:rPr>
          <w:i/>
          <w:iCs/>
        </w:rPr>
        <w:t>11</w:t>
      </w:r>
      <w:r w:rsidRPr="00BF3CA7">
        <w:t>(12), 1351–1363. https://doi.org/10.1111/j.1461-0248.2008.01250.x</w:t>
      </w:r>
    </w:p>
    <w:p w14:paraId="53982CF8" w14:textId="77777777" w:rsidR="00BF3CA7" w:rsidRPr="00BF3CA7" w:rsidRDefault="00BF3CA7" w:rsidP="00BF3CA7">
      <w:pPr>
        <w:pStyle w:val="Bibliography"/>
      </w:pPr>
      <w:r w:rsidRPr="00BF3CA7">
        <w:t xml:space="preserve">Valiente‐Banuet, A., Aizen, M. A., Alcántara, J. M., Arroyo, J., </w:t>
      </w:r>
      <w:proofErr w:type="spellStart"/>
      <w:r w:rsidRPr="00BF3CA7">
        <w:t>Cocucci</w:t>
      </w:r>
      <w:proofErr w:type="spellEnd"/>
      <w:r w:rsidRPr="00BF3CA7">
        <w:t xml:space="preserve">, A., Galetti, M., García, M. B., García, D., Gómez, J. M., Jordano, P., Medel, R., Navarro, L., Obeso, J. R., Oviedo, R., Ramírez, N., Rey, P. J., </w:t>
      </w:r>
      <w:proofErr w:type="spellStart"/>
      <w:r w:rsidRPr="00BF3CA7">
        <w:t>Traveset</w:t>
      </w:r>
      <w:proofErr w:type="spellEnd"/>
      <w:r w:rsidRPr="00BF3CA7">
        <w:t xml:space="preserve">, A., Verdú, M., &amp; Zamora, R. (2015). Beyond species loss: The extinction of ecological interactions in a changing world. </w:t>
      </w:r>
      <w:r w:rsidRPr="00BF3CA7">
        <w:rPr>
          <w:i/>
          <w:iCs/>
        </w:rPr>
        <w:t>Functional Ecology</w:t>
      </w:r>
      <w:r w:rsidRPr="00BF3CA7">
        <w:t xml:space="preserve">, </w:t>
      </w:r>
      <w:r w:rsidRPr="00BF3CA7">
        <w:rPr>
          <w:i/>
          <w:iCs/>
        </w:rPr>
        <w:t>29</w:t>
      </w:r>
      <w:r w:rsidRPr="00BF3CA7">
        <w:t>(3), 299–307. https://doi.org/10.1111/1365-2435.12356</w:t>
      </w:r>
    </w:p>
    <w:p w14:paraId="1001FB84" w14:textId="77777777" w:rsidR="00BF3CA7" w:rsidRPr="00BF3CA7" w:rsidRDefault="00BF3CA7" w:rsidP="00BF3CA7">
      <w:pPr>
        <w:pStyle w:val="Bibliography"/>
      </w:pPr>
      <w:r w:rsidRPr="00BF3CA7">
        <w:t xml:space="preserve">Van Lanen, N. J., Monroe, A. P., &amp; Aldridge, C. L. (2023). A hidden cost of single species management: Habitat-relationships reveal potential negative effects of conifer removal on </w:t>
      </w:r>
      <w:r w:rsidRPr="00BF3CA7">
        <w:lastRenderedPageBreak/>
        <w:t xml:space="preserve">a non-target species. </w:t>
      </w:r>
      <w:r w:rsidRPr="00BF3CA7">
        <w:rPr>
          <w:i/>
          <w:iCs/>
        </w:rPr>
        <w:t>Biological Conservation</w:t>
      </w:r>
      <w:r w:rsidRPr="00BF3CA7">
        <w:t xml:space="preserve">, </w:t>
      </w:r>
      <w:r w:rsidRPr="00BF3CA7">
        <w:rPr>
          <w:i/>
          <w:iCs/>
        </w:rPr>
        <w:t>280</w:t>
      </w:r>
      <w:r w:rsidRPr="00BF3CA7">
        <w:t>, 109959. https://doi.org/10.1016/j.biocon.2023.109959</w:t>
      </w:r>
    </w:p>
    <w:p w14:paraId="371AAD21" w14:textId="77777777" w:rsidR="00BF3CA7" w:rsidRPr="00BF3CA7" w:rsidRDefault="00BF3CA7" w:rsidP="00BF3CA7">
      <w:pPr>
        <w:pStyle w:val="Bibliography"/>
      </w:pPr>
      <w:r w:rsidRPr="00BF3CA7">
        <w:t xml:space="preserve">Vander Wall, S. B. (2010). How plants manipulate the scatter-hoarding </w:t>
      </w:r>
      <w:proofErr w:type="spellStart"/>
      <w:r w:rsidRPr="00BF3CA7">
        <w:t>behaviour</w:t>
      </w:r>
      <w:proofErr w:type="spellEnd"/>
      <w:r w:rsidRPr="00BF3CA7">
        <w:t xml:space="preserve"> of seed-dispersing animals. </w:t>
      </w:r>
      <w:r w:rsidRPr="00BF3CA7">
        <w:rPr>
          <w:i/>
          <w:iCs/>
        </w:rPr>
        <w:t>Philosophical Transactions of the Royal Society B: Biological Sciences</w:t>
      </w:r>
      <w:r w:rsidRPr="00BF3CA7">
        <w:t xml:space="preserve">, </w:t>
      </w:r>
      <w:r w:rsidRPr="00BF3CA7">
        <w:rPr>
          <w:i/>
          <w:iCs/>
        </w:rPr>
        <w:t>365</w:t>
      </w:r>
      <w:r w:rsidRPr="00BF3CA7">
        <w:t>(1542), 989–997. https://doi.org/10.1098/rstb.2009.0205</w:t>
      </w:r>
    </w:p>
    <w:p w14:paraId="15708AFB" w14:textId="77777777" w:rsidR="00BF3CA7" w:rsidRPr="00BF3CA7" w:rsidRDefault="00BF3CA7" w:rsidP="00BF3CA7">
      <w:pPr>
        <w:pStyle w:val="Bibliography"/>
      </w:pPr>
      <w:r w:rsidRPr="00BF3CA7">
        <w:t xml:space="preserve">Wauters, L. A., </w:t>
      </w:r>
      <w:proofErr w:type="spellStart"/>
      <w:r w:rsidRPr="00BF3CA7">
        <w:t>Githiru</w:t>
      </w:r>
      <w:proofErr w:type="spellEnd"/>
      <w:r w:rsidRPr="00BF3CA7">
        <w:t xml:space="preserve">, M., Bertolino, S., Molinari, A., Tosi, G., &amp; Lens, L. (2008). Demography of alpine red squirrel populations in relation to fluctuations in seed crop size. </w:t>
      </w:r>
      <w:proofErr w:type="spellStart"/>
      <w:r w:rsidRPr="00BF3CA7">
        <w:rPr>
          <w:i/>
          <w:iCs/>
        </w:rPr>
        <w:t>Ecography</w:t>
      </w:r>
      <w:proofErr w:type="spellEnd"/>
      <w:r w:rsidRPr="00BF3CA7">
        <w:t xml:space="preserve">, </w:t>
      </w:r>
      <w:r w:rsidRPr="00BF3CA7">
        <w:rPr>
          <w:i/>
          <w:iCs/>
        </w:rPr>
        <w:t>31</w:t>
      </w:r>
      <w:r w:rsidRPr="00BF3CA7">
        <w:t>(1), 104–114. https://doi.org/10.1111/j.2007.0906-7590.05251.x</w:t>
      </w:r>
    </w:p>
    <w:p w14:paraId="1990774F" w14:textId="77777777" w:rsidR="00BF3CA7" w:rsidRPr="00BF3CA7" w:rsidRDefault="00BF3CA7" w:rsidP="00BF3CA7">
      <w:pPr>
        <w:pStyle w:val="Bibliography"/>
      </w:pPr>
      <w:r w:rsidRPr="00BF3CA7">
        <w:t xml:space="preserve">Wiggins, D. A. (2005). </w:t>
      </w:r>
      <w:r w:rsidRPr="00BF3CA7">
        <w:rPr>
          <w:i/>
          <w:iCs/>
        </w:rPr>
        <w:t>Pinyon Jay (</w:t>
      </w:r>
      <w:proofErr w:type="spellStart"/>
      <w:r w:rsidRPr="00BF3CA7">
        <w:rPr>
          <w:i/>
          <w:iCs/>
        </w:rPr>
        <w:t>Gymnorhinus</w:t>
      </w:r>
      <w:proofErr w:type="spellEnd"/>
      <w:r w:rsidRPr="00BF3CA7">
        <w:rPr>
          <w:i/>
          <w:iCs/>
        </w:rPr>
        <w:t xml:space="preserve"> </w:t>
      </w:r>
      <w:proofErr w:type="spellStart"/>
      <w:r w:rsidRPr="00BF3CA7">
        <w:rPr>
          <w:i/>
          <w:iCs/>
        </w:rPr>
        <w:t>cyanocephalus</w:t>
      </w:r>
      <w:proofErr w:type="spellEnd"/>
      <w:r w:rsidRPr="00BF3CA7">
        <w:rPr>
          <w:i/>
          <w:iCs/>
        </w:rPr>
        <w:t>): A technical conservation assessment.</w:t>
      </w:r>
      <w:r w:rsidRPr="00BF3CA7">
        <w:t xml:space="preserve"> USDA Forest Service, Rocky Mountain Region. http://www.fs.fed.us/r2/projects/scp/assessments/pinyonjay.pdf</w:t>
      </w:r>
    </w:p>
    <w:p w14:paraId="563DC70C" w14:textId="77777777" w:rsidR="00BF3CA7" w:rsidRPr="00BF3CA7" w:rsidRDefault="00BF3CA7" w:rsidP="00BF3CA7">
      <w:pPr>
        <w:pStyle w:val="Bibliography"/>
      </w:pPr>
      <w:r w:rsidRPr="00BF3CA7">
        <w:t xml:space="preserve">Williams, A. P., Cook, B. I., &amp; Smerdon, J. E. (2022). Rapid intensification of the emerging southwestern North American megadrought in 2020–2021. </w:t>
      </w:r>
      <w:r w:rsidRPr="00BF3CA7">
        <w:rPr>
          <w:i/>
          <w:iCs/>
        </w:rPr>
        <w:t>Nature Climate Change</w:t>
      </w:r>
      <w:r w:rsidRPr="00BF3CA7">
        <w:t xml:space="preserve">, </w:t>
      </w:r>
      <w:r w:rsidRPr="00BF3CA7">
        <w:rPr>
          <w:i/>
          <w:iCs/>
        </w:rPr>
        <w:t>12</w:t>
      </w:r>
      <w:r w:rsidRPr="00BF3CA7">
        <w:t>(3), 232–234. https://doi.org/10.1038/s41558-022-01290-z</w:t>
      </w:r>
    </w:p>
    <w:p w14:paraId="1B09FDCA" w14:textId="77777777" w:rsidR="00BF3CA7" w:rsidRPr="00BF3CA7" w:rsidRDefault="00BF3CA7" w:rsidP="00BF3CA7">
      <w:pPr>
        <w:pStyle w:val="Bibliography"/>
      </w:pPr>
      <w:r w:rsidRPr="00BF3CA7">
        <w:t xml:space="preserve">Wilson, B. T., Lister, A. J., Riemann, R. I., &amp; Griffith, D. M. (2013). </w:t>
      </w:r>
      <w:r w:rsidRPr="00BF3CA7">
        <w:rPr>
          <w:i/>
          <w:iCs/>
        </w:rPr>
        <w:t>Live tree species basal area of the contiguous United States (2000-2009)</w:t>
      </w:r>
      <w:r w:rsidRPr="00BF3CA7">
        <w:t xml:space="preserve"> [Dataset]. Forest Service Research Data Archive. https://doi.org/10.2737/RDS-2013-0013</w:t>
      </w:r>
    </w:p>
    <w:p w14:paraId="6959ED78" w14:textId="77777777" w:rsidR="00BF3CA7" w:rsidRPr="00BF3CA7" w:rsidRDefault="00BF3CA7" w:rsidP="00BF3CA7">
      <w:pPr>
        <w:pStyle w:val="Bibliography"/>
      </w:pPr>
      <w:r w:rsidRPr="00BF3CA7">
        <w:t xml:space="preserve">Wion, A. P., Pearse, I. S., Broxson, M., &amp; Redmond, M. D. (2025). Mast hindcasts reveal pervasive effects of extreme drought on a foundational conifer species. </w:t>
      </w:r>
      <w:r w:rsidRPr="00BF3CA7">
        <w:rPr>
          <w:i/>
          <w:iCs/>
        </w:rPr>
        <w:t>New Phytologist</w:t>
      </w:r>
      <w:r w:rsidRPr="00BF3CA7">
        <w:t xml:space="preserve">, </w:t>
      </w:r>
      <w:r w:rsidRPr="00BF3CA7">
        <w:rPr>
          <w:i/>
          <w:iCs/>
        </w:rPr>
        <w:t>246</w:t>
      </w:r>
      <w:r w:rsidRPr="00BF3CA7">
        <w:t>(2), 450–460. https://doi.org/10.1111/nph.20321</w:t>
      </w:r>
    </w:p>
    <w:p w14:paraId="39F8128D" w14:textId="77777777" w:rsidR="00BF3CA7" w:rsidRPr="00BF3CA7" w:rsidRDefault="00BF3CA7" w:rsidP="00BF3CA7">
      <w:pPr>
        <w:pStyle w:val="Bibliography"/>
      </w:pPr>
      <w:r w:rsidRPr="00BF3CA7">
        <w:t xml:space="preserve">Wion, A. P., Weisberg, P. J., Pearse, I. S., &amp; Redmond, M. D. (2020). Aridity drives spatiotemporal patterns of masting across the latitudinal range of a dryland conifer. </w:t>
      </w:r>
      <w:proofErr w:type="spellStart"/>
      <w:r w:rsidRPr="00BF3CA7">
        <w:rPr>
          <w:i/>
          <w:iCs/>
        </w:rPr>
        <w:t>Ecography</w:t>
      </w:r>
      <w:proofErr w:type="spellEnd"/>
      <w:r w:rsidRPr="00BF3CA7">
        <w:t xml:space="preserve">, </w:t>
      </w:r>
      <w:r w:rsidRPr="00BF3CA7">
        <w:rPr>
          <w:i/>
          <w:iCs/>
        </w:rPr>
        <w:t>43</w:t>
      </w:r>
      <w:r w:rsidRPr="00BF3CA7">
        <w:t>(4), 569–580. https://doi.org/10.1111/ecog.04856</w:t>
      </w:r>
    </w:p>
    <w:p w14:paraId="63350F03" w14:textId="7CEC6BA8" w:rsidR="00482FFC" w:rsidRPr="00482FFC" w:rsidRDefault="0019106D" w:rsidP="00D12F4E">
      <w:pPr>
        <w:pStyle w:val="Bibliography"/>
        <w:ind w:left="0" w:firstLine="0"/>
        <w:rPr>
          <w:b/>
          <w:bCs/>
        </w:rPr>
      </w:pPr>
      <w:r>
        <w:rPr>
          <w:b/>
          <w:bCs/>
        </w:rPr>
        <w:lastRenderedPageBreak/>
        <w:fldChar w:fldCharType="end"/>
      </w:r>
    </w:p>
    <w:sectPr w:rsidR="00482FFC" w:rsidRPr="00482FFC" w:rsidSect="00167C71">
      <w:pgSz w:w="12240" w:h="15840"/>
      <w:pgMar w:top="1440" w:right="1440" w:bottom="1440" w:left="1440" w:header="720" w:footer="720" w:gutter="0"/>
      <w:lnNumType w:countBy="1" w:restart="continuous"/>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Ana Teresa Miller ter Kuile" w:date="2025-05-14T15:30:00Z" w:initials="AK">
    <w:p w14:paraId="249DF32B" w14:textId="751EE0D7" w:rsidR="00A63129" w:rsidRDefault="00A63129" w:rsidP="00A63129">
      <w:r>
        <w:annotationRef/>
      </w:r>
      <w:r w:rsidRPr="33602D50">
        <w:t>will be generating this prior to submission</w:t>
      </w:r>
    </w:p>
  </w:comment>
  <w:comment w:id="12" w:author="Kiona Ogle" w:date="2026-01-16T14:31:00Z" w:initials="KO">
    <w:p w14:paraId="261D069D" w14:textId="210F41AC" w:rsidR="007D3A5B" w:rsidRDefault="007D3A5B" w:rsidP="007D3A5B">
      <w:pPr>
        <w:pStyle w:val="CommentText"/>
      </w:pPr>
      <w:r>
        <w:rPr>
          <w:rStyle w:val="CommentReference"/>
        </w:rPr>
        <w:annotationRef/>
      </w:r>
      <w:r>
        <w:t>Make sure all references are formatted correctly and not missing information. I see some pub titles that have incorrect capitalization, which needs to be corrected in your reference software.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9DF32B" w15:done="0"/>
  <w15:commentEx w15:paraId="261D06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E235D0" w16cex:dateUtc="2025-05-14T22:30:00Z"/>
  <w16cex:commentExtensible w16cex:durableId="6708DD73" w16cex:dateUtc="2026-01-16T21: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9DF32B" w16cid:durableId="58E235D0"/>
  <w16cid:commentId w16cid:paraId="261D069D" w16cid:durableId="6708DD7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25373" w14:textId="77777777" w:rsidR="007619DD" w:rsidRDefault="007619DD">
      <w:pPr>
        <w:spacing w:after="0"/>
      </w:pPr>
      <w:r>
        <w:separator/>
      </w:r>
    </w:p>
  </w:endnote>
  <w:endnote w:type="continuationSeparator" w:id="0">
    <w:p w14:paraId="2F877BC1" w14:textId="77777777" w:rsidR="007619DD" w:rsidRDefault="007619D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43343738"/>
      <w:docPartObj>
        <w:docPartGallery w:val="Page Numbers (Bottom of Page)"/>
        <w:docPartUnique/>
      </w:docPartObj>
    </w:sdtPr>
    <w:sdtContent>
      <w:p w14:paraId="1ADB0209" w14:textId="2B2963DF" w:rsidR="00167C71" w:rsidRDefault="00167C71" w:rsidP="00AD710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C55E4">
          <w:rPr>
            <w:rStyle w:val="PageNumber"/>
            <w:noProof/>
          </w:rPr>
          <w:t>5</w:t>
        </w:r>
        <w:r>
          <w:rPr>
            <w:rStyle w:val="PageNumber"/>
          </w:rPr>
          <w:fldChar w:fldCharType="end"/>
        </w:r>
      </w:p>
    </w:sdtContent>
  </w:sdt>
  <w:p w14:paraId="5EE9DEDF" w14:textId="77777777" w:rsidR="00167C71" w:rsidRDefault="00167C71" w:rsidP="00167C71">
    <w:pPr>
      <w:pStyle w:val="Footer"/>
      <w:ind w:right="360"/>
    </w:pPr>
  </w:p>
  <w:p w14:paraId="4D17F56A" w14:textId="77777777" w:rsidR="00ED4EEA" w:rsidRDefault="00ED4EEA"/>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9240881"/>
      <w:docPartObj>
        <w:docPartGallery w:val="Page Numbers (Bottom of Page)"/>
        <w:docPartUnique/>
      </w:docPartObj>
    </w:sdtPr>
    <w:sdtContent>
      <w:p w14:paraId="3D6D369F" w14:textId="77777777" w:rsidR="00167C71" w:rsidRDefault="00167C71" w:rsidP="00AD710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1D54E73" w14:textId="77777777" w:rsidR="00167C71" w:rsidRDefault="00167C71" w:rsidP="00167C71">
    <w:pPr>
      <w:pStyle w:val="Footer"/>
      <w:ind w:right="360"/>
    </w:pPr>
  </w:p>
  <w:p w14:paraId="0F2F5FB5" w14:textId="77777777" w:rsidR="00ED4EEA" w:rsidRDefault="00ED4EE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3214B1" w14:textId="77777777" w:rsidR="007619DD" w:rsidRDefault="007619DD">
      <w:pPr>
        <w:spacing w:after="0"/>
      </w:pPr>
      <w:r>
        <w:separator/>
      </w:r>
    </w:p>
  </w:footnote>
  <w:footnote w:type="continuationSeparator" w:id="0">
    <w:p w14:paraId="1C6CBD7E" w14:textId="77777777" w:rsidR="007619DD" w:rsidRDefault="007619D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F7CE98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D8885546"/>
    <w:lvl w:ilvl="0">
      <w:start w:val="1"/>
      <w:numFmt w:val="decimal"/>
      <w:lvlText w:val="%1."/>
      <w:lvlJc w:val="left"/>
      <w:pPr>
        <w:ind w:left="480" w:hanging="480"/>
      </w:pPr>
    </w:lvl>
    <w:lvl w:ilvl="1">
      <w:start w:val="1"/>
      <w:numFmt w:val="decimal"/>
      <w:lvlText w:val="%2."/>
      <w:lvlJc w:val="left"/>
      <w:pPr>
        <w:ind w:left="1200" w:hanging="480"/>
      </w:pPr>
    </w:lvl>
    <w:lvl w:ilvl="2">
      <w:start w:val="1"/>
      <w:numFmt w:val="decimal"/>
      <w:lvlText w:val="%3."/>
      <w:lvlJc w:val="left"/>
      <w:pPr>
        <w:ind w:left="1920" w:hanging="480"/>
      </w:pPr>
    </w:lvl>
    <w:lvl w:ilvl="3">
      <w:start w:val="1"/>
      <w:numFmt w:val="decimal"/>
      <w:lvlText w:val="%4."/>
      <w:lvlJc w:val="left"/>
      <w:pPr>
        <w:ind w:left="2640" w:hanging="480"/>
      </w:pPr>
    </w:lvl>
    <w:lvl w:ilvl="4">
      <w:start w:val="1"/>
      <w:numFmt w:val="decimal"/>
      <w:lvlText w:val="%5."/>
      <w:lvlJc w:val="left"/>
      <w:pPr>
        <w:ind w:left="3360" w:hanging="480"/>
      </w:pPr>
    </w:lvl>
    <w:lvl w:ilvl="5">
      <w:start w:val="1"/>
      <w:numFmt w:val="decimal"/>
      <w:lvlText w:val="%6."/>
      <w:lvlJc w:val="left"/>
      <w:pPr>
        <w:ind w:left="4080" w:hanging="480"/>
      </w:pPr>
    </w:lvl>
    <w:lvl w:ilvl="6">
      <w:start w:val="1"/>
      <w:numFmt w:val="decimal"/>
      <w:lvlText w:val="%7."/>
      <w:lvlJc w:val="left"/>
      <w:pPr>
        <w:ind w:left="4800" w:hanging="480"/>
      </w:pPr>
    </w:lvl>
    <w:lvl w:ilvl="7">
      <w:start w:val="1"/>
      <w:numFmt w:val="decimal"/>
      <w:lvlText w:val="%8."/>
      <w:lvlJc w:val="left"/>
      <w:pPr>
        <w:ind w:left="5520" w:hanging="480"/>
      </w:pPr>
    </w:lvl>
    <w:lvl w:ilvl="8">
      <w:start w:val="1"/>
      <w:numFmt w:val="decimal"/>
      <w:lvlText w:val="%9."/>
      <w:lvlJc w:val="left"/>
      <w:pPr>
        <w:ind w:left="6240" w:hanging="480"/>
      </w:pPr>
    </w:lvl>
  </w:abstractNum>
  <w:abstractNum w:abstractNumId="2" w15:restartNumberingAfterBreak="0">
    <w:nsid w:val="170CD2DE"/>
    <w:multiLevelType w:val="multilevel"/>
    <w:tmpl w:val="FBAE0E6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23507B96"/>
    <w:multiLevelType w:val="hybridMultilevel"/>
    <w:tmpl w:val="ED6273AE"/>
    <w:lvl w:ilvl="0" w:tplc="7C009776">
      <w:start w:val="1"/>
      <w:numFmt w:val="decimal"/>
      <w:lvlText w:val="%1)"/>
      <w:lvlJc w:val="left"/>
      <w:pPr>
        <w:ind w:left="1020" w:hanging="360"/>
      </w:pPr>
    </w:lvl>
    <w:lvl w:ilvl="1" w:tplc="257A1436">
      <w:start w:val="1"/>
      <w:numFmt w:val="decimal"/>
      <w:lvlText w:val="%2)"/>
      <w:lvlJc w:val="left"/>
      <w:pPr>
        <w:ind w:left="1020" w:hanging="360"/>
      </w:pPr>
    </w:lvl>
    <w:lvl w:ilvl="2" w:tplc="B28E8A6E">
      <w:start w:val="1"/>
      <w:numFmt w:val="decimal"/>
      <w:lvlText w:val="%3)"/>
      <w:lvlJc w:val="left"/>
      <w:pPr>
        <w:ind w:left="1020" w:hanging="360"/>
      </w:pPr>
    </w:lvl>
    <w:lvl w:ilvl="3" w:tplc="36826F6E">
      <w:start w:val="1"/>
      <w:numFmt w:val="decimal"/>
      <w:lvlText w:val="%4)"/>
      <w:lvlJc w:val="left"/>
      <w:pPr>
        <w:ind w:left="1020" w:hanging="360"/>
      </w:pPr>
    </w:lvl>
    <w:lvl w:ilvl="4" w:tplc="34E82EB0">
      <w:start w:val="1"/>
      <w:numFmt w:val="decimal"/>
      <w:lvlText w:val="%5)"/>
      <w:lvlJc w:val="left"/>
      <w:pPr>
        <w:ind w:left="1020" w:hanging="360"/>
      </w:pPr>
    </w:lvl>
    <w:lvl w:ilvl="5" w:tplc="771497C8">
      <w:start w:val="1"/>
      <w:numFmt w:val="decimal"/>
      <w:lvlText w:val="%6)"/>
      <w:lvlJc w:val="left"/>
      <w:pPr>
        <w:ind w:left="1020" w:hanging="360"/>
      </w:pPr>
    </w:lvl>
    <w:lvl w:ilvl="6" w:tplc="40D6C93C">
      <w:start w:val="1"/>
      <w:numFmt w:val="decimal"/>
      <w:lvlText w:val="%7)"/>
      <w:lvlJc w:val="left"/>
      <w:pPr>
        <w:ind w:left="1020" w:hanging="360"/>
      </w:pPr>
    </w:lvl>
    <w:lvl w:ilvl="7" w:tplc="8F30A4A2">
      <w:start w:val="1"/>
      <w:numFmt w:val="decimal"/>
      <w:lvlText w:val="%8)"/>
      <w:lvlJc w:val="left"/>
      <w:pPr>
        <w:ind w:left="1020" w:hanging="360"/>
      </w:pPr>
    </w:lvl>
    <w:lvl w:ilvl="8" w:tplc="76D06E38">
      <w:start w:val="1"/>
      <w:numFmt w:val="decimal"/>
      <w:lvlText w:val="%9)"/>
      <w:lvlJc w:val="left"/>
      <w:pPr>
        <w:ind w:left="1020" w:hanging="360"/>
      </w:pPr>
    </w:lvl>
  </w:abstractNum>
  <w:abstractNum w:abstractNumId="4" w15:restartNumberingAfterBreak="0">
    <w:nsid w:val="76A329A5"/>
    <w:multiLevelType w:val="hybridMultilevel"/>
    <w:tmpl w:val="AC76B924"/>
    <w:lvl w:ilvl="0" w:tplc="3C482A12">
      <w:start w:val="1"/>
      <w:numFmt w:val="decimal"/>
      <w:lvlText w:val="%1)"/>
      <w:lvlJc w:val="left"/>
      <w:pPr>
        <w:ind w:left="1020" w:hanging="360"/>
      </w:pPr>
    </w:lvl>
    <w:lvl w:ilvl="1" w:tplc="5CE8BB2C">
      <w:start w:val="1"/>
      <w:numFmt w:val="decimal"/>
      <w:lvlText w:val="%2)"/>
      <w:lvlJc w:val="left"/>
      <w:pPr>
        <w:ind w:left="1020" w:hanging="360"/>
      </w:pPr>
    </w:lvl>
    <w:lvl w:ilvl="2" w:tplc="156E7B34">
      <w:start w:val="1"/>
      <w:numFmt w:val="decimal"/>
      <w:lvlText w:val="%3)"/>
      <w:lvlJc w:val="left"/>
      <w:pPr>
        <w:ind w:left="1020" w:hanging="360"/>
      </w:pPr>
    </w:lvl>
    <w:lvl w:ilvl="3" w:tplc="1BC25C98">
      <w:start w:val="1"/>
      <w:numFmt w:val="decimal"/>
      <w:lvlText w:val="%4)"/>
      <w:lvlJc w:val="left"/>
      <w:pPr>
        <w:ind w:left="1020" w:hanging="360"/>
      </w:pPr>
    </w:lvl>
    <w:lvl w:ilvl="4" w:tplc="9D8EB642">
      <w:start w:val="1"/>
      <w:numFmt w:val="decimal"/>
      <w:lvlText w:val="%5)"/>
      <w:lvlJc w:val="left"/>
      <w:pPr>
        <w:ind w:left="1020" w:hanging="360"/>
      </w:pPr>
    </w:lvl>
    <w:lvl w:ilvl="5" w:tplc="9AE260B4">
      <w:start w:val="1"/>
      <w:numFmt w:val="decimal"/>
      <w:lvlText w:val="%6)"/>
      <w:lvlJc w:val="left"/>
      <w:pPr>
        <w:ind w:left="1020" w:hanging="360"/>
      </w:pPr>
    </w:lvl>
    <w:lvl w:ilvl="6" w:tplc="2F44CDAC">
      <w:start w:val="1"/>
      <w:numFmt w:val="decimal"/>
      <w:lvlText w:val="%7)"/>
      <w:lvlJc w:val="left"/>
      <w:pPr>
        <w:ind w:left="1020" w:hanging="360"/>
      </w:pPr>
    </w:lvl>
    <w:lvl w:ilvl="7" w:tplc="DD64F5A0">
      <w:start w:val="1"/>
      <w:numFmt w:val="decimal"/>
      <w:lvlText w:val="%8)"/>
      <w:lvlJc w:val="left"/>
      <w:pPr>
        <w:ind w:left="1020" w:hanging="360"/>
      </w:pPr>
    </w:lvl>
    <w:lvl w:ilvl="8" w:tplc="A9385F10">
      <w:start w:val="1"/>
      <w:numFmt w:val="decimal"/>
      <w:lvlText w:val="%9)"/>
      <w:lvlJc w:val="left"/>
      <w:pPr>
        <w:ind w:left="1020" w:hanging="360"/>
      </w:pPr>
    </w:lvl>
  </w:abstractNum>
  <w:num w:numId="1" w16cid:durableId="1651514795">
    <w:abstractNumId w:val="2"/>
  </w:num>
  <w:num w:numId="2" w16cid:durableId="1441146044">
    <w:abstractNumId w:val="0"/>
  </w:num>
  <w:num w:numId="3" w16cid:durableId="195050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19163685">
    <w:abstractNumId w:val="3"/>
  </w:num>
  <w:num w:numId="5" w16cid:durableId="51684601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a Teresa Miller ter Kuile">
    <w15:presenceInfo w15:providerId="AD" w15:userId="S::ana.miller-ter-kuile@nau.edu::f05f7ea4-c99a-402b-8c05-7689738ab6c0"/>
  </w15:person>
  <w15:person w15:author="Kiona Ogle">
    <w15:presenceInfo w15:providerId="AD" w15:userId="S::Kiona.Ogle@nau.edu::38df18cf-0f00-4a01-bbff-aa9af4ea00e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0D8"/>
    <w:rsid w:val="000032E0"/>
    <w:rsid w:val="000042D2"/>
    <w:rsid w:val="000062B8"/>
    <w:rsid w:val="00017D05"/>
    <w:rsid w:val="0002057B"/>
    <w:rsid w:val="00027875"/>
    <w:rsid w:val="0003237A"/>
    <w:rsid w:val="00033D47"/>
    <w:rsid w:val="0003459F"/>
    <w:rsid w:val="0003608C"/>
    <w:rsid w:val="000361A4"/>
    <w:rsid w:val="00040BEC"/>
    <w:rsid w:val="00041FCB"/>
    <w:rsid w:val="000429E8"/>
    <w:rsid w:val="00044EBB"/>
    <w:rsid w:val="00045E2E"/>
    <w:rsid w:val="000473DE"/>
    <w:rsid w:val="0005263B"/>
    <w:rsid w:val="00052BC7"/>
    <w:rsid w:val="0005503F"/>
    <w:rsid w:val="00055DC4"/>
    <w:rsid w:val="00060FDD"/>
    <w:rsid w:val="00066F3A"/>
    <w:rsid w:val="0007162F"/>
    <w:rsid w:val="00075183"/>
    <w:rsid w:val="00084D6C"/>
    <w:rsid w:val="00085CB0"/>
    <w:rsid w:val="0008670E"/>
    <w:rsid w:val="00087686"/>
    <w:rsid w:val="00092E59"/>
    <w:rsid w:val="00095BA5"/>
    <w:rsid w:val="00095BB1"/>
    <w:rsid w:val="00097FDA"/>
    <w:rsid w:val="000A0DF7"/>
    <w:rsid w:val="000A3078"/>
    <w:rsid w:val="000A3268"/>
    <w:rsid w:val="000A515F"/>
    <w:rsid w:val="000B293B"/>
    <w:rsid w:val="000C10E5"/>
    <w:rsid w:val="000C1F3C"/>
    <w:rsid w:val="000C6F45"/>
    <w:rsid w:val="000D2862"/>
    <w:rsid w:val="000D4944"/>
    <w:rsid w:val="000D576B"/>
    <w:rsid w:val="000E0454"/>
    <w:rsid w:val="000E291F"/>
    <w:rsid w:val="000E6782"/>
    <w:rsid w:val="000F105A"/>
    <w:rsid w:val="000F1361"/>
    <w:rsid w:val="000F58CB"/>
    <w:rsid w:val="00100FEF"/>
    <w:rsid w:val="00101B8B"/>
    <w:rsid w:val="00106000"/>
    <w:rsid w:val="00112596"/>
    <w:rsid w:val="0011345D"/>
    <w:rsid w:val="001134E3"/>
    <w:rsid w:val="00114B4D"/>
    <w:rsid w:val="00117E82"/>
    <w:rsid w:val="00120D0B"/>
    <w:rsid w:val="00126373"/>
    <w:rsid w:val="00126AE2"/>
    <w:rsid w:val="001270A1"/>
    <w:rsid w:val="001278B6"/>
    <w:rsid w:val="00132C63"/>
    <w:rsid w:val="0013435E"/>
    <w:rsid w:val="00136F49"/>
    <w:rsid w:val="00137F43"/>
    <w:rsid w:val="00144A45"/>
    <w:rsid w:val="00144DD8"/>
    <w:rsid w:val="001533AB"/>
    <w:rsid w:val="001539DD"/>
    <w:rsid w:val="001567E0"/>
    <w:rsid w:val="0015719C"/>
    <w:rsid w:val="00163352"/>
    <w:rsid w:val="00164413"/>
    <w:rsid w:val="00164807"/>
    <w:rsid w:val="00167C71"/>
    <w:rsid w:val="00167D56"/>
    <w:rsid w:val="00167FA4"/>
    <w:rsid w:val="00170376"/>
    <w:rsid w:val="00172574"/>
    <w:rsid w:val="001732F2"/>
    <w:rsid w:val="00174DE0"/>
    <w:rsid w:val="00180953"/>
    <w:rsid w:val="00183C56"/>
    <w:rsid w:val="00185471"/>
    <w:rsid w:val="00186ED6"/>
    <w:rsid w:val="0019106D"/>
    <w:rsid w:val="001A1D21"/>
    <w:rsid w:val="001A2BA1"/>
    <w:rsid w:val="001A3F0C"/>
    <w:rsid w:val="001B1614"/>
    <w:rsid w:val="001B2070"/>
    <w:rsid w:val="001B2A36"/>
    <w:rsid w:val="001C0394"/>
    <w:rsid w:val="001C0B34"/>
    <w:rsid w:val="001C5D82"/>
    <w:rsid w:val="001C786B"/>
    <w:rsid w:val="001D587C"/>
    <w:rsid w:val="001D6AB7"/>
    <w:rsid w:val="001E115E"/>
    <w:rsid w:val="001E2CD1"/>
    <w:rsid w:val="001E49C9"/>
    <w:rsid w:val="001E6887"/>
    <w:rsid w:val="001F0F1C"/>
    <w:rsid w:val="001F33F2"/>
    <w:rsid w:val="001F4871"/>
    <w:rsid w:val="001F5D31"/>
    <w:rsid w:val="00201970"/>
    <w:rsid w:val="00201D20"/>
    <w:rsid w:val="00203A94"/>
    <w:rsid w:val="0020409F"/>
    <w:rsid w:val="00207146"/>
    <w:rsid w:val="00211B9B"/>
    <w:rsid w:val="00212B65"/>
    <w:rsid w:val="002130E2"/>
    <w:rsid w:val="00213B0C"/>
    <w:rsid w:val="002151D1"/>
    <w:rsid w:val="00220145"/>
    <w:rsid w:val="00221064"/>
    <w:rsid w:val="0022587B"/>
    <w:rsid w:val="002271A6"/>
    <w:rsid w:val="00232AF7"/>
    <w:rsid w:val="00236C22"/>
    <w:rsid w:val="002407CC"/>
    <w:rsid w:val="00240BE0"/>
    <w:rsid w:val="00241C08"/>
    <w:rsid w:val="00247FB8"/>
    <w:rsid w:val="00252CDA"/>
    <w:rsid w:val="002537F2"/>
    <w:rsid w:val="00274B0A"/>
    <w:rsid w:val="00275582"/>
    <w:rsid w:val="00281722"/>
    <w:rsid w:val="00282005"/>
    <w:rsid w:val="00287C85"/>
    <w:rsid w:val="00291DDF"/>
    <w:rsid w:val="002946CD"/>
    <w:rsid w:val="002A02DF"/>
    <w:rsid w:val="002A78F8"/>
    <w:rsid w:val="002B1C09"/>
    <w:rsid w:val="002B4D81"/>
    <w:rsid w:val="002B4F02"/>
    <w:rsid w:val="002B6119"/>
    <w:rsid w:val="002C0AB4"/>
    <w:rsid w:val="002C2F27"/>
    <w:rsid w:val="002C51E3"/>
    <w:rsid w:val="002C7452"/>
    <w:rsid w:val="002D0660"/>
    <w:rsid w:val="002D088D"/>
    <w:rsid w:val="002D59D0"/>
    <w:rsid w:val="002E03AA"/>
    <w:rsid w:val="002E059F"/>
    <w:rsid w:val="002E0719"/>
    <w:rsid w:val="002E21C0"/>
    <w:rsid w:val="002E297C"/>
    <w:rsid w:val="002E4972"/>
    <w:rsid w:val="002E6256"/>
    <w:rsid w:val="002E6AEF"/>
    <w:rsid w:val="002E7051"/>
    <w:rsid w:val="002F06B9"/>
    <w:rsid w:val="002F4A30"/>
    <w:rsid w:val="002F4C16"/>
    <w:rsid w:val="0030190A"/>
    <w:rsid w:val="0030246D"/>
    <w:rsid w:val="003031A3"/>
    <w:rsid w:val="00306013"/>
    <w:rsid w:val="00310A66"/>
    <w:rsid w:val="00314B1C"/>
    <w:rsid w:val="00315E09"/>
    <w:rsid w:val="00316DD4"/>
    <w:rsid w:val="003215D9"/>
    <w:rsid w:val="00321E93"/>
    <w:rsid w:val="0032401D"/>
    <w:rsid w:val="0033080B"/>
    <w:rsid w:val="00332E9D"/>
    <w:rsid w:val="00334D72"/>
    <w:rsid w:val="003405CF"/>
    <w:rsid w:val="00343DB2"/>
    <w:rsid w:val="00347BE8"/>
    <w:rsid w:val="0035031D"/>
    <w:rsid w:val="003541EC"/>
    <w:rsid w:val="00355557"/>
    <w:rsid w:val="00363179"/>
    <w:rsid w:val="00364CA8"/>
    <w:rsid w:val="0037FDDD"/>
    <w:rsid w:val="003800A1"/>
    <w:rsid w:val="0038517D"/>
    <w:rsid w:val="00391CEA"/>
    <w:rsid w:val="003971A1"/>
    <w:rsid w:val="003A2DC6"/>
    <w:rsid w:val="003A387F"/>
    <w:rsid w:val="003A4B20"/>
    <w:rsid w:val="003B0A5C"/>
    <w:rsid w:val="003B444C"/>
    <w:rsid w:val="003B53B7"/>
    <w:rsid w:val="003C5AF7"/>
    <w:rsid w:val="003C7683"/>
    <w:rsid w:val="003D1B61"/>
    <w:rsid w:val="003D3A9C"/>
    <w:rsid w:val="003D79BB"/>
    <w:rsid w:val="003E060B"/>
    <w:rsid w:val="003E0957"/>
    <w:rsid w:val="003F2E29"/>
    <w:rsid w:val="00401B97"/>
    <w:rsid w:val="00410872"/>
    <w:rsid w:val="00410EEF"/>
    <w:rsid w:val="00424DD0"/>
    <w:rsid w:val="00425D9D"/>
    <w:rsid w:val="00430E5C"/>
    <w:rsid w:val="00433D60"/>
    <w:rsid w:val="0043636C"/>
    <w:rsid w:val="00441A32"/>
    <w:rsid w:val="00443C58"/>
    <w:rsid w:val="004451D0"/>
    <w:rsid w:val="00447E7E"/>
    <w:rsid w:val="00447F19"/>
    <w:rsid w:val="00450279"/>
    <w:rsid w:val="00451E9A"/>
    <w:rsid w:val="00456A3F"/>
    <w:rsid w:val="00457DEA"/>
    <w:rsid w:val="00464FBB"/>
    <w:rsid w:val="00467B8C"/>
    <w:rsid w:val="00476451"/>
    <w:rsid w:val="0047671F"/>
    <w:rsid w:val="004778B7"/>
    <w:rsid w:val="004819E8"/>
    <w:rsid w:val="00482FFC"/>
    <w:rsid w:val="00493A20"/>
    <w:rsid w:val="00495C69"/>
    <w:rsid w:val="004A00EE"/>
    <w:rsid w:val="004A1F09"/>
    <w:rsid w:val="004A572E"/>
    <w:rsid w:val="004B339F"/>
    <w:rsid w:val="004B3824"/>
    <w:rsid w:val="004B4090"/>
    <w:rsid w:val="004C1B7B"/>
    <w:rsid w:val="004C5801"/>
    <w:rsid w:val="004D072B"/>
    <w:rsid w:val="004D074E"/>
    <w:rsid w:val="004D1644"/>
    <w:rsid w:val="004D4B7B"/>
    <w:rsid w:val="004D75E2"/>
    <w:rsid w:val="004E2CFD"/>
    <w:rsid w:val="004E3AEC"/>
    <w:rsid w:val="004E592D"/>
    <w:rsid w:val="004F23B2"/>
    <w:rsid w:val="004F304B"/>
    <w:rsid w:val="004F39EE"/>
    <w:rsid w:val="004F6AF1"/>
    <w:rsid w:val="00500241"/>
    <w:rsid w:val="00500830"/>
    <w:rsid w:val="00501471"/>
    <w:rsid w:val="005022EE"/>
    <w:rsid w:val="00503E87"/>
    <w:rsid w:val="005125CA"/>
    <w:rsid w:val="00513209"/>
    <w:rsid w:val="00514659"/>
    <w:rsid w:val="00516F48"/>
    <w:rsid w:val="005236F7"/>
    <w:rsid w:val="00525803"/>
    <w:rsid w:val="00526230"/>
    <w:rsid w:val="0053610F"/>
    <w:rsid w:val="0054338E"/>
    <w:rsid w:val="0054437E"/>
    <w:rsid w:val="005507D3"/>
    <w:rsid w:val="00553CD4"/>
    <w:rsid w:val="00557FAA"/>
    <w:rsid w:val="0056001F"/>
    <w:rsid w:val="00562D45"/>
    <w:rsid w:val="00564C09"/>
    <w:rsid w:val="00566238"/>
    <w:rsid w:val="00566D27"/>
    <w:rsid w:val="00567F89"/>
    <w:rsid w:val="00570A7A"/>
    <w:rsid w:val="00572841"/>
    <w:rsid w:val="00575F07"/>
    <w:rsid w:val="00586B10"/>
    <w:rsid w:val="0058745E"/>
    <w:rsid w:val="005A1DE5"/>
    <w:rsid w:val="005A43F6"/>
    <w:rsid w:val="005A5CBB"/>
    <w:rsid w:val="005B22F4"/>
    <w:rsid w:val="005C16A2"/>
    <w:rsid w:val="005C16F0"/>
    <w:rsid w:val="005C1865"/>
    <w:rsid w:val="005C443E"/>
    <w:rsid w:val="005C6E8E"/>
    <w:rsid w:val="005D1761"/>
    <w:rsid w:val="005D5F13"/>
    <w:rsid w:val="005D7B77"/>
    <w:rsid w:val="005D7C8D"/>
    <w:rsid w:val="005E2AEB"/>
    <w:rsid w:val="005F1762"/>
    <w:rsid w:val="005F6A84"/>
    <w:rsid w:val="005F7BD6"/>
    <w:rsid w:val="00604D58"/>
    <w:rsid w:val="006062EF"/>
    <w:rsid w:val="006103F0"/>
    <w:rsid w:val="00611FF5"/>
    <w:rsid w:val="00612557"/>
    <w:rsid w:val="006156A2"/>
    <w:rsid w:val="006176BD"/>
    <w:rsid w:val="00626A70"/>
    <w:rsid w:val="0063252F"/>
    <w:rsid w:val="006332F8"/>
    <w:rsid w:val="006346F4"/>
    <w:rsid w:val="006359D1"/>
    <w:rsid w:val="006366C7"/>
    <w:rsid w:val="00653D9D"/>
    <w:rsid w:val="006561E7"/>
    <w:rsid w:val="00657A60"/>
    <w:rsid w:val="00660EB4"/>
    <w:rsid w:val="00661C27"/>
    <w:rsid w:val="00662164"/>
    <w:rsid w:val="00666031"/>
    <w:rsid w:val="0067010F"/>
    <w:rsid w:val="00670A32"/>
    <w:rsid w:val="00671A01"/>
    <w:rsid w:val="00675CD1"/>
    <w:rsid w:val="00677864"/>
    <w:rsid w:val="006872A2"/>
    <w:rsid w:val="0069403D"/>
    <w:rsid w:val="006941F9"/>
    <w:rsid w:val="006A19E1"/>
    <w:rsid w:val="006A3CC2"/>
    <w:rsid w:val="006B310C"/>
    <w:rsid w:val="006B3C02"/>
    <w:rsid w:val="006B595D"/>
    <w:rsid w:val="006C0909"/>
    <w:rsid w:val="006C0C4E"/>
    <w:rsid w:val="006C1BC7"/>
    <w:rsid w:val="006C24CC"/>
    <w:rsid w:val="006C286D"/>
    <w:rsid w:val="006C4265"/>
    <w:rsid w:val="006C55E4"/>
    <w:rsid w:val="006D050D"/>
    <w:rsid w:val="006D4791"/>
    <w:rsid w:val="006D4F7F"/>
    <w:rsid w:val="006E14D9"/>
    <w:rsid w:val="006E3DFE"/>
    <w:rsid w:val="006F146A"/>
    <w:rsid w:val="006F4C84"/>
    <w:rsid w:val="007055F9"/>
    <w:rsid w:val="007069A1"/>
    <w:rsid w:val="00707916"/>
    <w:rsid w:val="00711C3E"/>
    <w:rsid w:val="0071261C"/>
    <w:rsid w:val="00715C1E"/>
    <w:rsid w:val="0071752D"/>
    <w:rsid w:val="00727370"/>
    <w:rsid w:val="00728D59"/>
    <w:rsid w:val="00730381"/>
    <w:rsid w:val="00730881"/>
    <w:rsid w:val="00731FCA"/>
    <w:rsid w:val="007351E8"/>
    <w:rsid w:val="007354EE"/>
    <w:rsid w:val="00746793"/>
    <w:rsid w:val="00750A3F"/>
    <w:rsid w:val="007515C2"/>
    <w:rsid w:val="007545A8"/>
    <w:rsid w:val="007619DD"/>
    <w:rsid w:val="0076200F"/>
    <w:rsid w:val="00762550"/>
    <w:rsid w:val="00767225"/>
    <w:rsid w:val="00770AED"/>
    <w:rsid w:val="00771E0C"/>
    <w:rsid w:val="007725FB"/>
    <w:rsid w:val="00773F71"/>
    <w:rsid w:val="00775082"/>
    <w:rsid w:val="00783A92"/>
    <w:rsid w:val="00785258"/>
    <w:rsid w:val="00785688"/>
    <w:rsid w:val="00785908"/>
    <w:rsid w:val="00786C4E"/>
    <w:rsid w:val="007945A8"/>
    <w:rsid w:val="00796BA8"/>
    <w:rsid w:val="00796DA3"/>
    <w:rsid w:val="007A2C07"/>
    <w:rsid w:val="007A4E12"/>
    <w:rsid w:val="007A7694"/>
    <w:rsid w:val="007B1138"/>
    <w:rsid w:val="007B38FC"/>
    <w:rsid w:val="007C026E"/>
    <w:rsid w:val="007C037C"/>
    <w:rsid w:val="007C330C"/>
    <w:rsid w:val="007D07E4"/>
    <w:rsid w:val="007D0906"/>
    <w:rsid w:val="007D24D5"/>
    <w:rsid w:val="007D3A5B"/>
    <w:rsid w:val="007D7AD4"/>
    <w:rsid w:val="007E06C9"/>
    <w:rsid w:val="007E08DA"/>
    <w:rsid w:val="007E3278"/>
    <w:rsid w:val="007E3BE6"/>
    <w:rsid w:val="007E6A97"/>
    <w:rsid w:val="007E7371"/>
    <w:rsid w:val="007F0677"/>
    <w:rsid w:val="007F20E9"/>
    <w:rsid w:val="00805429"/>
    <w:rsid w:val="008059C1"/>
    <w:rsid w:val="008101C6"/>
    <w:rsid w:val="008114F5"/>
    <w:rsid w:val="00813DB2"/>
    <w:rsid w:val="008160B6"/>
    <w:rsid w:val="008266CE"/>
    <w:rsid w:val="008338FA"/>
    <w:rsid w:val="00840051"/>
    <w:rsid w:val="00840650"/>
    <w:rsid w:val="0084104D"/>
    <w:rsid w:val="00841D0F"/>
    <w:rsid w:val="008504FC"/>
    <w:rsid w:val="0085194B"/>
    <w:rsid w:val="00857430"/>
    <w:rsid w:val="00870758"/>
    <w:rsid w:val="008734E2"/>
    <w:rsid w:val="00874FFC"/>
    <w:rsid w:val="0087791A"/>
    <w:rsid w:val="00881E15"/>
    <w:rsid w:val="0089071C"/>
    <w:rsid w:val="00891335"/>
    <w:rsid w:val="008917CB"/>
    <w:rsid w:val="00893C0E"/>
    <w:rsid w:val="00895C5C"/>
    <w:rsid w:val="008A1F18"/>
    <w:rsid w:val="008A3B61"/>
    <w:rsid w:val="008A4CAE"/>
    <w:rsid w:val="008B24AA"/>
    <w:rsid w:val="008B2E16"/>
    <w:rsid w:val="008B4629"/>
    <w:rsid w:val="008B6542"/>
    <w:rsid w:val="008C01AB"/>
    <w:rsid w:val="008C03F4"/>
    <w:rsid w:val="008C2A23"/>
    <w:rsid w:val="008C3953"/>
    <w:rsid w:val="008C60A1"/>
    <w:rsid w:val="008D0154"/>
    <w:rsid w:val="008D0582"/>
    <w:rsid w:val="008E765E"/>
    <w:rsid w:val="008F1739"/>
    <w:rsid w:val="008F3C99"/>
    <w:rsid w:val="008F4B4E"/>
    <w:rsid w:val="008F5C8E"/>
    <w:rsid w:val="008F6893"/>
    <w:rsid w:val="008F6A89"/>
    <w:rsid w:val="009058BB"/>
    <w:rsid w:val="0091159F"/>
    <w:rsid w:val="00914C70"/>
    <w:rsid w:val="00923997"/>
    <w:rsid w:val="00925D18"/>
    <w:rsid w:val="00925DBD"/>
    <w:rsid w:val="0093338E"/>
    <w:rsid w:val="00935F1A"/>
    <w:rsid w:val="00942FE3"/>
    <w:rsid w:val="009459F1"/>
    <w:rsid w:val="009555E0"/>
    <w:rsid w:val="0095581B"/>
    <w:rsid w:val="00961B5C"/>
    <w:rsid w:val="00964845"/>
    <w:rsid w:val="00966CEB"/>
    <w:rsid w:val="009714DB"/>
    <w:rsid w:val="00975F2C"/>
    <w:rsid w:val="00976682"/>
    <w:rsid w:val="00980C42"/>
    <w:rsid w:val="00984B8F"/>
    <w:rsid w:val="00986444"/>
    <w:rsid w:val="00987616"/>
    <w:rsid w:val="009877EF"/>
    <w:rsid w:val="0099134A"/>
    <w:rsid w:val="009954F9"/>
    <w:rsid w:val="009A0E39"/>
    <w:rsid w:val="009A1BE6"/>
    <w:rsid w:val="009A2EB3"/>
    <w:rsid w:val="009A5227"/>
    <w:rsid w:val="009A62EA"/>
    <w:rsid w:val="009C1715"/>
    <w:rsid w:val="009C1F31"/>
    <w:rsid w:val="009C4515"/>
    <w:rsid w:val="009C789D"/>
    <w:rsid w:val="009D1DEF"/>
    <w:rsid w:val="009D37C7"/>
    <w:rsid w:val="009D4668"/>
    <w:rsid w:val="009E09D3"/>
    <w:rsid w:val="009E14D3"/>
    <w:rsid w:val="009E6BD1"/>
    <w:rsid w:val="009E74D5"/>
    <w:rsid w:val="009E7BA9"/>
    <w:rsid w:val="009F4C17"/>
    <w:rsid w:val="009F63B2"/>
    <w:rsid w:val="00A01F05"/>
    <w:rsid w:val="00A05CF5"/>
    <w:rsid w:val="00A065AD"/>
    <w:rsid w:val="00A07EA6"/>
    <w:rsid w:val="00A161E6"/>
    <w:rsid w:val="00A17E2A"/>
    <w:rsid w:val="00A2318C"/>
    <w:rsid w:val="00A25E4A"/>
    <w:rsid w:val="00A272CA"/>
    <w:rsid w:val="00A2792A"/>
    <w:rsid w:val="00A31A62"/>
    <w:rsid w:val="00A328DE"/>
    <w:rsid w:val="00A418CE"/>
    <w:rsid w:val="00A436CB"/>
    <w:rsid w:val="00A51923"/>
    <w:rsid w:val="00A53FB8"/>
    <w:rsid w:val="00A61BB6"/>
    <w:rsid w:val="00A63129"/>
    <w:rsid w:val="00A643B6"/>
    <w:rsid w:val="00A65EEF"/>
    <w:rsid w:val="00A66A63"/>
    <w:rsid w:val="00A67323"/>
    <w:rsid w:val="00A67345"/>
    <w:rsid w:val="00A74DE0"/>
    <w:rsid w:val="00A776D5"/>
    <w:rsid w:val="00A8291E"/>
    <w:rsid w:val="00A82A9B"/>
    <w:rsid w:val="00A8348E"/>
    <w:rsid w:val="00A86FA3"/>
    <w:rsid w:val="00A877D2"/>
    <w:rsid w:val="00A9396E"/>
    <w:rsid w:val="00A94DE2"/>
    <w:rsid w:val="00A95DE3"/>
    <w:rsid w:val="00AA0340"/>
    <w:rsid w:val="00AA3036"/>
    <w:rsid w:val="00AA5B73"/>
    <w:rsid w:val="00AA646D"/>
    <w:rsid w:val="00AA6B58"/>
    <w:rsid w:val="00AB19C2"/>
    <w:rsid w:val="00AB68B2"/>
    <w:rsid w:val="00AB69C7"/>
    <w:rsid w:val="00AC0442"/>
    <w:rsid w:val="00AC06F3"/>
    <w:rsid w:val="00AC0C55"/>
    <w:rsid w:val="00AC281A"/>
    <w:rsid w:val="00AC35BA"/>
    <w:rsid w:val="00AD2B50"/>
    <w:rsid w:val="00AD7105"/>
    <w:rsid w:val="00AE1E03"/>
    <w:rsid w:val="00AF178B"/>
    <w:rsid w:val="00AF6F1D"/>
    <w:rsid w:val="00B01D36"/>
    <w:rsid w:val="00B031CF"/>
    <w:rsid w:val="00B0326C"/>
    <w:rsid w:val="00B056C2"/>
    <w:rsid w:val="00B073FE"/>
    <w:rsid w:val="00B07713"/>
    <w:rsid w:val="00B079E1"/>
    <w:rsid w:val="00B10674"/>
    <w:rsid w:val="00B11DD0"/>
    <w:rsid w:val="00B20446"/>
    <w:rsid w:val="00B20A83"/>
    <w:rsid w:val="00B21451"/>
    <w:rsid w:val="00B24923"/>
    <w:rsid w:val="00B24D39"/>
    <w:rsid w:val="00B3041B"/>
    <w:rsid w:val="00B332AB"/>
    <w:rsid w:val="00B332C6"/>
    <w:rsid w:val="00B336AD"/>
    <w:rsid w:val="00B36970"/>
    <w:rsid w:val="00B36AD7"/>
    <w:rsid w:val="00B43C2E"/>
    <w:rsid w:val="00B44A83"/>
    <w:rsid w:val="00B47A0F"/>
    <w:rsid w:val="00B4B2EF"/>
    <w:rsid w:val="00B51F5B"/>
    <w:rsid w:val="00B54073"/>
    <w:rsid w:val="00B55A8C"/>
    <w:rsid w:val="00B63F63"/>
    <w:rsid w:val="00B65236"/>
    <w:rsid w:val="00B652FB"/>
    <w:rsid w:val="00B7104A"/>
    <w:rsid w:val="00B75DCB"/>
    <w:rsid w:val="00B776ED"/>
    <w:rsid w:val="00B81AEA"/>
    <w:rsid w:val="00B96D92"/>
    <w:rsid w:val="00B96F20"/>
    <w:rsid w:val="00BA22E9"/>
    <w:rsid w:val="00BA25C1"/>
    <w:rsid w:val="00BA3FBE"/>
    <w:rsid w:val="00BA4510"/>
    <w:rsid w:val="00BA739E"/>
    <w:rsid w:val="00BB019C"/>
    <w:rsid w:val="00BB28EF"/>
    <w:rsid w:val="00BB5E8E"/>
    <w:rsid w:val="00BB7680"/>
    <w:rsid w:val="00BC2839"/>
    <w:rsid w:val="00BD3DAE"/>
    <w:rsid w:val="00BD6793"/>
    <w:rsid w:val="00BE17B6"/>
    <w:rsid w:val="00BE2C8D"/>
    <w:rsid w:val="00BE3A4A"/>
    <w:rsid w:val="00BE7379"/>
    <w:rsid w:val="00BF2AC0"/>
    <w:rsid w:val="00BF3CA7"/>
    <w:rsid w:val="00BF533E"/>
    <w:rsid w:val="00BF706B"/>
    <w:rsid w:val="00BF7267"/>
    <w:rsid w:val="00BF7B38"/>
    <w:rsid w:val="00BF7F7B"/>
    <w:rsid w:val="00C01E47"/>
    <w:rsid w:val="00C06288"/>
    <w:rsid w:val="00C1265F"/>
    <w:rsid w:val="00C146AB"/>
    <w:rsid w:val="00C172CD"/>
    <w:rsid w:val="00C20520"/>
    <w:rsid w:val="00C21ACB"/>
    <w:rsid w:val="00C33659"/>
    <w:rsid w:val="00C37DC0"/>
    <w:rsid w:val="00C40EEE"/>
    <w:rsid w:val="00C5145A"/>
    <w:rsid w:val="00C51F3D"/>
    <w:rsid w:val="00C64B83"/>
    <w:rsid w:val="00C65975"/>
    <w:rsid w:val="00C7167B"/>
    <w:rsid w:val="00C727CD"/>
    <w:rsid w:val="00C82930"/>
    <w:rsid w:val="00C957C2"/>
    <w:rsid w:val="00CA63FB"/>
    <w:rsid w:val="00CC11D6"/>
    <w:rsid w:val="00CC2005"/>
    <w:rsid w:val="00CC5652"/>
    <w:rsid w:val="00CD7DF1"/>
    <w:rsid w:val="00CE1439"/>
    <w:rsid w:val="00CE1655"/>
    <w:rsid w:val="00CE2976"/>
    <w:rsid w:val="00CE2CA1"/>
    <w:rsid w:val="00CE3E9E"/>
    <w:rsid w:val="00CE5DE4"/>
    <w:rsid w:val="00CF7BD5"/>
    <w:rsid w:val="00D05C5C"/>
    <w:rsid w:val="00D11A36"/>
    <w:rsid w:val="00D12F4E"/>
    <w:rsid w:val="00D14993"/>
    <w:rsid w:val="00D14E9C"/>
    <w:rsid w:val="00D16839"/>
    <w:rsid w:val="00D23F1E"/>
    <w:rsid w:val="00D25C6F"/>
    <w:rsid w:val="00D30A78"/>
    <w:rsid w:val="00D351AD"/>
    <w:rsid w:val="00D35F65"/>
    <w:rsid w:val="00D373F1"/>
    <w:rsid w:val="00D37BB0"/>
    <w:rsid w:val="00D37DB1"/>
    <w:rsid w:val="00D426C8"/>
    <w:rsid w:val="00D430F8"/>
    <w:rsid w:val="00D431E9"/>
    <w:rsid w:val="00D52D77"/>
    <w:rsid w:val="00D5360B"/>
    <w:rsid w:val="00D5436E"/>
    <w:rsid w:val="00D56CAF"/>
    <w:rsid w:val="00D65306"/>
    <w:rsid w:val="00D67E4C"/>
    <w:rsid w:val="00D712C3"/>
    <w:rsid w:val="00D753EE"/>
    <w:rsid w:val="00D75767"/>
    <w:rsid w:val="00D75DFA"/>
    <w:rsid w:val="00D76EE0"/>
    <w:rsid w:val="00D77F03"/>
    <w:rsid w:val="00D8423D"/>
    <w:rsid w:val="00D85BFC"/>
    <w:rsid w:val="00D86531"/>
    <w:rsid w:val="00D8681D"/>
    <w:rsid w:val="00D91440"/>
    <w:rsid w:val="00D93931"/>
    <w:rsid w:val="00D94289"/>
    <w:rsid w:val="00D9AB0F"/>
    <w:rsid w:val="00DA2B50"/>
    <w:rsid w:val="00DA6BA9"/>
    <w:rsid w:val="00DB13BB"/>
    <w:rsid w:val="00DB2382"/>
    <w:rsid w:val="00DB248A"/>
    <w:rsid w:val="00DB75D3"/>
    <w:rsid w:val="00DB7B1F"/>
    <w:rsid w:val="00DC33CD"/>
    <w:rsid w:val="00DD05C3"/>
    <w:rsid w:val="00DD1543"/>
    <w:rsid w:val="00DD276E"/>
    <w:rsid w:val="00DD590F"/>
    <w:rsid w:val="00DD62AF"/>
    <w:rsid w:val="00DF04BB"/>
    <w:rsid w:val="00DF16ED"/>
    <w:rsid w:val="00DF2B03"/>
    <w:rsid w:val="00E02CB7"/>
    <w:rsid w:val="00E03D50"/>
    <w:rsid w:val="00E03F7B"/>
    <w:rsid w:val="00E05463"/>
    <w:rsid w:val="00E05B0A"/>
    <w:rsid w:val="00E10382"/>
    <w:rsid w:val="00E119FF"/>
    <w:rsid w:val="00E2066C"/>
    <w:rsid w:val="00E236C8"/>
    <w:rsid w:val="00E255F5"/>
    <w:rsid w:val="00E360F7"/>
    <w:rsid w:val="00E417A7"/>
    <w:rsid w:val="00E45F5A"/>
    <w:rsid w:val="00E5001E"/>
    <w:rsid w:val="00E50257"/>
    <w:rsid w:val="00E635D0"/>
    <w:rsid w:val="00E6583A"/>
    <w:rsid w:val="00E71BF5"/>
    <w:rsid w:val="00E71E3F"/>
    <w:rsid w:val="00E71F01"/>
    <w:rsid w:val="00E72E3D"/>
    <w:rsid w:val="00E753D3"/>
    <w:rsid w:val="00E763F2"/>
    <w:rsid w:val="00E7666B"/>
    <w:rsid w:val="00E76A01"/>
    <w:rsid w:val="00E83628"/>
    <w:rsid w:val="00E927E5"/>
    <w:rsid w:val="00EA0863"/>
    <w:rsid w:val="00EA3AE6"/>
    <w:rsid w:val="00EA6D90"/>
    <w:rsid w:val="00EB3D45"/>
    <w:rsid w:val="00EB453B"/>
    <w:rsid w:val="00EB725C"/>
    <w:rsid w:val="00EB72EC"/>
    <w:rsid w:val="00EC0CE3"/>
    <w:rsid w:val="00EC38BC"/>
    <w:rsid w:val="00EC422E"/>
    <w:rsid w:val="00EC50D8"/>
    <w:rsid w:val="00EC52D0"/>
    <w:rsid w:val="00EC5970"/>
    <w:rsid w:val="00EC6B0C"/>
    <w:rsid w:val="00ED29E7"/>
    <w:rsid w:val="00ED4136"/>
    <w:rsid w:val="00ED4EEA"/>
    <w:rsid w:val="00ED76C3"/>
    <w:rsid w:val="00EE080B"/>
    <w:rsid w:val="00EE1A77"/>
    <w:rsid w:val="00EE2B01"/>
    <w:rsid w:val="00EE3435"/>
    <w:rsid w:val="00EF089A"/>
    <w:rsid w:val="00EF38D6"/>
    <w:rsid w:val="00EF3AC6"/>
    <w:rsid w:val="00EF64C9"/>
    <w:rsid w:val="00F03710"/>
    <w:rsid w:val="00F078DB"/>
    <w:rsid w:val="00F10A0D"/>
    <w:rsid w:val="00F11CEB"/>
    <w:rsid w:val="00F1297B"/>
    <w:rsid w:val="00F16A82"/>
    <w:rsid w:val="00F202AF"/>
    <w:rsid w:val="00F20DD5"/>
    <w:rsid w:val="00F21677"/>
    <w:rsid w:val="00F23F30"/>
    <w:rsid w:val="00F2608D"/>
    <w:rsid w:val="00F33B0C"/>
    <w:rsid w:val="00F357F8"/>
    <w:rsid w:val="00F44600"/>
    <w:rsid w:val="00F44C03"/>
    <w:rsid w:val="00F44FB3"/>
    <w:rsid w:val="00F4615A"/>
    <w:rsid w:val="00F51C32"/>
    <w:rsid w:val="00F525BF"/>
    <w:rsid w:val="00F52D59"/>
    <w:rsid w:val="00F557B5"/>
    <w:rsid w:val="00F57066"/>
    <w:rsid w:val="00F574EC"/>
    <w:rsid w:val="00F6365B"/>
    <w:rsid w:val="00F713D7"/>
    <w:rsid w:val="00F718C9"/>
    <w:rsid w:val="00F83DDB"/>
    <w:rsid w:val="00F83FC2"/>
    <w:rsid w:val="00F85840"/>
    <w:rsid w:val="00F927A3"/>
    <w:rsid w:val="00F928DF"/>
    <w:rsid w:val="00F97BBF"/>
    <w:rsid w:val="00FA047F"/>
    <w:rsid w:val="00FA0A13"/>
    <w:rsid w:val="00FA5426"/>
    <w:rsid w:val="00FB105D"/>
    <w:rsid w:val="00FB2CF6"/>
    <w:rsid w:val="00FB2E09"/>
    <w:rsid w:val="00FB3570"/>
    <w:rsid w:val="00FB645F"/>
    <w:rsid w:val="00FC7A8E"/>
    <w:rsid w:val="00FD37E1"/>
    <w:rsid w:val="00FD4926"/>
    <w:rsid w:val="00FD5B80"/>
    <w:rsid w:val="00FE1E5C"/>
    <w:rsid w:val="00FE2ED5"/>
    <w:rsid w:val="00FE6ED2"/>
    <w:rsid w:val="00FF0643"/>
    <w:rsid w:val="00FF43A5"/>
    <w:rsid w:val="00FF74B5"/>
    <w:rsid w:val="01124B2D"/>
    <w:rsid w:val="011B9681"/>
    <w:rsid w:val="011DF35B"/>
    <w:rsid w:val="011F5ADE"/>
    <w:rsid w:val="01534AE2"/>
    <w:rsid w:val="0153D0CA"/>
    <w:rsid w:val="01750C90"/>
    <w:rsid w:val="01843E9D"/>
    <w:rsid w:val="01A233DC"/>
    <w:rsid w:val="01C8F3C5"/>
    <w:rsid w:val="01D2A1B5"/>
    <w:rsid w:val="01EE6DEC"/>
    <w:rsid w:val="021B69B9"/>
    <w:rsid w:val="022C589A"/>
    <w:rsid w:val="02334A24"/>
    <w:rsid w:val="0249B656"/>
    <w:rsid w:val="024CDF3C"/>
    <w:rsid w:val="0283F876"/>
    <w:rsid w:val="028F4835"/>
    <w:rsid w:val="02FA75EF"/>
    <w:rsid w:val="033B1713"/>
    <w:rsid w:val="0347C684"/>
    <w:rsid w:val="03AC169D"/>
    <w:rsid w:val="03C17446"/>
    <w:rsid w:val="04216C11"/>
    <w:rsid w:val="043728A4"/>
    <w:rsid w:val="0463804B"/>
    <w:rsid w:val="046527CE"/>
    <w:rsid w:val="04B50E02"/>
    <w:rsid w:val="04E856A3"/>
    <w:rsid w:val="04F54D80"/>
    <w:rsid w:val="04F57F86"/>
    <w:rsid w:val="05058B66"/>
    <w:rsid w:val="052D2290"/>
    <w:rsid w:val="0556298C"/>
    <w:rsid w:val="055E953A"/>
    <w:rsid w:val="05B370CC"/>
    <w:rsid w:val="05BDBB28"/>
    <w:rsid w:val="05C25FED"/>
    <w:rsid w:val="05DC8B97"/>
    <w:rsid w:val="05F66445"/>
    <w:rsid w:val="05F7CAC8"/>
    <w:rsid w:val="061640D3"/>
    <w:rsid w:val="0617EE9C"/>
    <w:rsid w:val="062D714F"/>
    <w:rsid w:val="06502042"/>
    <w:rsid w:val="0651C8FD"/>
    <w:rsid w:val="066B7AA5"/>
    <w:rsid w:val="066F26CE"/>
    <w:rsid w:val="068F1032"/>
    <w:rsid w:val="069E344B"/>
    <w:rsid w:val="06DF9903"/>
    <w:rsid w:val="06E0FB0B"/>
    <w:rsid w:val="07178FCA"/>
    <w:rsid w:val="071F5F81"/>
    <w:rsid w:val="073A57B0"/>
    <w:rsid w:val="07446C20"/>
    <w:rsid w:val="07BAC33C"/>
    <w:rsid w:val="07C0FDA9"/>
    <w:rsid w:val="07D05F48"/>
    <w:rsid w:val="07F2A787"/>
    <w:rsid w:val="0815B00B"/>
    <w:rsid w:val="081D73F4"/>
    <w:rsid w:val="0824FA74"/>
    <w:rsid w:val="0858DE93"/>
    <w:rsid w:val="0896811C"/>
    <w:rsid w:val="089947AD"/>
    <w:rsid w:val="08E15CD1"/>
    <w:rsid w:val="08EAAA6B"/>
    <w:rsid w:val="09018331"/>
    <w:rsid w:val="09463A85"/>
    <w:rsid w:val="0988FDF9"/>
    <w:rsid w:val="09C84172"/>
    <w:rsid w:val="09CC910C"/>
    <w:rsid w:val="09E5952F"/>
    <w:rsid w:val="0A0F496A"/>
    <w:rsid w:val="0A30C1E0"/>
    <w:rsid w:val="0A3E5FE5"/>
    <w:rsid w:val="0A7D8F52"/>
    <w:rsid w:val="0AB545A8"/>
    <w:rsid w:val="0AB804DF"/>
    <w:rsid w:val="0ABF4212"/>
    <w:rsid w:val="0B02F698"/>
    <w:rsid w:val="0B138676"/>
    <w:rsid w:val="0B273139"/>
    <w:rsid w:val="0B3BFF21"/>
    <w:rsid w:val="0B491026"/>
    <w:rsid w:val="0B4DF6EF"/>
    <w:rsid w:val="0B612810"/>
    <w:rsid w:val="0B65BD00"/>
    <w:rsid w:val="0B6C835A"/>
    <w:rsid w:val="0B74DD29"/>
    <w:rsid w:val="0B8A5AE6"/>
    <w:rsid w:val="0B953EC0"/>
    <w:rsid w:val="0BA742EC"/>
    <w:rsid w:val="0BB141C9"/>
    <w:rsid w:val="0BC8729F"/>
    <w:rsid w:val="0BD1522D"/>
    <w:rsid w:val="0BDEC906"/>
    <w:rsid w:val="0BF1CB5E"/>
    <w:rsid w:val="0C16686A"/>
    <w:rsid w:val="0C2A2C72"/>
    <w:rsid w:val="0C2E8049"/>
    <w:rsid w:val="0C463A8F"/>
    <w:rsid w:val="0C6A8AED"/>
    <w:rsid w:val="0C8050E2"/>
    <w:rsid w:val="0C8AC744"/>
    <w:rsid w:val="0C974318"/>
    <w:rsid w:val="0CAB81E3"/>
    <w:rsid w:val="0CB181C2"/>
    <w:rsid w:val="0CC2A338"/>
    <w:rsid w:val="0CC47B1B"/>
    <w:rsid w:val="0CDD7863"/>
    <w:rsid w:val="0CEF9BBD"/>
    <w:rsid w:val="0CF9A552"/>
    <w:rsid w:val="0D14A3A2"/>
    <w:rsid w:val="0D37B992"/>
    <w:rsid w:val="0D5338AA"/>
    <w:rsid w:val="0D719BAA"/>
    <w:rsid w:val="0D735083"/>
    <w:rsid w:val="0D74EAE6"/>
    <w:rsid w:val="0DDE7CC8"/>
    <w:rsid w:val="0DFE6E6F"/>
    <w:rsid w:val="0E088529"/>
    <w:rsid w:val="0E1E0B3F"/>
    <w:rsid w:val="0E3A00AF"/>
    <w:rsid w:val="0E3F13CD"/>
    <w:rsid w:val="0E4F0EA4"/>
    <w:rsid w:val="0E660FDD"/>
    <w:rsid w:val="0EACE5FB"/>
    <w:rsid w:val="0EB1698C"/>
    <w:rsid w:val="0ED8F597"/>
    <w:rsid w:val="0EE6C68C"/>
    <w:rsid w:val="0EEB14AB"/>
    <w:rsid w:val="0EF53AAA"/>
    <w:rsid w:val="0F152E20"/>
    <w:rsid w:val="0F3D9A55"/>
    <w:rsid w:val="0F418DD1"/>
    <w:rsid w:val="0F5C0030"/>
    <w:rsid w:val="0F72CF47"/>
    <w:rsid w:val="0FABB77E"/>
    <w:rsid w:val="0FB70235"/>
    <w:rsid w:val="0FE2E1FF"/>
    <w:rsid w:val="0FE66D6F"/>
    <w:rsid w:val="103D0AA3"/>
    <w:rsid w:val="1065DB86"/>
    <w:rsid w:val="1078407B"/>
    <w:rsid w:val="109425B7"/>
    <w:rsid w:val="10B0FCBA"/>
    <w:rsid w:val="10DBFBAD"/>
    <w:rsid w:val="10E973BE"/>
    <w:rsid w:val="10F02EB4"/>
    <w:rsid w:val="11388CD6"/>
    <w:rsid w:val="116CC9DF"/>
    <w:rsid w:val="116D5C04"/>
    <w:rsid w:val="11808E79"/>
    <w:rsid w:val="119B8280"/>
    <w:rsid w:val="11C3C8DB"/>
    <w:rsid w:val="11DFD7B1"/>
    <w:rsid w:val="11F31B1A"/>
    <w:rsid w:val="12018BD6"/>
    <w:rsid w:val="12060332"/>
    <w:rsid w:val="1207A85D"/>
    <w:rsid w:val="12129A1A"/>
    <w:rsid w:val="1266553E"/>
    <w:rsid w:val="127BB6E1"/>
    <w:rsid w:val="128946BC"/>
    <w:rsid w:val="12984E0D"/>
    <w:rsid w:val="129E162E"/>
    <w:rsid w:val="12AF3BD9"/>
    <w:rsid w:val="12CFC61E"/>
    <w:rsid w:val="12DBCD4F"/>
    <w:rsid w:val="12E3BE45"/>
    <w:rsid w:val="12F7BA14"/>
    <w:rsid w:val="13138513"/>
    <w:rsid w:val="13325465"/>
    <w:rsid w:val="133EE712"/>
    <w:rsid w:val="137D77E5"/>
    <w:rsid w:val="1387A59F"/>
    <w:rsid w:val="1392FCAD"/>
    <w:rsid w:val="139E9E81"/>
    <w:rsid w:val="13A217E7"/>
    <w:rsid w:val="13B92F72"/>
    <w:rsid w:val="13BB5214"/>
    <w:rsid w:val="13F734AD"/>
    <w:rsid w:val="14067614"/>
    <w:rsid w:val="1466A940"/>
    <w:rsid w:val="146726CC"/>
    <w:rsid w:val="1487F245"/>
    <w:rsid w:val="14BCC7C4"/>
    <w:rsid w:val="14C69298"/>
    <w:rsid w:val="14DAF68D"/>
    <w:rsid w:val="14DDE28B"/>
    <w:rsid w:val="14F1C26D"/>
    <w:rsid w:val="15092E0B"/>
    <w:rsid w:val="156FB46F"/>
    <w:rsid w:val="1573EEEA"/>
    <w:rsid w:val="1574EA7C"/>
    <w:rsid w:val="1591F426"/>
    <w:rsid w:val="15BBE611"/>
    <w:rsid w:val="15C49C2D"/>
    <w:rsid w:val="15C84DCA"/>
    <w:rsid w:val="15D166C0"/>
    <w:rsid w:val="15D27CD2"/>
    <w:rsid w:val="15D6AE8E"/>
    <w:rsid w:val="15E295D7"/>
    <w:rsid w:val="15E3BB94"/>
    <w:rsid w:val="16036FFD"/>
    <w:rsid w:val="1615C51E"/>
    <w:rsid w:val="1616AD3D"/>
    <w:rsid w:val="16353D87"/>
    <w:rsid w:val="1635E2D6"/>
    <w:rsid w:val="164F311A"/>
    <w:rsid w:val="16620848"/>
    <w:rsid w:val="16942EB7"/>
    <w:rsid w:val="16F23538"/>
    <w:rsid w:val="16FD4248"/>
    <w:rsid w:val="17062877"/>
    <w:rsid w:val="1728EFB5"/>
    <w:rsid w:val="172CAB28"/>
    <w:rsid w:val="17462607"/>
    <w:rsid w:val="1757D548"/>
    <w:rsid w:val="1784ED86"/>
    <w:rsid w:val="178AA79A"/>
    <w:rsid w:val="17923FEC"/>
    <w:rsid w:val="17A1C123"/>
    <w:rsid w:val="17A855A4"/>
    <w:rsid w:val="17C3DD55"/>
    <w:rsid w:val="180E4F50"/>
    <w:rsid w:val="18108420"/>
    <w:rsid w:val="1826A334"/>
    <w:rsid w:val="182F7D84"/>
    <w:rsid w:val="1866CA7F"/>
    <w:rsid w:val="1874089F"/>
    <w:rsid w:val="187A0D17"/>
    <w:rsid w:val="1880E555"/>
    <w:rsid w:val="18B398D0"/>
    <w:rsid w:val="18C82296"/>
    <w:rsid w:val="18F71135"/>
    <w:rsid w:val="19278AAD"/>
    <w:rsid w:val="192DD42C"/>
    <w:rsid w:val="19861C89"/>
    <w:rsid w:val="19A6A9B6"/>
    <w:rsid w:val="19C5C24D"/>
    <w:rsid w:val="19E933AB"/>
    <w:rsid w:val="1A088367"/>
    <w:rsid w:val="1A08E77C"/>
    <w:rsid w:val="1A0E4036"/>
    <w:rsid w:val="1A3A4EB0"/>
    <w:rsid w:val="1A66AD1A"/>
    <w:rsid w:val="1A7FEFDD"/>
    <w:rsid w:val="1A8D7631"/>
    <w:rsid w:val="1A979DC1"/>
    <w:rsid w:val="1AAA5791"/>
    <w:rsid w:val="1ABC9DB5"/>
    <w:rsid w:val="1AC5323C"/>
    <w:rsid w:val="1B040919"/>
    <w:rsid w:val="1B1FF79B"/>
    <w:rsid w:val="1B2E6539"/>
    <w:rsid w:val="1B33017B"/>
    <w:rsid w:val="1B4E9CA3"/>
    <w:rsid w:val="1B6BD2D4"/>
    <w:rsid w:val="1B911208"/>
    <w:rsid w:val="1BA7C67F"/>
    <w:rsid w:val="1BBD23C8"/>
    <w:rsid w:val="1C0E4786"/>
    <w:rsid w:val="1C3B3470"/>
    <w:rsid w:val="1C5EDD34"/>
    <w:rsid w:val="1C8057D5"/>
    <w:rsid w:val="1C9E7F9B"/>
    <w:rsid w:val="1D01BCE9"/>
    <w:rsid w:val="1D15F187"/>
    <w:rsid w:val="1DB6BCC1"/>
    <w:rsid w:val="1DB91D08"/>
    <w:rsid w:val="1DB93B9A"/>
    <w:rsid w:val="1DC2CFE5"/>
    <w:rsid w:val="1DEA6B8A"/>
    <w:rsid w:val="1DF1C46F"/>
    <w:rsid w:val="1E226E6F"/>
    <w:rsid w:val="1E2E19F3"/>
    <w:rsid w:val="1E2F72F7"/>
    <w:rsid w:val="1E41F5A7"/>
    <w:rsid w:val="1E6D3695"/>
    <w:rsid w:val="1E71E91B"/>
    <w:rsid w:val="1E9E0E05"/>
    <w:rsid w:val="1EB94AE4"/>
    <w:rsid w:val="1EE8AAA1"/>
    <w:rsid w:val="1EE8BE88"/>
    <w:rsid w:val="1F018223"/>
    <w:rsid w:val="1F06274E"/>
    <w:rsid w:val="1F854AD9"/>
    <w:rsid w:val="205AA467"/>
    <w:rsid w:val="205E656B"/>
    <w:rsid w:val="2066B97E"/>
    <w:rsid w:val="20B05964"/>
    <w:rsid w:val="20D8BE5F"/>
    <w:rsid w:val="20ED4694"/>
    <w:rsid w:val="20F6F878"/>
    <w:rsid w:val="211F8668"/>
    <w:rsid w:val="212E806D"/>
    <w:rsid w:val="21DAA2AE"/>
    <w:rsid w:val="21FF938A"/>
    <w:rsid w:val="220BA848"/>
    <w:rsid w:val="223429D2"/>
    <w:rsid w:val="223D30B8"/>
    <w:rsid w:val="22845A93"/>
    <w:rsid w:val="2299E4CD"/>
    <w:rsid w:val="22A4B8EF"/>
    <w:rsid w:val="22AFF10A"/>
    <w:rsid w:val="22C0DCFE"/>
    <w:rsid w:val="22C27CAA"/>
    <w:rsid w:val="22C8FFB0"/>
    <w:rsid w:val="22CEEA43"/>
    <w:rsid w:val="22D0B2F8"/>
    <w:rsid w:val="22F5AB4F"/>
    <w:rsid w:val="22F86B52"/>
    <w:rsid w:val="23137373"/>
    <w:rsid w:val="2314EAA7"/>
    <w:rsid w:val="2319C116"/>
    <w:rsid w:val="231A13A9"/>
    <w:rsid w:val="234F8A55"/>
    <w:rsid w:val="2362D4C3"/>
    <w:rsid w:val="2376D911"/>
    <w:rsid w:val="23914E88"/>
    <w:rsid w:val="23A24965"/>
    <w:rsid w:val="23A95CAE"/>
    <w:rsid w:val="23B51C74"/>
    <w:rsid w:val="23D4AEFE"/>
    <w:rsid w:val="23D7BB77"/>
    <w:rsid w:val="242F4483"/>
    <w:rsid w:val="2434DAD5"/>
    <w:rsid w:val="246CE7E6"/>
    <w:rsid w:val="24C191E6"/>
    <w:rsid w:val="250F45A9"/>
    <w:rsid w:val="2539B669"/>
    <w:rsid w:val="256174FF"/>
    <w:rsid w:val="257881E1"/>
    <w:rsid w:val="25A3732E"/>
    <w:rsid w:val="25C4A19B"/>
    <w:rsid w:val="25EE13DA"/>
    <w:rsid w:val="261A005D"/>
    <w:rsid w:val="263ED7DA"/>
    <w:rsid w:val="263F02D0"/>
    <w:rsid w:val="264A19B5"/>
    <w:rsid w:val="264C8ED1"/>
    <w:rsid w:val="265422B9"/>
    <w:rsid w:val="2676DBE6"/>
    <w:rsid w:val="2680B88A"/>
    <w:rsid w:val="2687FEE7"/>
    <w:rsid w:val="26AE1157"/>
    <w:rsid w:val="26D30C65"/>
    <w:rsid w:val="26F58731"/>
    <w:rsid w:val="27117E49"/>
    <w:rsid w:val="27839AD7"/>
    <w:rsid w:val="2799B3B7"/>
    <w:rsid w:val="279A0052"/>
    <w:rsid w:val="279A21C2"/>
    <w:rsid w:val="27B05390"/>
    <w:rsid w:val="27B2B975"/>
    <w:rsid w:val="27C4739B"/>
    <w:rsid w:val="27CE8AC0"/>
    <w:rsid w:val="27F3F69D"/>
    <w:rsid w:val="27F8E785"/>
    <w:rsid w:val="2825E5D0"/>
    <w:rsid w:val="2831CF70"/>
    <w:rsid w:val="28394B37"/>
    <w:rsid w:val="283D17D6"/>
    <w:rsid w:val="283F9885"/>
    <w:rsid w:val="284CBFED"/>
    <w:rsid w:val="28A051BE"/>
    <w:rsid w:val="28FE5E49"/>
    <w:rsid w:val="29047E5F"/>
    <w:rsid w:val="29071713"/>
    <w:rsid w:val="2908B305"/>
    <w:rsid w:val="29265A43"/>
    <w:rsid w:val="2937FA8A"/>
    <w:rsid w:val="2938776E"/>
    <w:rsid w:val="2944D350"/>
    <w:rsid w:val="296023F9"/>
    <w:rsid w:val="299160E9"/>
    <w:rsid w:val="2999678E"/>
    <w:rsid w:val="29A22830"/>
    <w:rsid w:val="29E6291B"/>
    <w:rsid w:val="2A0095A0"/>
    <w:rsid w:val="2A1415D9"/>
    <w:rsid w:val="2A36A4CF"/>
    <w:rsid w:val="2A5CBB92"/>
    <w:rsid w:val="2A654CE8"/>
    <w:rsid w:val="2A90D567"/>
    <w:rsid w:val="2A94DB1C"/>
    <w:rsid w:val="2AB17ABA"/>
    <w:rsid w:val="2AC8396E"/>
    <w:rsid w:val="2AE78EBC"/>
    <w:rsid w:val="2AFC5B34"/>
    <w:rsid w:val="2B0F5BA8"/>
    <w:rsid w:val="2B1ECFF3"/>
    <w:rsid w:val="2B8656C0"/>
    <w:rsid w:val="2B9138DA"/>
    <w:rsid w:val="2BA6D9EB"/>
    <w:rsid w:val="2BC177C5"/>
    <w:rsid w:val="2BC24F6F"/>
    <w:rsid w:val="2BCBB6F3"/>
    <w:rsid w:val="2BD1D0EB"/>
    <w:rsid w:val="2BD906EF"/>
    <w:rsid w:val="2BDEAECD"/>
    <w:rsid w:val="2C368314"/>
    <w:rsid w:val="2C3FCF7C"/>
    <w:rsid w:val="2C53BDED"/>
    <w:rsid w:val="2C576FEF"/>
    <w:rsid w:val="2C58B685"/>
    <w:rsid w:val="2C63A5B6"/>
    <w:rsid w:val="2CA20DF3"/>
    <w:rsid w:val="2CAB24C0"/>
    <w:rsid w:val="2CC6FC29"/>
    <w:rsid w:val="2CCFFB96"/>
    <w:rsid w:val="2CF1F1F0"/>
    <w:rsid w:val="2D2A713A"/>
    <w:rsid w:val="2D2D8A65"/>
    <w:rsid w:val="2D3B7943"/>
    <w:rsid w:val="2D50C699"/>
    <w:rsid w:val="2D5B1416"/>
    <w:rsid w:val="2D8E9888"/>
    <w:rsid w:val="2D97E3CF"/>
    <w:rsid w:val="2DABFDC3"/>
    <w:rsid w:val="2E05870A"/>
    <w:rsid w:val="2E2948EC"/>
    <w:rsid w:val="2E769A83"/>
    <w:rsid w:val="2E7783CD"/>
    <w:rsid w:val="2E7C87CB"/>
    <w:rsid w:val="2E7D275E"/>
    <w:rsid w:val="2E905715"/>
    <w:rsid w:val="2E9D8CDE"/>
    <w:rsid w:val="2EA66092"/>
    <w:rsid w:val="2EBC56C8"/>
    <w:rsid w:val="2ED276CA"/>
    <w:rsid w:val="2EDFA207"/>
    <w:rsid w:val="2EFBAED7"/>
    <w:rsid w:val="2F42CBDF"/>
    <w:rsid w:val="2F4C8043"/>
    <w:rsid w:val="2F617F86"/>
    <w:rsid w:val="2F71CA3B"/>
    <w:rsid w:val="2F7B8CAB"/>
    <w:rsid w:val="2F9265D3"/>
    <w:rsid w:val="2FB2BA6B"/>
    <w:rsid w:val="2FD303EC"/>
    <w:rsid w:val="2FE9775D"/>
    <w:rsid w:val="2FECCF21"/>
    <w:rsid w:val="30075FFB"/>
    <w:rsid w:val="303437BE"/>
    <w:rsid w:val="30623425"/>
    <w:rsid w:val="3069D7A3"/>
    <w:rsid w:val="30889E97"/>
    <w:rsid w:val="309A165A"/>
    <w:rsid w:val="30B6D032"/>
    <w:rsid w:val="30EE95B4"/>
    <w:rsid w:val="30F0D39A"/>
    <w:rsid w:val="31072A96"/>
    <w:rsid w:val="311BCDC6"/>
    <w:rsid w:val="314EE519"/>
    <w:rsid w:val="3152CC9F"/>
    <w:rsid w:val="316BB45C"/>
    <w:rsid w:val="3188DE55"/>
    <w:rsid w:val="319E04E9"/>
    <w:rsid w:val="31AD4171"/>
    <w:rsid w:val="31DB902C"/>
    <w:rsid w:val="31F7DBEB"/>
    <w:rsid w:val="32072A4D"/>
    <w:rsid w:val="32223883"/>
    <w:rsid w:val="3246CAA5"/>
    <w:rsid w:val="32920DF8"/>
    <w:rsid w:val="32CAA183"/>
    <w:rsid w:val="32D68A1A"/>
    <w:rsid w:val="3304AC89"/>
    <w:rsid w:val="33376391"/>
    <w:rsid w:val="33804172"/>
    <w:rsid w:val="33A60C33"/>
    <w:rsid w:val="33A943C7"/>
    <w:rsid w:val="33C0E12C"/>
    <w:rsid w:val="33D73AC1"/>
    <w:rsid w:val="33E07692"/>
    <w:rsid w:val="33FA84BA"/>
    <w:rsid w:val="33FE8562"/>
    <w:rsid w:val="33FF1BE8"/>
    <w:rsid w:val="34016CDF"/>
    <w:rsid w:val="341088D1"/>
    <w:rsid w:val="341DE6A7"/>
    <w:rsid w:val="342603DF"/>
    <w:rsid w:val="3435A0C4"/>
    <w:rsid w:val="344EDA60"/>
    <w:rsid w:val="34527CBF"/>
    <w:rsid w:val="345B125A"/>
    <w:rsid w:val="346B7366"/>
    <w:rsid w:val="346FBD8A"/>
    <w:rsid w:val="347FACDD"/>
    <w:rsid w:val="349939B4"/>
    <w:rsid w:val="351C2C8A"/>
    <w:rsid w:val="35288D87"/>
    <w:rsid w:val="3563B9F8"/>
    <w:rsid w:val="3589F104"/>
    <w:rsid w:val="35923F62"/>
    <w:rsid w:val="35AA679F"/>
    <w:rsid w:val="35AE7912"/>
    <w:rsid w:val="35B4A7BA"/>
    <w:rsid w:val="35C280F0"/>
    <w:rsid w:val="35CBAC4D"/>
    <w:rsid w:val="35F176B9"/>
    <w:rsid w:val="360FD129"/>
    <w:rsid w:val="36136C62"/>
    <w:rsid w:val="3614FFDB"/>
    <w:rsid w:val="36243BF4"/>
    <w:rsid w:val="366715B8"/>
    <w:rsid w:val="3691EFA8"/>
    <w:rsid w:val="369D506F"/>
    <w:rsid w:val="36D71A88"/>
    <w:rsid w:val="36DAF809"/>
    <w:rsid w:val="3701D243"/>
    <w:rsid w:val="37147833"/>
    <w:rsid w:val="3738837C"/>
    <w:rsid w:val="375BDF4D"/>
    <w:rsid w:val="376E9E0A"/>
    <w:rsid w:val="3772F358"/>
    <w:rsid w:val="377833DC"/>
    <w:rsid w:val="37A95E8A"/>
    <w:rsid w:val="37F1756C"/>
    <w:rsid w:val="380EC41B"/>
    <w:rsid w:val="380F6759"/>
    <w:rsid w:val="380F78C5"/>
    <w:rsid w:val="38249E0E"/>
    <w:rsid w:val="38317865"/>
    <w:rsid w:val="3839CADC"/>
    <w:rsid w:val="388A739E"/>
    <w:rsid w:val="389C9FE3"/>
    <w:rsid w:val="38A4D336"/>
    <w:rsid w:val="38AA084F"/>
    <w:rsid w:val="38AAA53F"/>
    <w:rsid w:val="38FBB8AA"/>
    <w:rsid w:val="391E5300"/>
    <w:rsid w:val="3922E82D"/>
    <w:rsid w:val="3950DDB3"/>
    <w:rsid w:val="39578336"/>
    <w:rsid w:val="397542FA"/>
    <w:rsid w:val="397C3238"/>
    <w:rsid w:val="39811E15"/>
    <w:rsid w:val="39DD6A45"/>
    <w:rsid w:val="3A04190B"/>
    <w:rsid w:val="3A52DA15"/>
    <w:rsid w:val="3A882BF3"/>
    <w:rsid w:val="3ACFCDFD"/>
    <w:rsid w:val="3ADCD2B9"/>
    <w:rsid w:val="3AFD18C3"/>
    <w:rsid w:val="3B25F5D8"/>
    <w:rsid w:val="3B347B97"/>
    <w:rsid w:val="3B382D4E"/>
    <w:rsid w:val="3B886A12"/>
    <w:rsid w:val="3B895A23"/>
    <w:rsid w:val="3BB054E0"/>
    <w:rsid w:val="3BF9C4D1"/>
    <w:rsid w:val="3BFBBCFD"/>
    <w:rsid w:val="3C359A61"/>
    <w:rsid w:val="3CB61938"/>
    <w:rsid w:val="3D236EDC"/>
    <w:rsid w:val="3D26B65D"/>
    <w:rsid w:val="3D2A4B62"/>
    <w:rsid w:val="3D3C45AA"/>
    <w:rsid w:val="3D454AAF"/>
    <w:rsid w:val="3DDB8282"/>
    <w:rsid w:val="3DE6920A"/>
    <w:rsid w:val="3E2D6696"/>
    <w:rsid w:val="3E52C3D5"/>
    <w:rsid w:val="3E91EC61"/>
    <w:rsid w:val="3E96333F"/>
    <w:rsid w:val="3EAE3CF0"/>
    <w:rsid w:val="3ECA0B4A"/>
    <w:rsid w:val="3ECCEAE4"/>
    <w:rsid w:val="3EF48364"/>
    <w:rsid w:val="3F014CB4"/>
    <w:rsid w:val="3F09FBFB"/>
    <w:rsid w:val="3F3EC6C7"/>
    <w:rsid w:val="3F4C29D2"/>
    <w:rsid w:val="3F852923"/>
    <w:rsid w:val="3FAC65E2"/>
    <w:rsid w:val="3FC2F738"/>
    <w:rsid w:val="3FE2E936"/>
    <w:rsid w:val="3FE8E96C"/>
    <w:rsid w:val="3FED516A"/>
    <w:rsid w:val="40286402"/>
    <w:rsid w:val="40346C63"/>
    <w:rsid w:val="404E42EB"/>
    <w:rsid w:val="4079079C"/>
    <w:rsid w:val="407DE1D2"/>
    <w:rsid w:val="407ED1B3"/>
    <w:rsid w:val="408EE308"/>
    <w:rsid w:val="408FD636"/>
    <w:rsid w:val="40F55427"/>
    <w:rsid w:val="410552FD"/>
    <w:rsid w:val="410A54F9"/>
    <w:rsid w:val="410FCE3C"/>
    <w:rsid w:val="41252DCD"/>
    <w:rsid w:val="412A22F2"/>
    <w:rsid w:val="41409EC4"/>
    <w:rsid w:val="4140DD89"/>
    <w:rsid w:val="414CD4EC"/>
    <w:rsid w:val="41701838"/>
    <w:rsid w:val="41706A1C"/>
    <w:rsid w:val="41753102"/>
    <w:rsid w:val="419BD524"/>
    <w:rsid w:val="419DCCCC"/>
    <w:rsid w:val="419E1E0C"/>
    <w:rsid w:val="422C792A"/>
    <w:rsid w:val="423F66BE"/>
    <w:rsid w:val="426436E8"/>
    <w:rsid w:val="429035CF"/>
    <w:rsid w:val="42AF3D30"/>
    <w:rsid w:val="42BA7302"/>
    <w:rsid w:val="42D79503"/>
    <w:rsid w:val="42E936E9"/>
    <w:rsid w:val="431714F8"/>
    <w:rsid w:val="43326006"/>
    <w:rsid w:val="435D4032"/>
    <w:rsid w:val="438F4676"/>
    <w:rsid w:val="43B860C7"/>
    <w:rsid w:val="43C025C2"/>
    <w:rsid w:val="43F37965"/>
    <w:rsid w:val="4430EEBF"/>
    <w:rsid w:val="4454539C"/>
    <w:rsid w:val="446A1104"/>
    <w:rsid w:val="4476D18A"/>
    <w:rsid w:val="44C800CB"/>
    <w:rsid w:val="44DCD889"/>
    <w:rsid w:val="44F8EB56"/>
    <w:rsid w:val="451C9B32"/>
    <w:rsid w:val="4535F0B5"/>
    <w:rsid w:val="454B9F55"/>
    <w:rsid w:val="456DF470"/>
    <w:rsid w:val="45A1D270"/>
    <w:rsid w:val="45A3EE7D"/>
    <w:rsid w:val="45C31BCB"/>
    <w:rsid w:val="45D1019E"/>
    <w:rsid w:val="45D5BD19"/>
    <w:rsid w:val="4606809B"/>
    <w:rsid w:val="462252F4"/>
    <w:rsid w:val="4665E977"/>
    <w:rsid w:val="466AEA2D"/>
    <w:rsid w:val="46894E8D"/>
    <w:rsid w:val="46AE285C"/>
    <w:rsid w:val="46BC3CEB"/>
    <w:rsid w:val="471434F9"/>
    <w:rsid w:val="4760E983"/>
    <w:rsid w:val="47637259"/>
    <w:rsid w:val="47996B26"/>
    <w:rsid w:val="47B95678"/>
    <w:rsid w:val="47CD7258"/>
    <w:rsid w:val="48041076"/>
    <w:rsid w:val="482D2FF8"/>
    <w:rsid w:val="4845956B"/>
    <w:rsid w:val="48A024A9"/>
    <w:rsid w:val="48A68C04"/>
    <w:rsid w:val="48CD2B8D"/>
    <w:rsid w:val="48FC16DD"/>
    <w:rsid w:val="497C8ACA"/>
    <w:rsid w:val="498CD07B"/>
    <w:rsid w:val="498FFB18"/>
    <w:rsid w:val="49A05A02"/>
    <w:rsid w:val="49AAEE06"/>
    <w:rsid w:val="49AB28F7"/>
    <w:rsid w:val="49AEA974"/>
    <w:rsid w:val="49B9E889"/>
    <w:rsid w:val="49C53559"/>
    <w:rsid w:val="49DA65EA"/>
    <w:rsid w:val="49E4C305"/>
    <w:rsid w:val="49F08107"/>
    <w:rsid w:val="49FF184A"/>
    <w:rsid w:val="49FFB9C2"/>
    <w:rsid w:val="4A01E089"/>
    <w:rsid w:val="4A0D794F"/>
    <w:rsid w:val="4A11FA0B"/>
    <w:rsid w:val="4A3EC7F8"/>
    <w:rsid w:val="4A9EE74D"/>
    <w:rsid w:val="4AE070FA"/>
    <w:rsid w:val="4B06B96B"/>
    <w:rsid w:val="4B19F3E3"/>
    <w:rsid w:val="4B2301A3"/>
    <w:rsid w:val="4B333BFE"/>
    <w:rsid w:val="4B563CBE"/>
    <w:rsid w:val="4B604804"/>
    <w:rsid w:val="4B6C9AC3"/>
    <w:rsid w:val="4B7C0520"/>
    <w:rsid w:val="4BB5AB88"/>
    <w:rsid w:val="4BC2E7E3"/>
    <w:rsid w:val="4BD4CD7B"/>
    <w:rsid w:val="4BD85468"/>
    <w:rsid w:val="4C00A817"/>
    <w:rsid w:val="4C1F8866"/>
    <w:rsid w:val="4C2C291A"/>
    <w:rsid w:val="4C386514"/>
    <w:rsid w:val="4C38B663"/>
    <w:rsid w:val="4C497B8D"/>
    <w:rsid w:val="4CB7EC17"/>
    <w:rsid w:val="4CCC54F7"/>
    <w:rsid w:val="4CD3B424"/>
    <w:rsid w:val="4D0DF4CE"/>
    <w:rsid w:val="4D105C0C"/>
    <w:rsid w:val="4D1E5384"/>
    <w:rsid w:val="4D3665DC"/>
    <w:rsid w:val="4D71E382"/>
    <w:rsid w:val="4D830106"/>
    <w:rsid w:val="4D9393BF"/>
    <w:rsid w:val="4DAE7D95"/>
    <w:rsid w:val="4DB080DE"/>
    <w:rsid w:val="4DB6BC9A"/>
    <w:rsid w:val="4DC34F47"/>
    <w:rsid w:val="4E01CA46"/>
    <w:rsid w:val="4E23ED4C"/>
    <w:rsid w:val="4E3CBCDA"/>
    <w:rsid w:val="4E4E3961"/>
    <w:rsid w:val="4E634468"/>
    <w:rsid w:val="4E96AB7B"/>
    <w:rsid w:val="4EB9E9A9"/>
    <w:rsid w:val="4EC37C2A"/>
    <w:rsid w:val="4F861EF3"/>
    <w:rsid w:val="4FC66E07"/>
    <w:rsid w:val="4FE6CA8F"/>
    <w:rsid w:val="4FEA2E09"/>
    <w:rsid w:val="508748CD"/>
    <w:rsid w:val="50976A2E"/>
    <w:rsid w:val="50AD46C3"/>
    <w:rsid w:val="50B970BC"/>
    <w:rsid w:val="50C17F38"/>
    <w:rsid w:val="50D5FACF"/>
    <w:rsid w:val="50D91AD8"/>
    <w:rsid w:val="5133BEEE"/>
    <w:rsid w:val="51371C7D"/>
    <w:rsid w:val="514358F6"/>
    <w:rsid w:val="51EA92AB"/>
    <w:rsid w:val="51F2E445"/>
    <w:rsid w:val="5237C3F0"/>
    <w:rsid w:val="525B0663"/>
    <w:rsid w:val="5261738A"/>
    <w:rsid w:val="526F1BBB"/>
    <w:rsid w:val="5286A4F7"/>
    <w:rsid w:val="52907739"/>
    <w:rsid w:val="52BD2B80"/>
    <w:rsid w:val="52C4C418"/>
    <w:rsid w:val="52C5BE30"/>
    <w:rsid w:val="52CBC753"/>
    <w:rsid w:val="530DAE47"/>
    <w:rsid w:val="532DF23A"/>
    <w:rsid w:val="5336F6C9"/>
    <w:rsid w:val="53389330"/>
    <w:rsid w:val="53511C8A"/>
    <w:rsid w:val="5391CBCF"/>
    <w:rsid w:val="53AE0CC4"/>
    <w:rsid w:val="53BB8A2D"/>
    <w:rsid w:val="53C50215"/>
    <w:rsid w:val="53FD5E77"/>
    <w:rsid w:val="544B7E78"/>
    <w:rsid w:val="545916F4"/>
    <w:rsid w:val="547A3B2A"/>
    <w:rsid w:val="549DCFEB"/>
    <w:rsid w:val="549E417F"/>
    <w:rsid w:val="54A15079"/>
    <w:rsid w:val="54AA492B"/>
    <w:rsid w:val="54D3246C"/>
    <w:rsid w:val="54E62363"/>
    <w:rsid w:val="54F0D788"/>
    <w:rsid w:val="5570FF86"/>
    <w:rsid w:val="558589A6"/>
    <w:rsid w:val="559EF4C4"/>
    <w:rsid w:val="55CE73D0"/>
    <w:rsid w:val="55EA88CC"/>
    <w:rsid w:val="55F6DE95"/>
    <w:rsid w:val="55FF0A2E"/>
    <w:rsid w:val="56198C20"/>
    <w:rsid w:val="562649F8"/>
    <w:rsid w:val="56616527"/>
    <w:rsid w:val="566BCED8"/>
    <w:rsid w:val="5671B83F"/>
    <w:rsid w:val="5692DE91"/>
    <w:rsid w:val="56B4F3FE"/>
    <w:rsid w:val="56BEB3B6"/>
    <w:rsid w:val="56CD31DA"/>
    <w:rsid w:val="56D5B4EA"/>
    <w:rsid w:val="56D613C5"/>
    <w:rsid w:val="56E7644F"/>
    <w:rsid w:val="56F257CF"/>
    <w:rsid w:val="56F34708"/>
    <w:rsid w:val="571F4BFB"/>
    <w:rsid w:val="57425503"/>
    <w:rsid w:val="57624310"/>
    <w:rsid w:val="57CEEC2F"/>
    <w:rsid w:val="57F50061"/>
    <w:rsid w:val="57FE482E"/>
    <w:rsid w:val="58024BE2"/>
    <w:rsid w:val="5802D821"/>
    <w:rsid w:val="58218242"/>
    <w:rsid w:val="585B4B85"/>
    <w:rsid w:val="5872359D"/>
    <w:rsid w:val="5874D55F"/>
    <w:rsid w:val="587C263A"/>
    <w:rsid w:val="587D8955"/>
    <w:rsid w:val="58F392EE"/>
    <w:rsid w:val="590DF3D6"/>
    <w:rsid w:val="59735182"/>
    <w:rsid w:val="597EE7DF"/>
    <w:rsid w:val="59A06263"/>
    <w:rsid w:val="59B34A2D"/>
    <w:rsid w:val="59B8EC06"/>
    <w:rsid w:val="59BBE99D"/>
    <w:rsid w:val="59DA8165"/>
    <w:rsid w:val="5A11B84B"/>
    <w:rsid w:val="5A1FAF9B"/>
    <w:rsid w:val="5A31CD56"/>
    <w:rsid w:val="5A325375"/>
    <w:rsid w:val="5A81981B"/>
    <w:rsid w:val="5A83A434"/>
    <w:rsid w:val="5A88D2BA"/>
    <w:rsid w:val="5AB90AA4"/>
    <w:rsid w:val="5B12D144"/>
    <w:rsid w:val="5B1D9028"/>
    <w:rsid w:val="5B2A7D73"/>
    <w:rsid w:val="5B4F9BB1"/>
    <w:rsid w:val="5BA37B46"/>
    <w:rsid w:val="5BBE6A6D"/>
    <w:rsid w:val="5BDB13BA"/>
    <w:rsid w:val="5BEAF6A2"/>
    <w:rsid w:val="5BEDA87A"/>
    <w:rsid w:val="5BFC726F"/>
    <w:rsid w:val="5C054DE9"/>
    <w:rsid w:val="5C0EB055"/>
    <w:rsid w:val="5C2BBF51"/>
    <w:rsid w:val="5C37680A"/>
    <w:rsid w:val="5C4BEBCD"/>
    <w:rsid w:val="5C60BAC1"/>
    <w:rsid w:val="5C69CFAA"/>
    <w:rsid w:val="5CC4F5F6"/>
    <w:rsid w:val="5CCF4D0C"/>
    <w:rsid w:val="5D03202D"/>
    <w:rsid w:val="5D1B02BA"/>
    <w:rsid w:val="5D1E1A99"/>
    <w:rsid w:val="5D2E2CFA"/>
    <w:rsid w:val="5D31CBA5"/>
    <w:rsid w:val="5D443D8A"/>
    <w:rsid w:val="5D4E838E"/>
    <w:rsid w:val="5D5DF1FC"/>
    <w:rsid w:val="5DAAC3A1"/>
    <w:rsid w:val="5E08DA00"/>
    <w:rsid w:val="5E2613AE"/>
    <w:rsid w:val="5E40DC16"/>
    <w:rsid w:val="5E652563"/>
    <w:rsid w:val="5E6BBD69"/>
    <w:rsid w:val="5E85B51C"/>
    <w:rsid w:val="5E8C1332"/>
    <w:rsid w:val="5EC33B04"/>
    <w:rsid w:val="5ECCD064"/>
    <w:rsid w:val="5ED0CAA8"/>
    <w:rsid w:val="5EDDA96B"/>
    <w:rsid w:val="5EEB1374"/>
    <w:rsid w:val="5EFC28FB"/>
    <w:rsid w:val="5F1DE359"/>
    <w:rsid w:val="5F4A25EB"/>
    <w:rsid w:val="5F4F2F4D"/>
    <w:rsid w:val="5F51A2C5"/>
    <w:rsid w:val="5F5DD38F"/>
    <w:rsid w:val="5F945E32"/>
    <w:rsid w:val="5F95CBBC"/>
    <w:rsid w:val="5FCC4C16"/>
    <w:rsid w:val="600759E7"/>
    <w:rsid w:val="60385F4C"/>
    <w:rsid w:val="60416D3E"/>
    <w:rsid w:val="6043714F"/>
    <w:rsid w:val="604A520F"/>
    <w:rsid w:val="604EDEE4"/>
    <w:rsid w:val="609B18A0"/>
    <w:rsid w:val="609D3FB7"/>
    <w:rsid w:val="60F22960"/>
    <w:rsid w:val="60F9B4CF"/>
    <w:rsid w:val="611D64B6"/>
    <w:rsid w:val="6122F03A"/>
    <w:rsid w:val="6145B4FE"/>
    <w:rsid w:val="614BAECB"/>
    <w:rsid w:val="6197D69E"/>
    <w:rsid w:val="61B58936"/>
    <w:rsid w:val="61C299D9"/>
    <w:rsid w:val="61CC8C29"/>
    <w:rsid w:val="61DAE804"/>
    <w:rsid w:val="621A39C9"/>
    <w:rsid w:val="6230EC71"/>
    <w:rsid w:val="625E13F5"/>
    <w:rsid w:val="625F26E6"/>
    <w:rsid w:val="628433E3"/>
    <w:rsid w:val="62ACF42D"/>
    <w:rsid w:val="62C67FB6"/>
    <w:rsid w:val="62D908E8"/>
    <w:rsid w:val="62E97BA5"/>
    <w:rsid w:val="62FD9848"/>
    <w:rsid w:val="63292764"/>
    <w:rsid w:val="633BA385"/>
    <w:rsid w:val="633BCDCB"/>
    <w:rsid w:val="63474710"/>
    <w:rsid w:val="6357FDCA"/>
    <w:rsid w:val="637C9D18"/>
    <w:rsid w:val="638D658C"/>
    <w:rsid w:val="63C05A75"/>
    <w:rsid w:val="63F7B03B"/>
    <w:rsid w:val="6450F5E1"/>
    <w:rsid w:val="6451A163"/>
    <w:rsid w:val="64604529"/>
    <w:rsid w:val="646F6187"/>
    <w:rsid w:val="647AFD1A"/>
    <w:rsid w:val="64804D53"/>
    <w:rsid w:val="6490EE88"/>
    <w:rsid w:val="64A1CAFC"/>
    <w:rsid w:val="64AC4EC3"/>
    <w:rsid w:val="64BE4776"/>
    <w:rsid w:val="64E1849D"/>
    <w:rsid w:val="64ECA29E"/>
    <w:rsid w:val="64F86084"/>
    <w:rsid w:val="651FCE4F"/>
    <w:rsid w:val="65423D22"/>
    <w:rsid w:val="6549146B"/>
    <w:rsid w:val="65589FAE"/>
    <w:rsid w:val="6560B017"/>
    <w:rsid w:val="658B16F9"/>
    <w:rsid w:val="65912621"/>
    <w:rsid w:val="659EA5E7"/>
    <w:rsid w:val="65E139C4"/>
    <w:rsid w:val="65E2BC79"/>
    <w:rsid w:val="65FA63EB"/>
    <w:rsid w:val="6610364B"/>
    <w:rsid w:val="6615DE47"/>
    <w:rsid w:val="661BEA3E"/>
    <w:rsid w:val="661D6A8B"/>
    <w:rsid w:val="66362F58"/>
    <w:rsid w:val="665C07C9"/>
    <w:rsid w:val="665C6142"/>
    <w:rsid w:val="66B35D6D"/>
    <w:rsid w:val="66D9B208"/>
    <w:rsid w:val="66EBFFE8"/>
    <w:rsid w:val="66EC2264"/>
    <w:rsid w:val="66F6E6FD"/>
    <w:rsid w:val="66FC61B9"/>
    <w:rsid w:val="6714C5DE"/>
    <w:rsid w:val="671B034D"/>
    <w:rsid w:val="671EFE87"/>
    <w:rsid w:val="675C56FC"/>
    <w:rsid w:val="67899E65"/>
    <w:rsid w:val="67AA313D"/>
    <w:rsid w:val="67AB6589"/>
    <w:rsid w:val="67AED48F"/>
    <w:rsid w:val="67B3ACD6"/>
    <w:rsid w:val="67E2D569"/>
    <w:rsid w:val="67FF4C36"/>
    <w:rsid w:val="6853D861"/>
    <w:rsid w:val="68540275"/>
    <w:rsid w:val="6876C78A"/>
    <w:rsid w:val="688A4D6A"/>
    <w:rsid w:val="689315F9"/>
    <w:rsid w:val="68C25214"/>
    <w:rsid w:val="68C4DDB0"/>
    <w:rsid w:val="68CDFDF8"/>
    <w:rsid w:val="68DCF641"/>
    <w:rsid w:val="69244AEB"/>
    <w:rsid w:val="69426112"/>
    <w:rsid w:val="694E680E"/>
    <w:rsid w:val="6954B276"/>
    <w:rsid w:val="698D3224"/>
    <w:rsid w:val="69906047"/>
    <w:rsid w:val="699DE01C"/>
    <w:rsid w:val="69A3B5FA"/>
    <w:rsid w:val="69FD31E9"/>
    <w:rsid w:val="6A23DA35"/>
    <w:rsid w:val="6A24BE3F"/>
    <w:rsid w:val="6A3888F4"/>
    <w:rsid w:val="6A4C17ED"/>
    <w:rsid w:val="6A7877DF"/>
    <w:rsid w:val="6AF365F1"/>
    <w:rsid w:val="6B037AD5"/>
    <w:rsid w:val="6B243733"/>
    <w:rsid w:val="6B3E213C"/>
    <w:rsid w:val="6B3ECA19"/>
    <w:rsid w:val="6B69974F"/>
    <w:rsid w:val="6B7BB519"/>
    <w:rsid w:val="6B8F75BD"/>
    <w:rsid w:val="6B9769C0"/>
    <w:rsid w:val="6B9E0E99"/>
    <w:rsid w:val="6BCCE49B"/>
    <w:rsid w:val="6BF55E17"/>
    <w:rsid w:val="6C10DEED"/>
    <w:rsid w:val="6C3BE2AD"/>
    <w:rsid w:val="6C69BA9A"/>
    <w:rsid w:val="6C9281F6"/>
    <w:rsid w:val="6D037B3A"/>
    <w:rsid w:val="6D6AE9FE"/>
    <w:rsid w:val="6D6E5E67"/>
    <w:rsid w:val="6DB3B361"/>
    <w:rsid w:val="6DC8B73F"/>
    <w:rsid w:val="6DE92C4C"/>
    <w:rsid w:val="6E6E459F"/>
    <w:rsid w:val="6E81516E"/>
    <w:rsid w:val="6E925A42"/>
    <w:rsid w:val="6EB86744"/>
    <w:rsid w:val="6F19DD0B"/>
    <w:rsid w:val="6F325EA4"/>
    <w:rsid w:val="6F4B68DC"/>
    <w:rsid w:val="6F54A5C6"/>
    <w:rsid w:val="6F647C5E"/>
    <w:rsid w:val="6F778787"/>
    <w:rsid w:val="6F782C10"/>
    <w:rsid w:val="6F792EEC"/>
    <w:rsid w:val="6F7C75FF"/>
    <w:rsid w:val="6F7D92CD"/>
    <w:rsid w:val="6F976DAF"/>
    <w:rsid w:val="6F9C2553"/>
    <w:rsid w:val="6FCAEF03"/>
    <w:rsid w:val="6FD83A83"/>
    <w:rsid w:val="6FEDE6C8"/>
    <w:rsid w:val="7000E0CD"/>
    <w:rsid w:val="70060E41"/>
    <w:rsid w:val="7006A517"/>
    <w:rsid w:val="70198720"/>
    <w:rsid w:val="7020F284"/>
    <w:rsid w:val="7036F0A6"/>
    <w:rsid w:val="7086B960"/>
    <w:rsid w:val="7091F930"/>
    <w:rsid w:val="70BB7F0E"/>
    <w:rsid w:val="70CF33EE"/>
    <w:rsid w:val="70D3B9D1"/>
    <w:rsid w:val="70E1B07F"/>
    <w:rsid w:val="70E5CC7D"/>
    <w:rsid w:val="713E2268"/>
    <w:rsid w:val="715224C7"/>
    <w:rsid w:val="71588916"/>
    <w:rsid w:val="717A90EE"/>
    <w:rsid w:val="717B8113"/>
    <w:rsid w:val="7199E1AA"/>
    <w:rsid w:val="71AB7439"/>
    <w:rsid w:val="71EF9F16"/>
    <w:rsid w:val="71F5CCD4"/>
    <w:rsid w:val="72110EB3"/>
    <w:rsid w:val="722DEF5B"/>
    <w:rsid w:val="72908C70"/>
    <w:rsid w:val="72A2A232"/>
    <w:rsid w:val="7319636E"/>
    <w:rsid w:val="733A448E"/>
    <w:rsid w:val="73482FE0"/>
    <w:rsid w:val="7351E9B7"/>
    <w:rsid w:val="736080A4"/>
    <w:rsid w:val="7366249A"/>
    <w:rsid w:val="73A2E1C9"/>
    <w:rsid w:val="73C15D5A"/>
    <w:rsid w:val="74504A46"/>
    <w:rsid w:val="745354F0"/>
    <w:rsid w:val="746BDC59"/>
    <w:rsid w:val="7479B1FC"/>
    <w:rsid w:val="7479CB93"/>
    <w:rsid w:val="74D65892"/>
    <w:rsid w:val="74DC0A15"/>
    <w:rsid w:val="74F5BE68"/>
    <w:rsid w:val="7512A29F"/>
    <w:rsid w:val="752BAD89"/>
    <w:rsid w:val="753490EF"/>
    <w:rsid w:val="7553A4FB"/>
    <w:rsid w:val="75934C69"/>
    <w:rsid w:val="75958139"/>
    <w:rsid w:val="75BFD3F3"/>
    <w:rsid w:val="75EDF0EA"/>
    <w:rsid w:val="75F7CC7D"/>
    <w:rsid w:val="760B3A66"/>
    <w:rsid w:val="76122337"/>
    <w:rsid w:val="7622A1EE"/>
    <w:rsid w:val="7630F88F"/>
    <w:rsid w:val="7644C7EC"/>
    <w:rsid w:val="764AA710"/>
    <w:rsid w:val="766389F7"/>
    <w:rsid w:val="7665ACAE"/>
    <w:rsid w:val="76999233"/>
    <w:rsid w:val="76A6E536"/>
    <w:rsid w:val="76BBBF79"/>
    <w:rsid w:val="76F92F19"/>
    <w:rsid w:val="7736A25C"/>
    <w:rsid w:val="7750638C"/>
    <w:rsid w:val="7758EA16"/>
    <w:rsid w:val="7765D26F"/>
    <w:rsid w:val="776C2C60"/>
    <w:rsid w:val="77785EFA"/>
    <w:rsid w:val="77818C08"/>
    <w:rsid w:val="77853E06"/>
    <w:rsid w:val="7793253A"/>
    <w:rsid w:val="77C80E12"/>
    <w:rsid w:val="77CDFE10"/>
    <w:rsid w:val="77EFB612"/>
    <w:rsid w:val="780BD701"/>
    <w:rsid w:val="782EC75A"/>
    <w:rsid w:val="787A5C88"/>
    <w:rsid w:val="78A178E0"/>
    <w:rsid w:val="78C34A06"/>
    <w:rsid w:val="78E96CAE"/>
    <w:rsid w:val="78FCF0B4"/>
    <w:rsid w:val="78FF64AF"/>
    <w:rsid w:val="7913EFE9"/>
    <w:rsid w:val="79451897"/>
    <w:rsid w:val="79577DAA"/>
    <w:rsid w:val="79B6FB76"/>
    <w:rsid w:val="79C21AB7"/>
    <w:rsid w:val="79FC9A16"/>
    <w:rsid w:val="7A07261E"/>
    <w:rsid w:val="7A2D0057"/>
    <w:rsid w:val="7A326ED4"/>
    <w:rsid w:val="7A980751"/>
    <w:rsid w:val="7AB497B3"/>
    <w:rsid w:val="7ABC0C45"/>
    <w:rsid w:val="7AF4B5B5"/>
    <w:rsid w:val="7AF8F044"/>
    <w:rsid w:val="7B130F3B"/>
    <w:rsid w:val="7B142D9D"/>
    <w:rsid w:val="7B62102B"/>
    <w:rsid w:val="7B63924A"/>
    <w:rsid w:val="7B6492E7"/>
    <w:rsid w:val="7B6CBEC0"/>
    <w:rsid w:val="7B749805"/>
    <w:rsid w:val="7B8B4635"/>
    <w:rsid w:val="7B913FB1"/>
    <w:rsid w:val="7B9DC150"/>
    <w:rsid w:val="7BA205A5"/>
    <w:rsid w:val="7BB2A700"/>
    <w:rsid w:val="7BD48882"/>
    <w:rsid w:val="7BDDEFB1"/>
    <w:rsid w:val="7BE426D2"/>
    <w:rsid w:val="7C0B7AE2"/>
    <w:rsid w:val="7C0F6815"/>
    <w:rsid w:val="7C29C934"/>
    <w:rsid w:val="7C2EC806"/>
    <w:rsid w:val="7C6715EC"/>
    <w:rsid w:val="7C718A92"/>
    <w:rsid w:val="7C94A5E6"/>
    <w:rsid w:val="7CBE2B20"/>
    <w:rsid w:val="7CD915C1"/>
    <w:rsid w:val="7CE31ED8"/>
    <w:rsid w:val="7D033F05"/>
    <w:rsid w:val="7D2D6B83"/>
    <w:rsid w:val="7D4DD9CF"/>
    <w:rsid w:val="7D6450AC"/>
    <w:rsid w:val="7D6ABCF5"/>
    <w:rsid w:val="7D6E8DFE"/>
    <w:rsid w:val="7D705E21"/>
    <w:rsid w:val="7D800A4F"/>
    <w:rsid w:val="7D80ED84"/>
    <w:rsid w:val="7D85F278"/>
    <w:rsid w:val="7DC0A3AA"/>
    <w:rsid w:val="7DDEA03C"/>
    <w:rsid w:val="7DE0A18B"/>
    <w:rsid w:val="7E263E90"/>
    <w:rsid w:val="7E7B1C04"/>
    <w:rsid w:val="7E832A71"/>
    <w:rsid w:val="7EB9EEA7"/>
    <w:rsid w:val="7ED19D80"/>
    <w:rsid w:val="7EFE5210"/>
    <w:rsid w:val="7F1128EB"/>
    <w:rsid w:val="7F2DC441"/>
    <w:rsid w:val="7F442BE0"/>
    <w:rsid w:val="7F4F7747"/>
    <w:rsid w:val="7F61DA8A"/>
    <w:rsid w:val="7F77728F"/>
    <w:rsid w:val="7F857A47"/>
    <w:rsid w:val="7F9D294E"/>
    <w:rsid w:val="7FA0DE8B"/>
    <w:rsid w:val="7FB6D2B9"/>
    <w:rsid w:val="7FBB9BDB"/>
    <w:rsid w:val="7FBF45A1"/>
    <w:rsid w:val="7FD49370"/>
    <w:rsid w:val="7FE7E684"/>
    <w:rsid w:val="7FF6F3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31F906"/>
  <w15:docId w15:val="{ABD2CB87-8AE3-9F40-BF51-07E40AE16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C0CE3"/>
  </w:style>
  <w:style w:type="paragraph" w:styleId="Heading1">
    <w:name w:val="heading 1"/>
    <w:basedOn w:val="Normal"/>
    <w:next w:val="BodyText"/>
    <w:uiPriority w:val="9"/>
    <w:qFormat/>
    <w:rsid w:val="00167C71"/>
    <w:pPr>
      <w:keepNext/>
      <w:keepLines/>
      <w:spacing w:before="480" w:after="0" w:line="480" w:lineRule="auto"/>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927A3"/>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E1E5C"/>
    <w:pPr>
      <w:keepNext/>
      <w:keepLines/>
      <w:spacing w:before="200" w:after="0"/>
      <w:outlineLvl w:val="2"/>
    </w:pPr>
    <w:rPr>
      <w:rFonts w:ascii="Times New Roman" w:eastAsiaTheme="majorEastAsia" w:hAnsi="Times New Roman" w:cstheme="majorBidi"/>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67C71"/>
    <w:pPr>
      <w:spacing w:before="180" w:after="180" w:line="480" w:lineRule="auto"/>
    </w:pPr>
    <w:rPr>
      <w:rFonts w:ascii="Times New Roman" w:hAnsi="Times New Roman"/>
    </w:rPr>
  </w:style>
  <w:style w:type="paragraph" w:customStyle="1" w:styleId="FirstParagraph">
    <w:name w:val="First Paragraph"/>
    <w:basedOn w:val="BodyText"/>
    <w:next w:val="BodyText"/>
    <w:qFormat/>
    <w:rsid w:val="00167C71"/>
  </w:style>
  <w:style w:type="paragraph" w:customStyle="1" w:styleId="Compact">
    <w:name w:val="Compact"/>
    <w:basedOn w:val="BodyText"/>
    <w:qFormat/>
    <w:pPr>
      <w:spacing w:before="36" w:after="36"/>
    </w:pPr>
  </w:style>
  <w:style w:type="paragraph" w:styleId="Title">
    <w:name w:val="Title"/>
    <w:basedOn w:val="Normal"/>
    <w:next w:val="BodyText"/>
    <w:qFormat/>
    <w:rsid w:val="00167C71"/>
    <w:pPr>
      <w:keepNext/>
      <w:keepLines/>
      <w:spacing w:before="360" w:after="120"/>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rsid w:val="00167C71"/>
    <w:pPr>
      <w:spacing w:before="120"/>
    </w:pPr>
    <w:rPr>
      <w:szCs w:val="30"/>
    </w:rPr>
  </w:style>
  <w:style w:type="paragraph" w:customStyle="1" w:styleId="Author">
    <w:name w:val="Author"/>
    <w:next w:val="BodyText"/>
    <w:qFormat/>
    <w:rsid w:val="00167C71"/>
    <w:pPr>
      <w:keepNext/>
      <w:keepLines/>
      <w:spacing w:after="80"/>
    </w:pPr>
    <w:rPr>
      <w:rFonts w:ascii="Times New Roman" w:hAnsi="Times New Roman"/>
    </w:rPr>
  </w:style>
  <w:style w:type="paragraph" w:styleId="Date">
    <w:name w:val="Date"/>
    <w:next w:val="BodyText"/>
    <w:qFormat/>
    <w:rsid w:val="00167C71"/>
    <w:pPr>
      <w:keepNext/>
      <w:keepLines/>
      <w:spacing w:after="80"/>
    </w:pPr>
    <w:rPr>
      <w:rFonts w:ascii="Times New Roman" w:hAnsi="Times New Roman"/>
    </w:rPr>
  </w:style>
  <w:style w:type="paragraph" w:customStyle="1" w:styleId="Abstract">
    <w:name w:val="Abstract"/>
    <w:basedOn w:val="Normal"/>
    <w:next w:val="BodyText"/>
    <w:qFormat/>
    <w:rsid w:val="00167C71"/>
    <w:pPr>
      <w:keepNext/>
      <w:keepLines/>
      <w:spacing w:after="0" w:line="480" w:lineRule="auto"/>
    </w:pPr>
    <w:rPr>
      <w:rFonts w:ascii="Times New Roman" w:hAnsi="Times New Roman"/>
      <w:szCs w:val="20"/>
    </w:rPr>
  </w:style>
  <w:style w:type="paragraph" w:styleId="Bibliography">
    <w:name w:val="Bibliography"/>
    <w:basedOn w:val="Normal"/>
    <w:qFormat/>
    <w:rsid w:val="0030190A"/>
    <w:pPr>
      <w:spacing w:after="0" w:line="480" w:lineRule="auto"/>
      <w:ind w:left="720" w:hanging="720"/>
    </w:pPr>
    <w:rPr>
      <w:rFonts w:ascii="Times New Roman" w:hAnsi="Times New Roman"/>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08670E"/>
    <w:rPr>
      <w:rFonts w:ascii="Times New Roman" w:hAnsi="Times New Roman"/>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7545A8"/>
    <w:pPr>
      <w:keepNext/>
      <w:keepLines/>
      <w:spacing w:after="0"/>
    </w:pPr>
    <w:rPr>
      <w:rFonts w:ascii="Times New Roman" w:hAnsi="Times New Roman"/>
      <w:b/>
    </w:rPr>
  </w:style>
  <w:style w:type="paragraph" w:customStyle="1" w:styleId="Definition">
    <w:name w:val="Definition"/>
    <w:basedOn w:val="Normal"/>
    <w:rsid w:val="007545A8"/>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167C71"/>
    <w:pPr>
      <w:keepNext/>
    </w:pPr>
    <w:rPr>
      <w:rFonts w:ascii="Times New Roman" w:hAnsi="Times New Roman"/>
      <w:i w:val="0"/>
    </w:rPr>
  </w:style>
  <w:style w:type="paragraph" w:customStyle="1" w:styleId="ImageCaption">
    <w:name w:val="Image Caption"/>
    <w:basedOn w:val="Caption"/>
    <w:rsid w:val="00167C71"/>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sz w:val="24"/>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Times New Roman" w:hAnsi="Times New Roman"/>
      <w:sz w:val="24"/>
    </w:rPr>
  </w:style>
  <w:style w:type="character" w:styleId="FootnoteReference">
    <w:name w:val="footnote reference"/>
    <w:basedOn w:val="CaptionChar"/>
    <w:rsid w:val="007545A8"/>
    <w:rPr>
      <w:rFonts w:ascii="Times New Roman" w:hAnsi="Times New Roman"/>
      <w:sz w:val="24"/>
      <w:vertAlign w:val="superscript"/>
    </w:rPr>
  </w:style>
  <w:style w:type="character" w:styleId="Hyperlink">
    <w:name w:val="Hyperlink"/>
    <w:basedOn w:val="CaptionChar"/>
    <w:rPr>
      <w:rFonts w:ascii="Times New Roman" w:hAnsi="Times New Roman"/>
      <w:color w:val="4F81BD" w:themeColor="accent1"/>
      <w:sz w:val="24"/>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styleId="Footer">
    <w:name w:val="footer"/>
    <w:basedOn w:val="Normal"/>
    <w:link w:val="FooterChar"/>
    <w:rsid w:val="00167C71"/>
    <w:pPr>
      <w:tabs>
        <w:tab w:val="center" w:pos="4680"/>
        <w:tab w:val="right" w:pos="9360"/>
      </w:tabs>
      <w:spacing w:after="0"/>
    </w:pPr>
  </w:style>
  <w:style w:type="character" w:customStyle="1" w:styleId="FooterChar">
    <w:name w:val="Footer Char"/>
    <w:basedOn w:val="DefaultParagraphFont"/>
    <w:link w:val="Footer"/>
    <w:rsid w:val="00167C71"/>
    <w:rPr>
      <w:rFonts w:ascii="Times New Roman" w:hAnsi="Times New Roman"/>
      <w:sz w:val="24"/>
    </w:rPr>
  </w:style>
  <w:style w:type="character" w:styleId="PageNumber">
    <w:name w:val="page number"/>
    <w:basedOn w:val="DefaultParagraphFont"/>
    <w:rsid w:val="00167C71"/>
    <w:rPr>
      <w:rFonts w:ascii="Times New Roman" w:hAnsi="Times New Roman"/>
      <w:sz w:val="24"/>
    </w:rPr>
  </w:style>
  <w:style w:type="character" w:styleId="LineNumber">
    <w:name w:val="line number"/>
    <w:basedOn w:val="DefaultParagraphFont"/>
    <w:rsid w:val="00167C71"/>
    <w:rPr>
      <w:rFonts w:ascii="Times New Roman" w:hAnsi="Times New Roman"/>
      <w:sz w:val="24"/>
    </w:rPr>
  </w:style>
  <w:style w:type="paragraph" w:styleId="TableofAuthorities">
    <w:name w:val="table of authorities"/>
    <w:basedOn w:val="Normal"/>
    <w:next w:val="Normal"/>
    <w:rsid w:val="007545A8"/>
    <w:pPr>
      <w:spacing w:after="0"/>
      <w:ind w:left="240" w:hanging="240"/>
    </w:pPr>
    <w:rPr>
      <w:rFonts w:ascii="Times New Roman" w:hAnsi="Times New Roman"/>
    </w:rPr>
  </w:style>
  <w:style w:type="paragraph" w:styleId="BodyText2">
    <w:name w:val="Body Text 2"/>
    <w:basedOn w:val="Normal"/>
    <w:link w:val="BodyText2Char"/>
    <w:rsid w:val="00FA047F"/>
    <w:pPr>
      <w:spacing w:after="120" w:line="480" w:lineRule="auto"/>
    </w:pPr>
    <w:rPr>
      <w:rFonts w:ascii="Times New Roman" w:hAnsi="Times New Roman"/>
    </w:rPr>
  </w:style>
  <w:style w:type="character" w:customStyle="1" w:styleId="BodyText2Char">
    <w:name w:val="Body Text 2 Char"/>
    <w:basedOn w:val="DefaultParagraphFont"/>
    <w:link w:val="BodyText2"/>
    <w:rsid w:val="00FA047F"/>
    <w:rPr>
      <w:rFonts w:ascii="Times New Roman" w:hAnsi="Times New Roman"/>
    </w:rPr>
  </w:style>
  <w:style w:type="character" w:styleId="EndnoteReference">
    <w:name w:val="endnote reference"/>
    <w:basedOn w:val="DefaultParagraphFont"/>
    <w:rsid w:val="0030190A"/>
    <w:rPr>
      <w:rFonts w:ascii="Times New Roman" w:hAnsi="Times New Roman"/>
      <w:sz w:val="24"/>
      <w:vertAlign w:val="superscript"/>
    </w:rPr>
  </w:style>
  <w:style w:type="character" w:styleId="PlaceholderText">
    <w:name w:val="Placeholder Text"/>
    <w:basedOn w:val="DefaultParagraphFont"/>
    <w:rsid w:val="00D373F1"/>
    <w:rPr>
      <w:color w:val="666666"/>
    </w:rPr>
  </w:style>
  <w:style w:type="paragraph" w:customStyle="1" w:styleId="Equation">
    <w:name w:val="Equation"/>
    <w:basedOn w:val="Normal"/>
    <w:qFormat/>
    <w:rsid w:val="00FA047F"/>
    <w:rPr>
      <w:rFonts w:ascii="Times New Roman" w:hAnsi="Times New Roman"/>
      <w:i/>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CommentReference">
    <w:name w:val="annotation reference"/>
    <w:basedOn w:val="DefaultParagraphFont"/>
    <w:rsid w:val="00B20A83"/>
    <w:rPr>
      <w:sz w:val="16"/>
      <w:szCs w:val="16"/>
    </w:rPr>
  </w:style>
  <w:style w:type="paragraph" w:styleId="CommentText">
    <w:name w:val="annotation text"/>
    <w:basedOn w:val="Normal"/>
    <w:link w:val="CommentTextChar"/>
    <w:rsid w:val="00B20A83"/>
    <w:rPr>
      <w:sz w:val="20"/>
      <w:szCs w:val="20"/>
    </w:rPr>
  </w:style>
  <w:style w:type="character" w:customStyle="1" w:styleId="CommentTextChar">
    <w:name w:val="Comment Text Char"/>
    <w:basedOn w:val="DefaultParagraphFont"/>
    <w:link w:val="CommentText"/>
    <w:rsid w:val="00B20A83"/>
    <w:rPr>
      <w:sz w:val="20"/>
      <w:szCs w:val="20"/>
    </w:rPr>
  </w:style>
  <w:style w:type="paragraph" w:styleId="CommentSubject">
    <w:name w:val="annotation subject"/>
    <w:basedOn w:val="CommentText"/>
    <w:next w:val="CommentText"/>
    <w:link w:val="CommentSubjectChar"/>
    <w:rsid w:val="00B20A83"/>
    <w:rPr>
      <w:b/>
      <w:bCs/>
    </w:rPr>
  </w:style>
  <w:style w:type="character" w:customStyle="1" w:styleId="CommentSubjectChar">
    <w:name w:val="Comment Subject Char"/>
    <w:basedOn w:val="CommentTextChar"/>
    <w:link w:val="CommentSubject"/>
    <w:rsid w:val="00B20A83"/>
    <w:rPr>
      <w:b/>
      <w:bCs/>
      <w:sz w:val="20"/>
      <w:szCs w:val="20"/>
    </w:rPr>
  </w:style>
  <w:style w:type="paragraph" w:styleId="Revision">
    <w:name w:val="Revision"/>
    <w:hidden/>
    <w:rsid w:val="006B595D"/>
    <w:pPr>
      <w:spacing w:after="0"/>
    </w:pPr>
  </w:style>
  <w:style w:type="paragraph" w:customStyle="1" w:styleId="paragraph">
    <w:name w:val="paragraph"/>
    <w:basedOn w:val="Normal"/>
    <w:rsid w:val="006C55E4"/>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6C55E4"/>
  </w:style>
  <w:style w:type="character" w:customStyle="1" w:styleId="eop">
    <w:name w:val="eop"/>
    <w:basedOn w:val="DefaultParagraphFont"/>
    <w:rsid w:val="006C55E4"/>
  </w:style>
  <w:style w:type="character" w:styleId="UnresolvedMention">
    <w:name w:val="Unresolved Mention"/>
    <w:basedOn w:val="DefaultParagraphFont"/>
    <w:uiPriority w:val="99"/>
    <w:semiHidden/>
    <w:unhideWhenUsed/>
    <w:rsid w:val="00BE2C8D"/>
    <w:rPr>
      <w:color w:val="605E5C"/>
      <w:shd w:val="clear" w:color="auto" w:fill="E1DFDD"/>
    </w:rPr>
  </w:style>
  <w:style w:type="character" w:styleId="FollowedHyperlink">
    <w:name w:val="FollowedHyperlink"/>
    <w:basedOn w:val="DefaultParagraphFont"/>
    <w:rsid w:val="00AA3036"/>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7C0740-A11C-48DD-93A6-6DF2332FBA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TotalTime>
  <Pages>41</Pages>
  <Words>57462</Words>
  <Characters>314894</Characters>
  <Application>Microsoft Office Word</Application>
  <DocSecurity>0</DocSecurity>
  <Lines>13120</Lines>
  <Paragraphs>5244</Paragraphs>
  <ScaleCrop>false</ScaleCrop>
  <HeadingPairs>
    <vt:vector size="2" baseType="variant">
      <vt:variant>
        <vt:lpstr>Title</vt:lpstr>
      </vt:variant>
      <vt:variant>
        <vt:i4>1</vt:i4>
      </vt:variant>
    </vt:vector>
  </HeadingPairs>
  <TitlesOfParts>
    <vt:vector size="1" baseType="lpstr">
      <vt:lpstr>Title: The relationship between an avian seed disperser and seed availability in the Southwest USA is lagged and dependent on climate and habitat context</vt:lpstr>
    </vt:vector>
  </TitlesOfParts>
  <Company/>
  <LinksUpToDate>false</LinksUpToDate>
  <CharactersWithSpaces>367112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The relationship between an avian seed disperser and seed availability in the Southwest USA is lagged and dependent on climate and habitat context</dc:title>
  <dc:subject/>
  <dc:creator>Ana Miller-ter Kuile</dc:creator>
  <cp:keywords/>
  <dc:description/>
  <cp:lastModifiedBy>Ana Miller-ter Kuile</cp:lastModifiedBy>
  <cp:revision>20</cp:revision>
  <dcterms:created xsi:type="dcterms:W3CDTF">2026-01-16T17:48:00Z</dcterms:created>
  <dcterms:modified xsi:type="dcterms:W3CDTF">2026-01-20T19:46:00Z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journal-of-animal-ecology.csl</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ZOTERO_PREF_1">
    <vt:lpwstr>&lt;data data-version="3" zotero-version="7.0.32"&gt;&lt;session id="52ZzZ4qx"/&gt;&lt;style id="http://www.zotero.org/styles/journal-of-animal-ecology" hasBibliography="1" bibliographyStyleHasBeenSet="1"/&gt;&lt;prefs&gt;&lt;pref name="fieldType" value="Field"/&gt;&lt;/prefs&gt;&lt;/data&gt;</vt:lpwstr>
  </property>
  <property fmtid="{D5CDD505-2E9C-101B-9397-08002B2CF9AE}" pid="12" name="MTWinEqns">
    <vt:bool>true</vt:bool>
  </property>
  <property fmtid="{D5CDD505-2E9C-101B-9397-08002B2CF9AE}" pid="13" name="GrammarlyDocumentId">
    <vt:lpwstr>b94f0e2f-2ed8-46c4-b445-2a70ee1e1187</vt:lpwstr>
  </property>
</Properties>
</file>