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B09E" w14:textId="0B8ECCDD" w:rsidR="009264EE" w:rsidRDefault="009264EE" w:rsidP="009264EE">
      <w:pPr>
        <w:pStyle w:val="FirstParagraph"/>
      </w:pPr>
      <w:r w:rsidRPr="1F2D4797">
        <w:rPr>
          <w:b/>
          <w:bCs/>
        </w:rPr>
        <w:t>Supporting Information for:</w:t>
      </w:r>
      <w:r w:rsidR="0019418C">
        <w:t xml:space="preserve"> </w:t>
      </w:r>
      <w:r w:rsidR="0019418C" w:rsidRPr="004B6B16">
        <w:t xml:space="preserve">Caching in: </w:t>
      </w:r>
      <w:r w:rsidR="0019418C">
        <w:t>A seed dispersal mutualism portends the decline of an imperiled songbird-pine system</w:t>
      </w:r>
    </w:p>
    <w:p w14:paraId="75CEED66" w14:textId="6F123F47" w:rsidR="009264EE" w:rsidRDefault="009264EE" w:rsidP="009264EE">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Jamie S. Sanderlin</w:t>
      </w:r>
      <w:r w:rsidRPr="5A83A434">
        <w:rPr>
          <w:vertAlign w:val="superscript"/>
        </w:rPr>
        <w:t>2</w:t>
      </w:r>
      <w:r w:rsidR="0019418C">
        <w:t>, Kiona Ogle</w:t>
      </w:r>
      <w:r w:rsidR="0019418C" w:rsidRPr="5A83A434">
        <w:rPr>
          <w:vertAlign w:val="superscript"/>
        </w:rPr>
        <w:t>1</w:t>
      </w:r>
    </w:p>
    <w:p w14:paraId="1E76675B" w14:textId="77777777" w:rsidR="009264EE" w:rsidRDefault="009264EE" w:rsidP="009264EE">
      <w:pPr>
        <w:pStyle w:val="BodyText"/>
      </w:pPr>
      <w:r w:rsidRPr="5A83A434">
        <w:rPr>
          <w:b/>
          <w:bCs/>
        </w:rPr>
        <w:t>Author Affiliations</w:t>
      </w:r>
      <w:r>
        <w:t>:</w:t>
      </w:r>
    </w:p>
    <w:p w14:paraId="3F67C6EE" w14:textId="77777777" w:rsidR="009264EE" w:rsidRDefault="009264EE" w:rsidP="009264EE">
      <w:pPr>
        <w:pStyle w:val="BodyText"/>
      </w:pPr>
      <w:r w:rsidRPr="001F33F2">
        <w:rPr>
          <w:vertAlign w:val="superscript"/>
        </w:rPr>
        <w:t>1</w:t>
      </w:r>
      <w:r>
        <w:t xml:space="preserve"> Northern Arizona University School of Informatics, Computing, and Cyber Systems, Flagstaff, Arizona, USA</w:t>
      </w:r>
    </w:p>
    <w:p w14:paraId="0B476D22" w14:textId="77777777" w:rsidR="009264EE" w:rsidRDefault="009264EE" w:rsidP="009264EE">
      <w:pPr>
        <w:pStyle w:val="BodyText"/>
      </w:pPr>
      <w:r w:rsidRPr="001F33F2">
        <w:rPr>
          <w:vertAlign w:val="superscript"/>
        </w:rPr>
        <w:t>2</w:t>
      </w:r>
      <w:r>
        <w:t xml:space="preserve"> USDA Forest Service Rocky Mountain Research Station, Flagstaff, Arizona, USA</w:t>
      </w:r>
    </w:p>
    <w:p w14:paraId="4E326E91" w14:textId="77777777" w:rsidR="009264EE" w:rsidRDefault="009264EE" w:rsidP="009264EE">
      <w:pPr>
        <w:pStyle w:val="BodyText"/>
      </w:pPr>
      <w:r w:rsidRPr="001F33F2">
        <w:rPr>
          <w:vertAlign w:val="superscript"/>
        </w:rPr>
        <w:t>3</w:t>
      </w:r>
      <w:r>
        <w:t xml:space="preserve"> Forest Stewards Guild, Santa Fe, New Mexico, USA</w:t>
      </w:r>
    </w:p>
    <w:p w14:paraId="7FC899DF" w14:textId="77777777" w:rsidR="009264EE" w:rsidRDefault="009264EE" w:rsidP="009264EE">
      <w:pPr>
        <w:pStyle w:val="BodyText"/>
      </w:pPr>
      <w:r w:rsidRPr="001F33F2">
        <w:rPr>
          <w:vertAlign w:val="superscript"/>
        </w:rPr>
        <w:t>4</w:t>
      </w:r>
      <w:r>
        <w:t xml:space="preserve"> Ecological Restoration Institute, Northern Arizona University, Flagstaff, Arizona, USA</w:t>
      </w:r>
    </w:p>
    <w:p w14:paraId="4DC4011D" w14:textId="77777777" w:rsidR="009264EE" w:rsidRDefault="009264EE" w:rsidP="009264EE">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736B8E2C" w14:textId="77777777" w:rsidR="009264EE" w:rsidRPr="0099288A" w:rsidRDefault="009264EE" w:rsidP="009264EE">
      <w:pPr>
        <w:pStyle w:val="BodyText"/>
      </w:pPr>
    </w:p>
    <w:p w14:paraId="003A299F" w14:textId="77777777" w:rsidR="009264EE" w:rsidRDefault="009264EE" w:rsidP="009264EE">
      <w:pPr>
        <w:spacing w:line="480" w:lineRule="auto"/>
        <w:rPr>
          <w:rFonts w:ascii="Times New Roman" w:eastAsiaTheme="majorEastAsia" w:hAnsi="Times New Roman" w:cstheme="majorBidi"/>
          <w:b/>
          <w:bCs/>
          <w:color w:val="000000" w:themeColor="text1"/>
          <w:szCs w:val="32"/>
        </w:rPr>
      </w:pPr>
      <w:r>
        <w:br w:type="page"/>
      </w:r>
    </w:p>
    <w:p w14:paraId="46600694" w14:textId="77777777" w:rsidR="009264EE" w:rsidRPr="009264EE" w:rsidRDefault="009264EE" w:rsidP="009264EE">
      <w:pPr>
        <w:pStyle w:val="FirstParagraph"/>
        <w:rPr>
          <w:b/>
          <w:bCs/>
        </w:rPr>
      </w:pPr>
      <w:r w:rsidRPr="009264EE">
        <w:rPr>
          <w:b/>
          <w:bCs/>
        </w:rPr>
        <w:lastRenderedPageBreak/>
        <w:t>SI Methods</w:t>
      </w:r>
    </w:p>
    <w:p w14:paraId="175AB1E8" w14:textId="01CF4C15" w:rsidR="00531A58" w:rsidRDefault="009264EE" w:rsidP="009264EE">
      <w:pPr>
        <w:pStyle w:val="FirstParagraph"/>
        <w:ind w:firstLine="720"/>
      </w:pP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w:t>
      </w:r>
      <w:proofErr w:type="spellStart"/>
      <w:r>
        <w:t>jagsUI</w:t>
      </w:r>
      <w:proofErr w:type="spellEnd"/>
      <w:r>
        <w:t xml:space="preserve">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We prepared data using the here </w:t>
      </w:r>
      <w:r>
        <w:fldChar w:fldCharType="begin"/>
      </w:r>
      <w:r>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Pr>
          <w:noProof/>
        </w:rPr>
        <w:t>(Muller, 2020, version 1.0.1)</w:t>
      </w:r>
      <w:r>
        <w:fldChar w:fldCharType="end"/>
      </w:r>
      <w:r>
        <w:t xml:space="preserve">, </w:t>
      </w:r>
      <w:proofErr w:type="spellStart"/>
      <w:r>
        <w:t>tidyverse</w:t>
      </w:r>
      <w:proofErr w:type="spellEnd"/>
      <w:r>
        <w:t xml:space="preserve"> </w:t>
      </w:r>
      <w:r>
        <w:fldChar w:fldCharType="begin"/>
      </w:r>
      <w:r>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Pr>
          <w:noProof/>
        </w:rPr>
        <w:t>(Wickham et al., 2019, version 2.0.0)</w:t>
      </w:r>
      <w:r>
        <w:fldChar w:fldCharType="end"/>
      </w:r>
      <w:r>
        <w:t xml:space="preserve">, sf </w:t>
      </w:r>
      <w:r>
        <w:fldChar w:fldCharType="begin"/>
      </w:r>
      <w:r>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Pr>
          <w:noProof/>
        </w:rPr>
        <w:t>(Pebesma &amp; Bivand, 2023, version 1.0.21)</w:t>
      </w:r>
      <w:r>
        <w:fldChar w:fldCharType="end"/>
      </w:r>
      <w:r>
        <w:t xml:space="preserve">, terra </w:t>
      </w:r>
      <w:r>
        <w:fldChar w:fldCharType="begin"/>
      </w:r>
      <w:r>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Pr>
          <w:noProof/>
        </w:rPr>
        <w:t>(Hijmans, 2020, version 1.8.54)</w:t>
      </w:r>
      <w:r>
        <w:fldChar w:fldCharType="end"/>
      </w:r>
      <w:r>
        <w:t xml:space="preserve">, </w:t>
      </w:r>
      <w:proofErr w:type="spellStart"/>
      <w:r>
        <w:t>readxl</w:t>
      </w:r>
      <w:proofErr w:type="spellEnd"/>
      <w:r>
        <w:t xml:space="preserve"> </w:t>
      </w:r>
      <w:r>
        <w:fldChar w:fldCharType="begin"/>
      </w:r>
      <w:r>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Pr>
          <w:noProof/>
        </w:rPr>
        <w:t>(Wickham &amp; Bryan, 2015, version 1.4.5)</w:t>
      </w:r>
      <w:r>
        <w:fldChar w:fldCharType="end"/>
      </w:r>
      <w:r>
        <w:t xml:space="preserve">, </w:t>
      </w:r>
      <w:proofErr w:type="spellStart"/>
      <w:r>
        <w:t>exactextractr</w:t>
      </w:r>
      <w:proofErr w:type="spellEnd"/>
      <w:r>
        <w:t xml:space="preserve"> </w:t>
      </w:r>
      <w:r>
        <w:fldChar w:fldCharType="begin"/>
      </w:r>
      <w:r>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Pr>
          <w:noProof/>
        </w:rPr>
        <w:t>(Daniel Baston, 2019, version 0.10.0)</w:t>
      </w:r>
      <w:r>
        <w:fldChar w:fldCharType="end"/>
      </w:r>
      <w:r>
        <w:t xml:space="preserve">, </w:t>
      </w:r>
      <w:proofErr w:type="spellStart"/>
      <w:r>
        <w:t>spatialEco</w:t>
      </w:r>
      <w:proofErr w:type="spellEnd"/>
      <w:r>
        <w:t xml:space="preserve"> </w:t>
      </w:r>
      <w:r>
        <w:fldChar w:fldCharType="begin"/>
      </w:r>
      <w:r>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Pr>
          <w:noProof/>
        </w:rPr>
        <w:t>(Evans &amp; Murphy, 2023, version 2.0-2)</w:t>
      </w:r>
      <w:r>
        <w:fldChar w:fldCharType="end"/>
      </w:r>
      <w:r>
        <w:t xml:space="preserve">, </w:t>
      </w:r>
      <w:proofErr w:type="spellStart"/>
      <w:r>
        <w:t>nngeo</w:t>
      </w:r>
      <w:proofErr w:type="spellEnd"/>
      <w:r>
        <w:t xml:space="preserve"> </w:t>
      </w:r>
      <w:r>
        <w:fldChar w:fldCharType="begin"/>
      </w:r>
      <w:r>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Pr>
          <w:noProof/>
        </w:rPr>
        <w:t>(Dorman, 2018, version 0.4.8)</w:t>
      </w:r>
      <w:r>
        <w:fldChar w:fldCharType="end"/>
      </w:r>
      <w:r>
        <w:t xml:space="preserve">, auk </w:t>
      </w:r>
      <w:r>
        <w:fldChar w:fldCharType="begin"/>
      </w:r>
      <w:r>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Pr>
          <w:noProof/>
        </w:rPr>
        <w:t>(Strimas-Mackey et al., 2017, version 0.8.2)</w:t>
      </w:r>
      <w:r>
        <w:fldChar w:fldCharType="end"/>
      </w:r>
      <w:r>
        <w:t xml:space="preserve">, </w:t>
      </w:r>
      <w:proofErr w:type="spellStart"/>
      <w:r>
        <w:t>lubridate</w:t>
      </w:r>
      <w:proofErr w:type="spellEnd"/>
      <w:r>
        <w:t xml:space="preserve"> </w:t>
      </w:r>
      <w:r>
        <w:fldChar w:fldCharType="begin"/>
      </w:r>
      <w:r>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Pr>
          <w:noProof/>
        </w:rPr>
        <w:t>(Grolemund &amp; Wickham, 2011, version 1.9.4)</w:t>
      </w:r>
      <w:r>
        <w:fldChar w:fldCharType="end"/>
      </w:r>
      <w:r>
        <w:t xml:space="preserve">, prism </w:t>
      </w:r>
      <w:r>
        <w:fldChar w:fldCharType="begin"/>
      </w:r>
      <w:r>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Pr>
          <w:noProof/>
        </w:rPr>
        <w:t>(Hart &amp; Bell, 2015, version 0.0.6)</w:t>
      </w:r>
      <w:r>
        <w:fldChar w:fldCharType="end"/>
      </w:r>
      <w:r>
        <w:t xml:space="preserve">, FNN </w:t>
      </w:r>
      <w:r>
        <w:fldChar w:fldCharType="begin"/>
      </w:r>
      <w:r>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Pr>
          <w:noProof/>
        </w:rPr>
        <w:t>(Beygelzimer et al., 2010, version 1.1.4.1)</w:t>
      </w:r>
      <w:r>
        <w:fldChar w:fldCharType="end"/>
      </w:r>
      <w:r>
        <w:t xml:space="preserve">, and </w:t>
      </w:r>
      <w:proofErr w:type="spellStart"/>
      <w:r>
        <w:t>data.table</w:t>
      </w:r>
      <w:proofErr w:type="spellEnd"/>
      <w:r>
        <w:t xml:space="preserve"> </w:t>
      </w:r>
      <w:r>
        <w:fldChar w:fldCharType="begin"/>
      </w:r>
      <w:r>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Pr>
          <w:noProof/>
        </w:rPr>
        <w:t>(Barrett et al., 2006, version 1.17.6)</w:t>
      </w:r>
      <w:r>
        <w:fldChar w:fldCharType="end"/>
      </w:r>
      <w:r>
        <w:t xml:space="preserve"> packages.</w:t>
      </w:r>
    </w:p>
    <w:p w14:paraId="5E3B462E" w14:textId="77777777" w:rsidR="00BA7431" w:rsidRDefault="00BA7431" w:rsidP="00BA7431">
      <w:pPr>
        <w:pStyle w:val="BodyText"/>
      </w:pPr>
    </w:p>
    <w:p w14:paraId="2D89327B" w14:textId="13F89E23" w:rsidR="00BA7431" w:rsidRDefault="00BA7431" w:rsidP="00BA7431">
      <w:pPr>
        <w:pStyle w:val="BodyText"/>
        <w:rPr>
          <w:b/>
          <w:bCs/>
        </w:rPr>
      </w:pPr>
      <w:r>
        <w:rPr>
          <w:b/>
          <w:bCs/>
        </w:rPr>
        <w:t>SI Results</w:t>
      </w:r>
    </w:p>
    <w:p w14:paraId="223FD51A" w14:textId="59BAF2B9" w:rsidR="0019418C" w:rsidRPr="0043636C" w:rsidRDefault="0019418C" w:rsidP="0019418C">
      <w:pPr>
        <w:pStyle w:val="BodyText"/>
        <w:rPr>
          <w:i/>
          <w:iCs/>
        </w:rPr>
      </w:pPr>
      <w:r w:rsidRPr="0043636C">
        <w:rPr>
          <w:i/>
          <w:iCs/>
        </w:rPr>
        <w:t>Model</w:t>
      </w:r>
      <w:r>
        <w:rPr>
          <w:i/>
          <w:iCs/>
        </w:rPr>
        <w:t xml:space="preserve"> performance and</w:t>
      </w:r>
      <w:r w:rsidRPr="0043636C">
        <w:rPr>
          <w:i/>
          <w:iCs/>
        </w:rPr>
        <w:t xml:space="preserve"> </w:t>
      </w:r>
      <w:r>
        <w:rPr>
          <w:i/>
          <w:iCs/>
        </w:rPr>
        <w:t>g</w:t>
      </w:r>
      <w:r w:rsidRPr="0043636C">
        <w:rPr>
          <w:i/>
          <w:iCs/>
        </w:rPr>
        <w:t>oodness-of-</w:t>
      </w:r>
      <w:r>
        <w:rPr>
          <w:i/>
          <w:iCs/>
        </w:rPr>
        <w:t>f</w:t>
      </w:r>
      <w:r w:rsidRPr="0043636C">
        <w:rPr>
          <w:i/>
          <w:iCs/>
        </w:rPr>
        <w:t>it</w:t>
      </w:r>
    </w:p>
    <w:p w14:paraId="41A4129E" w14:textId="29B83E04" w:rsidR="004B6B16" w:rsidRDefault="0019418C" w:rsidP="00BA7431">
      <w:pPr>
        <w:pStyle w:val="BodyText"/>
      </w:pPr>
      <w:r>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Pr="00B96D92">
        <w:t xml:space="preserve"> 1.1 </w:t>
      </w:r>
      <w:r w:rsidRPr="009B5B4F">
        <w:t>(SI Figure</w:t>
      </w:r>
      <w:r w:rsidR="009B5B4F" w:rsidRPr="009B5B4F">
        <w:t xml:space="preserve"> 3</w:t>
      </w:r>
      <w:r w:rsidRPr="009B5B4F">
        <w:t>). Regression</w:t>
      </w:r>
      <w:r>
        <w:t xml:space="preserve"> of observed data versus predicted data (based on the posterior mean of 1000 samples of replicated data) had a mean </w:t>
      </w:r>
      <w:r w:rsidRPr="1F2D4797">
        <w:rPr>
          <w:i/>
          <w:iCs/>
        </w:rPr>
        <w:t>R</w:t>
      </w:r>
      <w:r w:rsidRPr="00D91440">
        <w:rPr>
          <w:vertAlign w:val="superscript"/>
        </w:rPr>
        <w:t>2</w:t>
      </w:r>
      <w:r>
        <w:t xml:space="preserve"> of 0.74 (s.e. 0.0003). In </w:t>
      </w:r>
      <w:r w:rsidRPr="002B1C09">
        <w:t xml:space="preserve">general, the model under-estimated the highest </w:t>
      </w:r>
      <w:r>
        <w:t xml:space="preserve">pinyon jay </w:t>
      </w:r>
      <w:r w:rsidRPr="002B1C09">
        <w:t>counts but performed well for most other values (</w:t>
      </w:r>
      <w:r w:rsidRPr="009B5B4F">
        <w:t>SI Figure</w:t>
      </w:r>
      <w:r w:rsidR="009B5B4F" w:rsidRPr="009B5B4F">
        <w:t xml:space="preserve"> 4</w:t>
      </w:r>
      <w:r w:rsidRPr="009B5B4F">
        <w:t>). The</w:t>
      </w:r>
      <w:r w:rsidRPr="002B1C09">
        <w:t xml:space="preserve"> RMSE for our in-sample dataset had an average value of 3.25 (s.e.: 0.001) and the out-of-sample dataset had a value of 5.10 (s.e.: 0.0002; </w:t>
      </w:r>
      <w:r w:rsidRPr="009B5B4F">
        <w:t xml:space="preserve">SI Figure </w:t>
      </w:r>
      <w:r w:rsidR="009B5B4F" w:rsidRPr="009B5B4F">
        <w:t>5</w:t>
      </w:r>
      <w:r w:rsidRPr="009B5B4F">
        <w:t>). Thus</w:t>
      </w:r>
      <w:r w:rsidRPr="002B1C09">
        <w:t xml:space="preserve">, our model predicted our in-sample data slightly better than the out-of-sample data, but neither RMSE values are large considering the scale of the count data (counts per checklist ranged from 0 to 350), suggesting good model fit and predictive </w:t>
      </w:r>
      <w:r w:rsidRPr="002B1C09">
        <w:lastRenderedPageBreak/>
        <w:t xml:space="preserve">capacity. We </w:t>
      </w:r>
      <w:r w:rsidRPr="002B1C09">
        <w:t xml:space="preserve">observed no </w:t>
      </w:r>
      <w:r w:rsidR="69807B08" w:rsidRPr="002B1C09">
        <w:t>evidence for</w:t>
      </w:r>
      <w:r w:rsidRPr="002B1C09">
        <w:t xml:space="preserve"> </w:t>
      </w:r>
      <w:r w:rsidR="7CED17EC" w:rsidRPr="002B1C09">
        <w:t xml:space="preserve">strong or consistent </w:t>
      </w:r>
      <w:r w:rsidRPr="002B1C09">
        <w:t>spatial autocorrelation in</w:t>
      </w:r>
      <w:r w:rsidR="7755831E" w:rsidRPr="002B1C09">
        <w:t xml:space="preserve"> model</w:t>
      </w:r>
      <w:r w:rsidRPr="002B1C09">
        <w:t xml:space="preserve"> residuals (</w:t>
      </w:r>
      <w:r w:rsidRPr="009B5B4F">
        <w:t>SI Figure</w:t>
      </w:r>
      <w:r w:rsidR="009B5B4F" w:rsidRPr="009B5B4F">
        <w:t xml:space="preserve"> 6)</w:t>
      </w:r>
      <w:r w:rsidRPr="009B5B4F">
        <w:t>.</w:t>
      </w:r>
      <w:r>
        <w:t xml:space="preserve"> </w:t>
      </w:r>
    </w:p>
    <w:p w14:paraId="7A619BC3" w14:textId="5B400246" w:rsidR="00BA7431" w:rsidRDefault="00BA7431" w:rsidP="00BA7431">
      <w:pPr>
        <w:pStyle w:val="BodyText"/>
      </w:pPr>
      <w:r>
        <w:rPr>
          <w:i/>
          <w:iCs/>
        </w:rPr>
        <w:t xml:space="preserve">Covariates influencing </w:t>
      </w:r>
      <w:r>
        <w:rPr>
          <w:i/>
          <w:iCs/>
        </w:rPr>
        <w:t>detection</w:t>
      </w:r>
    </w:p>
    <w:p w14:paraId="1EF7598E" w14:textId="32470A7C" w:rsidR="00BA7431" w:rsidRPr="00BA7431" w:rsidRDefault="00BA7431" w:rsidP="00BA7431">
      <w:pPr>
        <w:pStyle w:val="BodyText"/>
      </w:pPr>
      <w:r>
        <w:t xml:space="preserve">Pinyon jay detection probability was most influenced by the number of observers, with fewer birds observed on checklists with more observers (-1.01 [-1.10, -1.04]). Checklists where observers walked at faster speeds had more detections (0.43 [0.40, 0.46]). Speed incorporated the distance (“effort”) and duration variables from the original </w:t>
      </w:r>
      <w:proofErr w:type="gramStart"/>
      <w:r>
        <w:t>checklists</w:t>
      </w:r>
      <w:proofErr w:type="gramEnd"/>
      <w:r>
        <w:t xml:space="preserve"> and this effect is likely influenced by checklists where observers went further in a traveling checklist. Fewer birds were observed at later start times (-0.19 [-0.25, -0.14]) and there was a weak effect in which longer surveys had fewer detections (-0.03 [-0.07, -0.003]).</w:t>
      </w:r>
    </w:p>
    <w:p w14:paraId="498BC4CF" w14:textId="77777777" w:rsidR="009264EE" w:rsidRDefault="009264EE" w:rsidP="009264EE">
      <w:pPr>
        <w:pStyle w:val="BodyText"/>
      </w:pPr>
    </w:p>
    <w:p w14:paraId="1C95093C" w14:textId="78E7C530" w:rsidR="009264EE" w:rsidRDefault="009264EE" w:rsidP="009264EE">
      <w:pPr>
        <w:pStyle w:val="BodyText"/>
        <w:rPr>
          <w:b/>
          <w:bCs/>
        </w:rPr>
      </w:pPr>
      <w:r>
        <w:rPr>
          <w:b/>
          <w:bCs/>
        </w:rPr>
        <w:t>SI Figures</w:t>
      </w:r>
    </w:p>
    <w:p w14:paraId="58C8516D" w14:textId="77777777" w:rsidR="009B5B4F" w:rsidRDefault="009B5B4F" w:rsidP="009B5B4F">
      <w:pPr>
        <w:pStyle w:val="ImageCaption"/>
        <w:rPr>
          <w:noProof/>
        </w:rPr>
      </w:pPr>
      <w:r>
        <w:rPr>
          <w:noProof/>
        </w:rPr>
        <w:drawing>
          <wp:inline distT="0" distB="0" distL="0" distR="0" wp14:anchorId="511CADFD" wp14:editId="544BA943">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4"/>
                    <a:stretch>
                      <a:fillRect/>
                    </a:stretch>
                  </pic:blipFill>
                  <pic:spPr bwMode="auto">
                    <a:xfrm>
                      <a:off x="0" y="0"/>
                      <a:ext cx="5029200" cy="3355848"/>
                    </a:xfrm>
                    <a:prstGeom prst="rect">
                      <a:avLst/>
                    </a:prstGeom>
                    <a:noFill/>
                    <a:ln w="9525">
                      <a:noFill/>
                      <a:headEnd/>
                      <a:tailEnd/>
                    </a:ln>
                  </pic:spPr>
                </pic:pic>
              </a:graphicData>
            </a:graphic>
          </wp:inline>
        </w:drawing>
      </w:r>
    </w:p>
    <w:p w14:paraId="17E89805" w14:textId="77777777" w:rsidR="009B5B4F" w:rsidRDefault="009B5B4F" w:rsidP="009B5B4F">
      <w:pPr>
        <w:pStyle w:val="ImageCaption"/>
      </w:pPr>
      <w:r w:rsidRPr="009B5B4F">
        <w:rPr>
          <w:b/>
          <w:bCs/>
        </w:rPr>
        <w:lastRenderedPageBreak/>
        <w:t>SI Figure 1.</w:t>
      </w:r>
      <w:r w:rsidRPr="009B5B4F">
        <w:t xml:space="preserve"> Posterior</w:t>
      </w:r>
      <w:r>
        <w:t xml:space="preserve"> estimates (median and 95% CI) for the seasonal importance weights for climate (precipitation and maximum temperature; </w:t>
      </w:r>
      <w:r w:rsidRPr="2E55443D">
        <w:rPr>
          <w:i/>
          <w:iCs/>
        </w:rPr>
        <w:t>w</w:t>
      </w:r>
      <w:r>
        <w:t xml:space="preserve"> terms, see equation 5). The dashed 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and </w:t>
      </w:r>
      <w:proofErr w:type="gramStart"/>
      <w:r>
        <w:t>include:</w:t>
      </w:r>
      <w:proofErr w:type="gramEnd"/>
      <w:r>
        <w:t xml:space="preserve"> Br (breeding; February - May), Fl (fledging; May - June), Su (summer localized foraging; July), and SW (summer and winter dispersed foraging or ‘irruption’ period; August - January).</w:t>
      </w:r>
    </w:p>
    <w:p w14:paraId="56823BA6" w14:textId="77777777" w:rsidR="009B5B4F" w:rsidRDefault="009B5B4F" w:rsidP="009264EE">
      <w:pPr>
        <w:pStyle w:val="BodyText"/>
        <w:rPr>
          <w:b/>
          <w:bCs/>
        </w:rPr>
      </w:pPr>
    </w:p>
    <w:p w14:paraId="731E830D" w14:textId="4A1BDFEF" w:rsidR="009264EE" w:rsidRDefault="009264EE" w:rsidP="009264EE">
      <w:pPr>
        <w:pStyle w:val="BodyText"/>
        <w:rPr>
          <w:b/>
          <w:bCs/>
        </w:rPr>
      </w:pPr>
      <w:r>
        <w:rPr>
          <w:noProof/>
        </w:rPr>
        <w:drawing>
          <wp:inline distT="0" distB="0" distL="0" distR="0" wp14:anchorId="50342F83" wp14:editId="73817ADA">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171CE8D6" wp14:editId="1D2AAE6F">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3C50B98E" wp14:editId="25E5740F">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D734D9" wp14:editId="7605BA2D">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2A6AB2AF" wp14:editId="5C6C83D4">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416B87C0" w14:textId="367849A1" w:rsidR="009264EE" w:rsidRDefault="009264EE" w:rsidP="009264EE">
      <w:pPr>
        <w:pStyle w:val="BodyText"/>
        <w:spacing w:line="240" w:lineRule="auto"/>
      </w:pPr>
      <w:r w:rsidRPr="009B5B4F">
        <w:rPr>
          <w:b/>
          <w:bCs/>
        </w:rPr>
        <w:lastRenderedPageBreak/>
        <w:t xml:space="preserve">SI Figure </w:t>
      </w:r>
      <w:r w:rsidR="009B5B4F" w:rsidRPr="009B5B4F">
        <w:rPr>
          <w:b/>
          <w:bCs/>
        </w:rPr>
        <w:t>2</w:t>
      </w:r>
      <w:r w:rsidRPr="009B5B4F">
        <w:rPr>
          <w:b/>
          <w:bCs/>
        </w:rPr>
        <w:t xml:space="preserve">. </w:t>
      </w:r>
      <w:r w:rsidRPr="009B5B4F">
        <w:t>Validation</w:t>
      </w:r>
      <w:r>
        <w:t xml:space="preserve"> results supporting the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meet these criteria. Data represented here are values for all raster grid cells for all years (~1 million grid cells, depending on covariate). Thus, for the two covariates for which we are missing the upper tails, (a) cone availability and (e) pinyon basal area, these represent extreme outliers (&lt;1% of total values in the dataset; ~20-200 raster grid cells, depending on covariate).</w:t>
      </w:r>
    </w:p>
    <w:p w14:paraId="086CDD03" w14:textId="77777777" w:rsidR="009264EE" w:rsidRDefault="009264EE" w:rsidP="009264EE">
      <w:pPr>
        <w:pStyle w:val="BodyText"/>
        <w:spacing w:line="240" w:lineRule="auto"/>
      </w:pPr>
    </w:p>
    <w:p w14:paraId="26308976" w14:textId="13036BEA" w:rsidR="009264EE" w:rsidRDefault="009264EE" w:rsidP="009264EE">
      <w:pPr>
        <w:pStyle w:val="BodyText"/>
        <w:spacing w:line="240" w:lineRule="auto"/>
        <w:rPr>
          <w:b/>
          <w:bCs/>
        </w:rPr>
      </w:pPr>
      <w:r>
        <w:rPr>
          <w:noProof/>
        </w:rPr>
        <w:drawing>
          <wp:inline distT="0" distB="0" distL="0" distR="0" wp14:anchorId="054FA9DB" wp14:editId="63205C0B">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2E6B58C" w14:textId="4F1F3750" w:rsidR="009264EE" w:rsidRDefault="009264EE" w:rsidP="009264EE">
      <w:pPr>
        <w:pStyle w:val="ImageCaption"/>
        <w:sectPr w:rsidR="009264EE" w:rsidSect="009264EE">
          <w:pgSz w:w="12240" w:h="15840"/>
          <w:pgMar w:top="1440" w:right="1440" w:bottom="1440" w:left="1440" w:header="720" w:footer="720" w:gutter="0"/>
          <w:lnNumType w:countBy="1" w:restart="continuous"/>
          <w:cols w:space="720"/>
          <w:titlePg/>
          <w:docGrid w:linePitch="326"/>
        </w:sectPr>
      </w:pPr>
      <w:r w:rsidRPr="00B802B4">
        <w:rPr>
          <w:b/>
          <w:bCs/>
        </w:rPr>
        <w:t>SI Figure</w:t>
      </w:r>
      <w:r w:rsidR="009B5B4F">
        <w:rPr>
          <w:b/>
          <w:bCs/>
        </w:rPr>
        <w:t xml:space="preserve"> 3</w:t>
      </w:r>
      <w:r w:rsidRPr="00B802B4">
        <w:rPr>
          <w:b/>
          <w:bCs/>
        </w:rPr>
        <w:t>.</w:t>
      </w:r>
      <w:r>
        <w:t xml:space="preserve"> Convergence statistics for stochastic parameters in the N-mixture for representing biological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t>) and detection (</w:t>
      </w:r>
      <m:oMath>
        <m:r>
          <w:rPr>
            <w:rFonts w:ascii="Cambria Math" w:hAnsi="Cambria Math"/>
          </w:rPr>
          <m:t>γ</m:t>
        </m:r>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t>) covariate effects, deviance (an overall index of model fit), and the cone and climate weights (w</w:t>
      </w:r>
      <w:r w:rsidRPr="002A3573">
        <w:rPr>
          <w:vertAlign w:val="subscript"/>
        </w:rPr>
        <w:t>1</w:t>
      </w:r>
      <w:r>
        <w:t>, w</w:t>
      </w:r>
      <w:r w:rsidRPr="002A3573">
        <w:rPr>
          <w:vertAlign w:val="subscript"/>
        </w:rPr>
        <w:t>2</w:t>
      </w:r>
      <w:r>
        <w:t>, and w</w:t>
      </w:r>
      <w:r w:rsidRPr="002A3573">
        <w:rPr>
          <w:vertAlign w:val="subscript"/>
        </w:rPr>
        <w:t>3</w:t>
      </w:r>
      <w:r>
        <w:t>). All parameters converged with potential scale reduction (</w:t>
      </w:r>
      <m:oMath>
        <m:acc>
          <m:accPr>
            <m:ctrlPr>
              <w:rPr>
                <w:rFonts w:ascii="Cambria Math" w:hAnsi="Cambria Math"/>
                <w:i/>
              </w:rPr>
            </m:ctrlPr>
          </m:accPr>
          <m:e>
            <m:r>
              <w:rPr>
                <w:rFonts w:ascii="Cambria Math" w:hAnsi="Cambria Math"/>
              </w:rPr>
              <m:t>R</m:t>
            </m:r>
          </m:e>
        </m:acc>
      </m:oMath>
      <w:r>
        <w:t xml:space="preserve">) values </w:t>
      </w:r>
      <w:r w:rsidRPr="00B802B4">
        <w:rPr>
          <w:u w:val="single"/>
        </w:rPr>
        <w:t>&lt;</w:t>
      </w:r>
      <w:r>
        <w:t xml:space="preserve"> 1.1 (dashed line).</w:t>
      </w:r>
    </w:p>
    <w:p w14:paraId="422A70DF" w14:textId="790FF5F5" w:rsidR="009264EE" w:rsidRDefault="004B6B16" w:rsidP="009264EE">
      <w:pPr>
        <w:pStyle w:val="BodyText"/>
        <w:spacing w:line="240" w:lineRule="auto"/>
        <w:rPr>
          <w:b/>
          <w:bCs/>
        </w:rPr>
      </w:pPr>
      <w:r>
        <w:rPr>
          <w:b/>
          <w:bCs/>
          <w:noProof/>
          <w14:ligatures w14:val="standardContextual"/>
        </w:rPr>
        <w:lastRenderedPageBreak/>
        <w:drawing>
          <wp:inline distT="0" distB="0" distL="0" distR="0" wp14:anchorId="745BB282" wp14:editId="78C53585">
            <wp:extent cx="5943600" cy="2971800"/>
            <wp:effectExtent l="0" t="0" r="0" b="0"/>
            <wp:docPr id="1575714787"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4787" name="Picture 1" descr="A graph of a number of objec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FBA9506" w14:textId="032C8DFF" w:rsidR="009264EE" w:rsidRDefault="009264EE" w:rsidP="009264EE">
      <w:pPr>
        <w:pStyle w:val="ImageCaption"/>
      </w:pPr>
      <w:r w:rsidRPr="1F2D4797">
        <w:rPr>
          <w:b/>
          <w:bCs/>
        </w:rPr>
        <w:t>SI Figure</w:t>
      </w:r>
      <w:r w:rsidR="009B5B4F">
        <w:rPr>
          <w:b/>
          <w:bCs/>
        </w:rPr>
        <w:t xml:space="preserve"> 4</w:t>
      </w:r>
      <w:r w:rsidRPr="1F2D4797">
        <w:rPr>
          <w:b/>
          <w:bCs/>
        </w:rPr>
        <w:t>.</w:t>
      </w:r>
      <w:r>
        <w:t xml:space="preserve"> As an evaluation of goodness-of-fit, we examined a) the relationship between observed pinyon jay counts and counts predicted from the model (median and 95% Bayesian Credible Interval) and b) the R</w:t>
      </w:r>
      <w:r w:rsidRPr="1F2D4797">
        <w:rPr>
          <w:vertAlign w:val="superscript"/>
        </w:rPr>
        <w:t>2</w:t>
      </w:r>
      <w:r>
        <w:t xml:space="preserve"> of this relationship from ~1000 posterior samples. In a), the </w:t>
      </w:r>
      <w:r w:rsidR="004B6B16">
        <w:t xml:space="preserve">black </w:t>
      </w:r>
      <w:r>
        <w:t>dashed line represents the 1:1 line</w:t>
      </w:r>
      <w:r w:rsidR="004B6B16">
        <w:t>; the pink line corresponds to the relationship between predicted and observed bird count values</w:t>
      </w:r>
      <w:r>
        <w:t>. In b) the dashed vertical line represents the mean R</w:t>
      </w:r>
      <w:r w:rsidRPr="1F2D4797">
        <w:rPr>
          <w:vertAlign w:val="superscript"/>
        </w:rPr>
        <w:t>2</w:t>
      </w:r>
      <w:r>
        <w:t>.</w:t>
      </w:r>
    </w:p>
    <w:p w14:paraId="498F21D0" w14:textId="77777777" w:rsidR="009264EE" w:rsidRDefault="009264EE" w:rsidP="009264EE">
      <w:pPr>
        <w:pStyle w:val="ImageCaption"/>
      </w:pPr>
    </w:p>
    <w:p w14:paraId="4880CCAA" w14:textId="6FE5FC19" w:rsidR="009264EE" w:rsidRDefault="009264EE" w:rsidP="009264EE">
      <w:pPr>
        <w:pStyle w:val="ImageCaption"/>
      </w:pPr>
      <w:r>
        <w:rPr>
          <w:noProof/>
        </w:rPr>
        <w:lastRenderedPageBreak/>
        <w:drawing>
          <wp:inline distT="0" distB="0" distL="0" distR="0" wp14:anchorId="650535EE" wp14:editId="0AA75E50">
            <wp:extent cx="5943600" cy="5943600"/>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D45F854" w14:textId="2EDDE2C6" w:rsidR="009264EE" w:rsidRDefault="009264EE" w:rsidP="009264EE">
      <w:pPr>
        <w:pStyle w:val="ImageCaption"/>
      </w:pPr>
      <w:r w:rsidRPr="2E55443D">
        <w:rPr>
          <w:b/>
          <w:bCs/>
        </w:rPr>
        <w:t>SI Figure</w:t>
      </w:r>
      <w:r w:rsidR="009B5B4F">
        <w:rPr>
          <w:b/>
          <w:bCs/>
        </w:rPr>
        <w:t xml:space="preserve"> 5</w:t>
      </w:r>
      <w:r w:rsidRPr="2E55443D">
        <w:rPr>
          <w:b/>
          <w:bCs/>
        </w:rPr>
        <w:t>.</w:t>
      </w:r>
      <w:r>
        <w:t xml:space="preserve"> Root mean squared error (RMSE) to evaluate the predictive ability of the model applied to the in-sample (“test”) and out-of-sample datasets. Values for RMSE are on the scale of the data (counts of pinyon jays per square kilometer). The RMSE values are relatively small compared to the range of possible counts in a checklist (0 to 350 birds per hectare in our test dataset).</w:t>
      </w:r>
    </w:p>
    <w:p w14:paraId="680ABD35" w14:textId="77777777" w:rsidR="009264EE" w:rsidRDefault="009264EE" w:rsidP="009264EE">
      <w:pPr>
        <w:pStyle w:val="ImageCaption"/>
      </w:pPr>
    </w:p>
    <w:p w14:paraId="4172C254" w14:textId="4A5DE1BB" w:rsidR="009264EE" w:rsidRDefault="009264EE" w:rsidP="009264EE">
      <w:pPr>
        <w:pStyle w:val="ImageCaption"/>
      </w:pPr>
      <w:r>
        <w:rPr>
          <w:noProof/>
        </w:rPr>
        <w:lastRenderedPageBreak/>
        <w:drawing>
          <wp:inline distT="0" distB="0" distL="0" distR="0" wp14:anchorId="4AE4D9E5" wp14:editId="48880CD8">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582DF3C6" wp14:editId="75EDCCFE">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0EA9A47E" wp14:editId="1D183C49">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p>
    <w:p w14:paraId="503C2017" w14:textId="21E186D0" w:rsidR="009264EE" w:rsidRDefault="009264EE" w:rsidP="009264EE">
      <w:pPr>
        <w:pStyle w:val="ImageCaption"/>
      </w:pPr>
      <w:r>
        <w:rPr>
          <w:noProof/>
        </w:rPr>
        <w:lastRenderedPageBreak/>
        <w:drawing>
          <wp:inline distT="0" distB="0" distL="0" distR="0" wp14:anchorId="57C62A4D" wp14:editId="268E0121">
            <wp:extent cx="5943600" cy="2694158"/>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l="32116" t="20514" b="59934"/>
                    <a:stretch>
                      <a:fillRect/>
                    </a:stretch>
                  </pic:blipFill>
                  <pic:spPr bwMode="auto">
                    <a:xfrm>
                      <a:off x="0" y="0"/>
                      <a:ext cx="5943600" cy="269415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798DD8" wp14:editId="724359A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5A5E6034" wp14:editId="719D8E18">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BB2BE6" wp14:editId="198FDF03">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B1501F" wp14:editId="5B0ECA10">
            <wp:extent cx="5943600" cy="2941298"/>
            <wp:effectExtent l="0" t="0" r="0" b="5715"/>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l="32451" t="59740" r="1290" b="19426"/>
                    <a:stretch>
                      <a:fillRect/>
                    </a:stretch>
                  </pic:blipFill>
                  <pic:spPr bwMode="auto">
                    <a:xfrm>
                      <a:off x="0" y="0"/>
                      <a:ext cx="5943600" cy="2941298"/>
                    </a:xfrm>
                    <a:prstGeom prst="rect">
                      <a:avLst/>
                    </a:prstGeom>
                    <a:noFill/>
                    <a:ln>
                      <a:noFill/>
                    </a:ln>
                    <a:extLst>
                      <a:ext uri="{53640926-AAD7-44D8-BBD7-CCE9431645EC}">
                        <a14:shadowObscured xmlns:a14="http://schemas.microsoft.com/office/drawing/2010/main"/>
                      </a:ext>
                    </a:extLst>
                  </pic:spPr>
                </pic:pic>
              </a:graphicData>
            </a:graphic>
          </wp:inline>
        </w:drawing>
      </w:r>
    </w:p>
    <w:p w14:paraId="336DD09B" w14:textId="36C92CA0" w:rsidR="009264EE" w:rsidRDefault="009264EE" w:rsidP="009264EE">
      <w:pPr>
        <w:pStyle w:val="ImageCaption"/>
      </w:pPr>
      <w:r>
        <w:rPr>
          <w:noProof/>
        </w:rPr>
        <w:lastRenderedPageBreak/>
        <w:drawing>
          <wp:inline distT="0" distB="0" distL="0" distR="0" wp14:anchorId="5EC1D6EE" wp14:editId="4D5F5C60">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3"/>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257E62F9" w14:textId="245025F6" w:rsidR="009264EE" w:rsidRDefault="009264EE" w:rsidP="009264EE">
      <w:pPr>
        <w:pStyle w:val="ImageCaption"/>
        <w:rPr>
          <w:noProof/>
        </w:rPr>
      </w:pPr>
      <w:r w:rsidRPr="1F2D4797">
        <w:rPr>
          <w:b/>
          <w:bCs/>
        </w:rPr>
        <w:t xml:space="preserve">SI Figure </w:t>
      </w:r>
      <w:r w:rsidR="009B5B4F">
        <w:rPr>
          <w:b/>
          <w:bCs/>
        </w:rPr>
        <w:t>6</w:t>
      </w:r>
      <w:r w:rsidRPr="1F2D4797">
        <w:rPr>
          <w:b/>
          <w:bCs/>
        </w:rPr>
        <w:t>.</w:t>
      </w:r>
      <w:r>
        <w:t xml:space="preserve"> Evaluation of spatial autocorrelation (Pearson correlation on the y-axis) for residuals in each year (year indices are indicated above each figure panel, where 1 = 2010, 2 = 2011, …, 13 = 2022). </w:t>
      </w:r>
      <w:r w:rsidR="004B6B16">
        <w:t xml:space="preserve">Distance values are in kilometers. </w:t>
      </w:r>
      <w:r>
        <w:t>There was no consistent evidence of spatial autocorrelation of residuals.</w:t>
      </w:r>
      <w:r w:rsidRPr="1F2D4797">
        <w:rPr>
          <w:noProof/>
        </w:rPr>
        <w:t xml:space="preserve"> </w:t>
      </w:r>
    </w:p>
    <w:p w14:paraId="161F8147" w14:textId="77777777" w:rsidR="009264EE" w:rsidRDefault="009264EE" w:rsidP="009264EE">
      <w:pPr>
        <w:pStyle w:val="ImageCaption"/>
        <w:rPr>
          <w:noProof/>
        </w:rPr>
      </w:pPr>
    </w:p>
    <w:p w14:paraId="0CA0B787" w14:textId="77777777" w:rsidR="009264EE" w:rsidRDefault="009264EE" w:rsidP="009264EE">
      <w:pPr>
        <w:pStyle w:val="ImageCaption"/>
      </w:pPr>
    </w:p>
    <w:p w14:paraId="36C95F47" w14:textId="77777777" w:rsidR="009264EE" w:rsidRDefault="009264EE" w:rsidP="009264EE">
      <w:pPr>
        <w:pStyle w:val="ImageCaption"/>
      </w:pPr>
    </w:p>
    <w:p w14:paraId="1A33F880" w14:textId="77777777" w:rsidR="009264EE" w:rsidRDefault="009264EE" w:rsidP="009264EE">
      <w:pPr>
        <w:pStyle w:val="ImageCaption"/>
      </w:pPr>
    </w:p>
    <w:p w14:paraId="0769CB3C" w14:textId="77777777" w:rsidR="009264EE" w:rsidRPr="009264EE" w:rsidRDefault="009264EE" w:rsidP="009264EE">
      <w:pPr>
        <w:pStyle w:val="BodyText"/>
        <w:spacing w:line="240" w:lineRule="auto"/>
        <w:rPr>
          <w:b/>
          <w:bCs/>
        </w:rPr>
      </w:pPr>
    </w:p>
    <w:sectPr w:rsidR="009264EE" w:rsidRPr="009264EE" w:rsidSect="009264E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EE"/>
    <w:rsid w:val="00027875"/>
    <w:rsid w:val="00146E07"/>
    <w:rsid w:val="001533AB"/>
    <w:rsid w:val="0019418C"/>
    <w:rsid w:val="00211B9B"/>
    <w:rsid w:val="003B444C"/>
    <w:rsid w:val="004B6B16"/>
    <w:rsid w:val="00531A58"/>
    <w:rsid w:val="006350F3"/>
    <w:rsid w:val="006C0949"/>
    <w:rsid w:val="008E0F1A"/>
    <w:rsid w:val="009264EE"/>
    <w:rsid w:val="009B5B4F"/>
    <w:rsid w:val="00A953D4"/>
    <w:rsid w:val="00BA22E9"/>
    <w:rsid w:val="00BA7431"/>
    <w:rsid w:val="00EC4323"/>
    <w:rsid w:val="0E2CDC1A"/>
    <w:rsid w:val="11C4E374"/>
    <w:rsid w:val="140D64F3"/>
    <w:rsid w:val="1F2D4797"/>
    <w:rsid w:val="287C2278"/>
    <w:rsid w:val="2E55443D"/>
    <w:rsid w:val="303CC92B"/>
    <w:rsid w:val="3053BC93"/>
    <w:rsid w:val="3633F6F9"/>
    <w:rsid w:val="369E72B9"/>
    <w:rsid w:val="3A3CE34B"/>
    <w:rsid w:val="3D002557"/>
    <w:rsid w:val="415B82CD"/>
    <w:rsid w:val="4C5D9FD2"/>
    <w:rsid w:val="4E8CEBFD"/>
    <w:rsid w:val="56003E45"/>
    <w:rsid w:val="5621502D"/>
    <w:rsid w:val="56216B8C"/>
    <w:rsid w:val="5A2AEAB7"/>
    <w:rsid w:val="67690216"/>
    <w:rsid w:val="69807B08"/>
    <w:rsid w:val="72A9E672"/>
    <w:rsid w:val="7755831E"/>
    <w:rsid w:val="7CED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48231"/>
  <w15:chartTrackingRefBased/>
  <w15:docId w15:val="{62F99661-68F2-CE4F-8B4E-32058702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E"/>
    <w:pPr>
      <w:spacing w:after="200"/>
    </w:pPr>
    <w:rPr>
      <w:kern w:val="0"/>
      <w14:ligatures w14:val="none"/>
    </w:rPr>
  </w:style>
  <w:style w:type="paragraph" w:styleId="Heading1">
    <w:name w:val="heading 1"/>
    <w:basedOn w:val="Normal"/>
    <w:next w:val="Normal"/>
    <w:link w:val="Heading1Char"/>
    <w:uiPriority w:val="9"/>
    <w:qFormat/>
    <w:rsid w:val="009264E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64E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64E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64E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264E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264E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264E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264E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264E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qFormat/>
    <w:rsid w:val="00EC43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6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4EE"/>
    <w:rPr>
      <w:rFonts w:eastAsiaTheme="majorEastAsia" w:cstheme="majorBidi"/>
      <w:color w:val="272727" w:themeColor="text1" w:themeTint="D8"/>
    </w:rPr>
  </w:style>
  <w:style w:type="paragraph" w:styleId="Subtitle">
    <w:name w:val="Subtitle"/>
    <w:basedOn w:val="Normal"/>
    <w:next w:val="Normal"/>
    <w:link w:val="SubtitleChar"/>
    <w:uiPriority w:val="11"/>
    <w:qFormat/>
    <w:rsid w:val="009264EE"/>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4EE"/>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264EE"/>
    <w:rPr>
      <w:i/>
      <w:iCs/>
      <w:color w:val="404040" w:themeColor="text1" w:themeTint="BF"/>
    </w:rPr>
  </w:style>
  <w:style w:type="paragraph" w:styleId="ListParagraph">
    <w:name w:val="List Paragraph"/>
    <w:basedOn w:val="Normal"/>
    <w:uiPriority w:val="34"/>
    <w:qFormat/>
    <w:rsid w:val="009264EE"/>
    <w:pPr>
      <w:spacing w:after="0"/>
      <w:ind w:left="720"/>
      <w:contextualSpacing/>
    </w:pPr>
    <w:rPr>
      <w:kern w:val="2"/>
      <w14:ligatures w14:val="standardContextual"/>
    </w:rPr>
  </w:style>
  <w:style w:type="character" w:styleId="IntenseEmphasis">
    <w:name w:val="Intense Emphasis"/>
    <w:basedOn w:val="DefaultParagraphFont"/>
    <w:uiPriority w:val="21"/>
    <w:qFormat/>
    <w:rsid w:val="009264EE"/>
    <w:rPr>
      <w:i/>
      <w:iCs/>
      <w:color w:val="0F4761" w:themeColor="accent1" w:themeShade="BF"/>
    </w:rPr>
  </w:style>
  <w:style w:type="paragraph" w:styleId="IntenseQuote">
    <w:name w:val="Intense Quote"/>
    <w:basedOn w:val="Normal"/>
    <w:next w:val="Normal"/>
    <w:link w:val="IntenseQuoteChar"/>
    <w:uiPriority w:val="30"/>
    <w:qFormat/>
    <w:rsid w:val="00926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264EE"/>
    <w:rPr>
      <w:i/>
      <w:iCs/>
      <w:color w:val="0F4761" w:themeColor="accent1" w:themeShade="BF"/>
    </w:rPr>
  </w:style>
  <w:style w:type="character" w:styleId="IntenseReference">
    <w:name w:val="Intense Reference"/>
    <w:basedOn w:val="DefaultParagraphFont"/>
    <w:uiPriority w:val="32"/>
    <w:qFormat/>
    <w:rsid w:val="009264EE"/>
    <w:rPr>
      <w:b/>
      <w:bCs/>
      <w:smallCaps/>
      <w:color w:val="0F4761" w:themeColor="accent1" w:themeShade="BF"/>
      <w:spacing w:val="5"/>
    </w:rPr>
  </w:style>
  <w:style w:type="paragraph" w:styleId="BodyText">
    <w:name w:val="Body Text"/>
    <w:basedOn w:val="Normal"/>
    <w:link w:val="BodyTextChar"/>
    <w:qFormat/>
    <w:rsid w:val="009264EE"/>
    <w:pPr>
      <w:spacing w:before="180" w:after="180" w:line="480" w:lineRule="auto"/>
    </w:pPr>
    <w:rPr>
      <w:rFonts w:ascii="Times New Roman" w:hAnsi="Times New Roman"/>
    </w:rPr>
  </w:style>
  <w:style w:type="character" w:customStyle="1" w:styleId="BodyTextChar">
    <w:name w:val="Body Text Char"/>
    <w:basedOn w:val="DefaultParagraphFont"/>
    <w:link w:val="BodyText"/>
    <w:rsid w:val="009264EE"/>
    <w:rPr>
      <w:rFonts w:ascii="Times New Roman" w:hAnsi="Times New Roman"/>
      <w:kern w:val="0"/>
      <w14:ligatures w14:val="none"/>
    </w:rPr>
  </w:style>
  <w:style w:type="paragraph" w:customStyle="1" w:styleId="FirstParagraph">
    <w:name w:val="First Paragraph"/>
    <w:basedOn w:val="BodyText"/>
    <w:next w:val="BodyText"/>
    <w:qFormat/>
    <w:rsid w:val="009264EE"/>
  </w:style>
  <w:style w:type="character" w:styleId="LineNumber">
    <w:name w:val="line number"/>
    <w:basedOn w:val="DefaultParagraphFont"/>
    <w:uiPriority w:val="99"/>
    <w:semiHidden/>
    <w:unhideWhenUsed/>
    <w:rsid w:val="009264EE"/>
  </w:style>
  <w:style w:type="paragraph" w:customStyle="1" w:styleId="ImageCaption">
    <w:name w:val="Image Caption"/>
    <w:basedOn w:val="Caption"/>
    <w:rsid w:val="009264EE"/>
    <w:pPr>
      <w:spacing w:after="120"/>
    </w:pPr>
    <w:rPr>
      <w:rFonts w:ascii="Times New Roman" w:hAnsi="Times New Roman"/>
      <w:i w:val="0"/>
      <w:iCs w:val="0"/>
      <w:color w:val="auto"/>
      <w:sz w:val="24"/>
      <w:szCs w:val="24"/>
    </w:rPr>
  </w:style>
  <w:style w:type="paragraph" w:styleId="Caption">
    <w:name w:val="caption"/>
    <w:basedOn w:val="Normal"/>
    <w:next w:val="Normal"/>
    <w:uiPriority w:val="35"/>
    <w:semiHidden/>
    <w:unhideWhenUsed/>
    <w:qFormat/>
    <w:rsid w:val="009264EE"/>
    <w:rPr>
      <w:i/>
      <w:iCs/>
      <w:color w:val="0E2841" w:themeColor="text2"/>
      <w:sz w:val="18"/>
      <w:szCs w:val="18"/>
    </w:rPr>
  </w:style>
  <w:style w:type="character" w:styleId="CommentReference">
    <w:name w:val="annotation reference"/>
    <w:basedOn w:val="DefaultParagraphFont"/>
    <w:rsid w:val="0019418C"/>
    <w:rPr>
      <w:sz w:val="16"/>
      <w:szCs w:val="16"/>
    </w:rPr>
  </w:style>
  <w:style w:type="paragraph" w:styleId="CommentText">
    <w:name w:val="annotation text"/>
    <w:basedOn w:val="Normal"/>
    <w:link w:val="CommentTextChar"/>
    <w:rsid w:val="0019418C"/>
    <w:rPr>
      <w:sz w:val="20"/>
      <w:szCs w:val="20"/>
    </w:rPr>
  </w:style>
  <w:style w:type="character" w:customStyle="1" w:styleId="CommentTextChar">
    <w:name w:val="Comment Text Char"/>
    <w:basedOn w:val="DefaultParagraphFont"/>
    <w:link w:val="CommentText"/>
    <w:rsid w:val="0019418C"/>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3192</Words>
  <Characters>17751</Characters>
  <Application>Microsoft Office Word</Application>
  <DocSecurity>0</DocSecurity>
  <Lines>362</Lines>
  <Paragraphs>85</Paragraphs>
  <ScaleCrop>false</ScaleCrop>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7</cp:revision>
  <dcterms:created xsi:type="dcterms:W3CDTF">2025-10-22T22:03:00Z</dcterms:created>
  <dcterms:modified xsi:type="dcterms:W3CDTF">2026-01-14T20:05:00Z</dcterms:modified>
</cp:coreProperties>
</file>