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4D55" w14:textId="444533AB" w:rsidR="00D7522C" w:rsidRPr="00D5692C" w:rsidRDefault="009303D9" w:rsidP="00D5692C">
      <w:pPr>
        <w:pStyle w:val="papertitle"/>
        <w:spacing w:before="100" w:beforeAutospacing="1" w:after="100" w:afterAutospacing="1"/>
        <w:rPr>
          <w:kern w:val="48"/>
        </w:rPr>
      </w:pPr>
      <w:r w:rsidRPr="008B6524">
        <w:rPr>
          <w:kern w:val="48"/>
        </w:rPr>
        <w:t>P</w:t>
      </w:r>
      <w:r w:rsidR="00D5692C">
        <w:rPr>
          <w:kern w:val="48"/>
        </w:rPr>
        <w:t>roject Report</w:t>
      </w:r>
    </w:p>
    <w:p w14:paraId="4D2B826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B759BCE" w14:textId="0FF2B912" w:rsidR="001A3B3D" w:rsidRPr="00F847A6" w:rsidRDefault="00D5692C" w:rsidP="00D5692C">
      <w:pPr>
        <w:pStyle w:val="Author"/>
        <w:spacing w:before="100" w:beforeAutospacing="1"/>
        <w:rPr>
          <w:sz w:val="18"/>
          <w:szCs w:val="18"/>
        </w:rPr>
      </w:pPr>
      <w:r w:rsidRPr="00535097">
        <w:rPr>
          <w:sz w:val="18"/>
          <w:szCs w:val="18"/>
        </w:rPr>
        <w:t>A</w:t>
      </w:r>
      <w:r>
        <w:rPr>
          <w:sz w:val="18"/>
          <w:szCs w:val="18"/>
        </w:rPr>
        <w:t>aditi</w:t>
      </w:r>
      <w:r w:rsidRPr="009C259A">
        <w:rPr>
          <w:sz w:val="18"/>
          <w:szCs w:val="18"/>
        </w:rPr>
        <w:t xml:space="preserve"> </w:t>
      </w:r>
      <w:r w:rsidRPr="009C259A">
        <w:rPr>
          <w:sz w:val="18"/>
          <w:szCs w:val="18"/>
        </w:rPr>
        <w:br/>
      </w:r>
      <w:r>
        <w:rPr>
          <w:i/>
          <w:sz w:val="18"/>
          <w:szCs w:val="18"/>
        </w:rPr>
        <w:t>Department of Computer Science &amp; Engineering</w:t>
      </w:r>
      <w:r w:rsidRPr="009C259A">
        <w:rPr>
          <w:sz w:val="18"/>
          <w:szCs w:val="18"/>
        </w:rPr>
        <w:br/>
      </w:r>
      <w:r>
        <w:rPr>
          <w:i/>
          <w:sz w:val="18"/>
          <w:szCs w:val="18"/>
        </w:rPr>
        <w:t>Amrita School of Computing Bengaluru</w:t>
      </w:r>
      <w:r w:rsidRPr="009C259A">
        <w:rPr>
          <w:i/>
          <w:sz w:val="18"/>
          <w:szCs w:val="18"/>
        </w:rPr>
        <w:br/>
      </w:r>
      <w:r>
        <w:rPr>
          <w:sz w:val="18"/>
          <w:szCs w:val="18"/>
        </w:rPr>
        <w:t>Amrita Vishwa Vidyapeetham, India</w:t>
      </w:r>
      <w:r w:rsidRPr="009C259A">
        <w:rPr>
          <w:sz w:val="18"/>
          <w:szCs w:val="18"/>
        </w:rPr>
        <w:br/>
      </w:r>
      <w:r>
        <w:rPr>
          <w:sz w:val="18"/>
          <w:szCs w:val="18"/>
        </w:rPr>
        <w:t>BL.EN.U4CSE21001</w:t>
      </w:r>
      <w:r>
        <w:rPr>
          <w:sz w:val="18"/>
          <w:szCs w:val="18"/>
        </w:rPr>
        <w:br/>
      </w:r>
      <w:r w:rsidRPr="00535097">
        <w:rPr>
          <w:sz w:val="18"/>
          <w:szCs w:val="18"/>
        </w:rPr>
        <w:t>A</w:t>
      </w:r>
      <w:r>
        <w:rPr>
          <w:sz w:val="18"/>
          <w:szCs w:val="18"/>
        </w:rPr>
        <w:t>nanya Avvaru</w:t>
      </w:r>
      <w:r w:rsidRPr="009C259A">
        <w:rPr>
          <w:sz w:val="18"/>
          <w:szCs w:val="18"/>
        </w:rPr>
        <w:t xml:space="preserve"> </w:t>
      </w:r>
      <w:r w:rsidRPr="009C259A">
        <w:rPr>
          <w:sz w:val="18"/>
          <w:szCs w:val="18"/>
        </w:rPr>
        <w:br/>
      </w:r>
      <w:r>
        <w:rPr>
          <w:i/>
          <w:sz w:val="18"/>
          <w:szCs w:val="18"/>
        </w:rPr>
        <w:t>Department of Computer Science &amp; Engineering</w:t>
      </w:r>
      <w:r w:rsidRPr="009C259A">
        <w:rPr>
          <w:sz w:val="18"/>
          <w:szCs w:val="18"/>
        </w:rPr>
        <w:br/>
      </w:r>
      <w:r>
        <w:rPr>
          <w:i/>
          <w:sz w:val="18"/>
          <w:szCs w:val="18"/>
        </w:rPr>
        <w:t>Amrita School of Computing Bengaluru</w:t>
      </w:r>
      <w:r w:rsidRPr="009C259A">
        <w:rPr>
          <w:i/>
          <w:sz w:val="18"/>
          <w:szCs w:val="18"/>
        </w:rPr>
        <w:br/>
      </w:r>
      <w:r>
        <w:rPr>
          <w:sz w:val="18"/>
          <w:szCs w:val="18"/>
        </w:rPr>
        <w:t>Amrita Vishwa Vidyapeetham, India</w:t>
      </w:r>
      <w:r w:rsidRPr="009C259A">
        <w:rPr>
          <w:sz w:val="18"/>
          <w:szCs w:val="18"/>
        </w:rPr>
        <w:br/>
      </w:r>
      <w:r>
        <w:rPr>
          <w:sz w:val="18"/>
          <w:szCs w:val="18"/>
        </w:rPr>
        <w:t>BL.EN.U4CSE2101</w:t>
      </w:r>
      <w:r>
        <w:rPr>
          <w:sz w:val="18"/>
          <w:szCs w:val="18"/>
        </w:rPr>
        <w:t>5</w:t>
      </w:r>
      <w:r>
        <w:rPr>
          <w:sz w:val="18"/>
          <w:szCs w:val="18"/>
        </w:rPr>
        <w:br/>
      </w:r>
      <w:r w:rsidRPr="00535097">
        <w:rPr>
          <w:sz w:val="18"/>
          <w:szCs w:val="18"/>
        </w:rPr>
        <w:t>A</w:t>
      </w:r>
      <w:r>
        <w:rPr>
          <w:sz w:val="18"/>
          <w:szCs w:val="18"/>
        </w:rPr>
        <w:t>ryan Tandon</w:t>
      </w:r>
      <w:r w:rsidRPr="009C259A">
        <w:rPr>
          <w:sz w:val="18"/>
          <w:szCs w:val="18"/>
        </w:rPr>
        <w:t xml:space="preserve"> </w:t>
      </w:r>
      <w:r w:rsidRPr="009C259A">
        <w:rPr>
          <w:sz w:val="18"/>
          <w:szCs w:val="18"/>
        </w:rPr>
        <w:br/>
      </w:r>
      <w:r>
        <w:rPr>
          <w:i/>
          <w:sz w:val="18"/>
          <w:szCs w:val="18"/>
        </w:rPr>
        <w:t>Department of Computer Science &amp; Engineering</w:t>
      </w:r>
      <w:r w:rsidRPr="009C259A">
        <w:rPr>
          <w:sz w:val="18"/>
          <w:szCs w:val="18"/>
        </w:rPr>
        <w:br/>
      </w:r>
      <w:r>
        <w:rPr>
          <w:i/>
          <w:sz w:val="18"/>
          <w:szCs w:val="18"/>
        </w:rPr>
        <w:t>Amrita School of Computing Bengaluru</w:t>
      </w:r>
      <w:r w:rsidRPr="009C259A">
        <w:rPr>
          <w:i/>
          <w:sz w:val="18"/>
          <w:szCs w:val="18"/>
        </w:rPr>
        <w:br/>
      </w:r>
      <w:r>
        <w:rPr>
          <w:sz w:val="18"/>
          <w:szCs w:val="18"/>
        </w:rPr>
        <w:t>Amrita Vishwa Vidyapeetham, India</w:t>
      </w:r>
      <w:r w:rsidRPr="009C259A">
        <w:rPr>
          <w:sz w:val="18"/>
          <w:szCs w:val="18"/>
        </w:rPr>
        <w:br/>
      </w:r>
      <w:r>
        <w:rPr>
          <w:sz w:val="18"/>
          <w:szCs w:val="18"/>
        </w:rPr>
        <w:t>BL.EN.U4CSE210</w:t>
      </w:r>
      <w:r>
        <w:rPr>
          <w:sz w:val="18"/>
          <w:szCs w:val="18"/>
        </w:rPr>
        <w:t>31</w:t>
      </w:r>
    </w:p>
    <w:p w14:paraId="5C309D00" w14:textId="77777777" w:rsidR="009F1D79" w:rsidRDefault="009F1D79">
      <w:pPr>
        <w:sectPr w:rsidR="009F1D79" w:rsidSect="00D5692C">
          <w:type w:val="continuous"/>
          <w:pgSz w:w="11906" w:h="16838" w:code="9"/>
          <w:pgMar w:top="450" w:right="893" w:bottom="1440" w:left="893" w:header="720" w:footer="720" w:gutter="0"/>
          <w:cols w:num="3" w:space="720"/>
          <w:docGrid w:linePitch="360"/>
        </w:sectPr>
      </w:pPr>
    </w:p>
    <w:p w14:paraId="5003F5B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7A589D0" w14:textId="77777777" w:rsidR="00D20ABA" w:rsidRDefault="009303D9" w:rsidP="00D20ABA">
      <w:pPr>
        <w:pStyle w:val="Abstract"/>
      </w:pPr>
      <w:r>
        <w:rPr>
          <w:i/>
          <w:iCs/>
        </w:rPr>
        <w:t>Abstract</w:t>
      </w:r>
      <w:r>
        <w:t>—</w:t>
      </w:r>
      <w:r w:rsidR="00D20ABA" w:rsidRPr="00D20ABA">
        <w:t xml:space="preserve"> </w:t>
      </w:r>
      <w:r w:rsidR="00D20ABA" w:rsidRPr="00D20ABA">
        <w:t>This report introduces a comprehensive data preprocessing and analysis system, covering data exploration, imputation, normalization, and similarity measurement. The system facilitates meaningful research by enhancing data quality and enabling precise segmentation. It empowers organizations in diverse domains, offering insights for targeted strategies and improved customer and patient experiences.</w:t>
      </w:r>
      <w:r w:rsidR="00D20ABA">
        <w:t xml:space="preserve"> </w:t>
      </w:r>
    </w:p>
    <w:p w14:paraId="06139F22" w14:textId="6E208A31" w:rsidR="009303D9" w:rsidRPr="004D72B5" w:rsidRDefault="004D72B5" w:rsidP="00D20ABA">
      <w:pPr>
        <w:pStyle w:val="Abstract"/>
      </w:pPr>
      <w:r w:rsidRPr="004D72B5">
        <w:t>Keywords—</w:t>
      </w:r>
      <w:r w:rsidR="00D20ABA" w:rsidRPr="00D20ABA">
        <w:t xml:space="preserve"> </w:t>
      </w:r>
      <w:r w:rsidR="00D20ABA" w:rsidRPr="00D20ABA">
        <w:t>data preprocessing, data analysis, segmentation, data exploration, data imputation, data normalization, similarity measurement, targeted strategies</w:t>
      </w:r>
      <w:r w:rsidR="00D20ABA" w:rsidRPr="00D20ABA">
        <w:t xml:space="preserve"> </w:t>
      </w:r>
    </w:p>
    <w:p w14:paraId="39CC94E6" w14:textId="0356DE91" w:rsidR="009303D9" w:rsidRPr="00D632BE" w:rsidRDefault="009303D9" w:rsidP="006B6B66">
      <w:pPr>
        <w:pStyle w:val="Heading1"/>
      </w:pPr>
      <w:r w:rsidRPr="00D632BE">
        <w:t xml:space="preserve">Introduction </w:t>
      </w:r>
    </w:p>
    <w:p w14:paraId="78790235" w14:textId="55D29C48" w:rsidR="009303D9" w:rsidRPr="005B520E" w:rsidRDefault="002379DE" w:rsidP="00E7596C">
      <w:pPr>
        <w:pStyle w:val="BodyText"/>
      </w:pPr>
      <w:r w:rsidRPr="002379DE">
        <w:t>In the era of data-driven research and analysis, effective data processing techniques are essential for extracting valuable insights. This report presents a comprehensive system for data preprocessing and analysis, covering data exploration, imputation, normalization, and similarity measurement. These processes are critical for ensuring data quality and facilitating meaningful research</w:t>
      </w:r>
      <w:r w:rsidR="009303D9" w:rsidRPr="005B520E">
        <w:t>.</w:t>
      </w:r>
    </w:p>
    <w:p w14:paraId="7AA30650" w14:textId="6F751C95" w:rsidR="009303D9" w:rsidRDefault="002379DE" w:rsidP="00ED0149">
      <w:pPr>
        <w:pStyle w:val="Heading2"/>
      </w:pPr>
      <w:r>
        <w:t>Data Exploration</w:t>
      </w:r>
    </w:p>
    <w:p w14:paraId="5B361A68" w14:textId="16064EEA" w:rsidR="009303D9" w:rsidRPr="005B520E" w:rsidRDefault="002379DE" w:rsidP="00E7596C">
      <w:pPr>
        <w:pStyle w:val="BodyText"/>
      </w:pPr>
      <w:r w:rsidRPr="002379DE">
        <w:t>Data exploration is the preliminary phase of data analysis, where we investigate and summarize datasets to understand their characteristics. Through techniques like summary statistics, visualization, and identifying patterns, data exploration helps reveal insights, anomalies, and trends within the data, providing a foundation for more advanced analytics</w:t>
      </w:r>
      <w:r w:rsidR="009303D9" w:rsidRPr="005B520E">
        <w:t>.</w:t>
      </w:r>
    </w:p>
    <w:p w14:paraId="459FDEA0" w14:textId="5B6CB28C" w:rsidR="009303D9" w:rsidRPr="005B520E" w:rsidRDefault="002379DE" w:rsidP="00ED0149">
      <w:pPr>
        <w:pStyle w:val="Heading2"/>
      </w:pPr>
      <w:r>
        <w:t>Data Imputation</w:t>
      </w:r>
    </w:p>
    <w:p w14:paraId="212C679C" w14:textId="25F125EE" w:rsidR="009303D9" w:rsidRDefault="002379DE" w:rsidP="00E7596C">
      <w:pPr>
        <w:pStyle w:val="BodyText"/>
      </w:pPr>
      <w:r w:rsidRPr="002379DE">
        <w:t>Data normalization/scaling involves adjusting the numerical values within a dataset to a common scale. This ensures that no single feature disproportionately influences machine learning algorithms. Scaling is crucial for various algorithms, including those based on distances or gradients</w:t>
      </w:r>
      <w:r w:rsidR="009303D9" w:rsidRPr="005B520E">
        <w:t>.</w:t>
      </w:r>
    </w:p>
    <w:p w14:paraId="17BCB8B8" w14:textId="33029472" w:rsidR="002379DE" w:rsidRDefault="002379DE" w:rsidP="002379DE">
      <w:pPr>
        <w:pStyle w:val="Heading2"/>
        <w:rPr>
          <w:lang w:val="en-IN"/>
        </w:rPr>
      </w:pPr>
      <w:r w:rsidRPr="002379DE">
        <w:rPr>
          <w:lang w:val="en-IN"/>
        </w:rPr>
        <w:t>Similarity Measure</w:t>
      </w:r>
    </w:p>
    <w:p w14:paraId="457E6483" w14:textId="218F6256" w:rsidR="002379DE" w:rsidRPr="002379DE" w:rsidRDefault="002379DE" w:rsidP="002379DE">
      <w:pPr>
        <w:ind w:firstLine="288"/>
        <w:jc w:val="both"/>
        <w:rPr>
          <w:lang w:val="en-IN"/>
        </w:rPr>
      </w:pPr>
      <w:r w:rsidRPr="002379DE">
        <w:rPr>
          <w:lang w:val="en-IN"/>
        </w:rPr>
        <w:t>Similarity measures are mathematical methods used to quantify the degree of resemblance or proximity between data points. They play a pivotal role in clustering, classification, and recommendation systems by helping to compare and group data based on specific attributes or characteristics</w:t>
      </w:r>
    </w:p>
    <w:p w14:paraId="1A931832" w14:textId="58789FDA" w:rsidR="002379DE" w:rsidRDefault="002379DE" w:rsidP="002379DE">
      <w:pPr>
        <w:pStyle w:val="Heading2"/>
        <w:rPr>
          <w:lang w:val="en-IN"/>
        </w:rPr>
      </w:pPr>
      <w:r w:rsidRPr="002379DE">
        <w:rPr>
          <w:lang w:val="en-IN"/>
        </w:rPr>
        <w:t>Cosine Similarity Measure</w:t>
      </w:r>
    </w:p>
    <w:p w14:paraId="72E4D019" w14:textId="43AC247E" w:rsidR="002379DE" w:rsidRDefault="002379DE" w:rsidP="002379DE">
      <w:pPr>
        <w:spacing w:after="120"/>
        <w:ind w:firstLine="288"/>
        <w:jc w:val="both"/>
        <w:rPr>
          <w:lang w:val="en-IN"/>
        </w:rPr>
      </w:pPr>
      <w:r w:rsidRPr="002379DE">
        <w:rPr>
          <w:lang w:val="en-IN"/>
        </w:rPr>
        <w:t>Cosine similarity is a specialized similarity measure often used for high-dimensional data, such as text documents or user-item interactions. It calculates the cosine of the angle between two vectors, focusing on direction rather than magnitude. Cosine similarity is valuable in applications like natural language processing and collaborative filtering for recommendations</w:t>
      </w:r>
      <w:r>
        <w:rPr>
          <w:lang w:val="en-IN"/>
        </w:rPr>
        <w:t>.</w:t>
      </w:r>
    </w:p>
    <w:p w14:paraId="3E43C190" w14:textId="55BA33F6" w:rsidR="002379DE" w:rsidRPr="002379DE" w:rsidRDefault="002379DE" w:rsidP="002379DE">
      <w:pPr>
        <w:spacing w:after="120"/>
        <w:ind w:firstLine="288"/>
        <w:jc w:val="both"/>
        <w:rPr>
          <w:lang w:val="en-IN"/>
        </w:rPr>
      </w:pPr>
      <w:r w:rsidRPr="002379DE">
        <w:rPr>
          <w:lang w:val="en-IN"/>
        </w:rPr>
        <w:t>Each of these topics plays a vital role in data analysis and machine learning, contributing to the understanding, completeness, and usability of datasets for various tasks and applications</w:t>
      </w:r>
    </w:p>
    <w:p w14:paraId="3F8F8A16" w14:textId="2B05FB66" w:rsidR="009303D9" w:rsidRDefault="00B2102F" w:rsidP="006B6B66">
      <w:pPr>
        <w:pStyle w:val="Heading1"/>
      </w:pPr>
      <w:r>
        <w:t>Literature Survey</w:t>
      </w:r>
    </w:p>
    <w:p w14:paraId="297BDEBD" w14:textId="750F180D" w:rsidR="008B6C8E" w:rsidRPr="008B6C8E" w:rsidRDefault="008B6C8E" w:rsidP="008B6C8E">
      <w:pPr>
        <w:ind w:firstLine="288"/>
        <w:jc w:val="both"/>
      </w:pPr>
      <w:r w:rsidRPr="008B6C8E">
        <w:t xml:space="preserve">C. H. Elzinga and M. Studer [1] investigate the relationship between distance and similarity, highlighting a </w:t>
      </w:r>
      <w:r w:rsidRPr="008B6C8E">
        <w:t>spatial interpretation of similarity as "direction." They emphasize the significant impact of proper normalization on dissimilarity, particularly in research on destandardization of life courses.</w:t>
      </w:r>
    </w:p>
    <w:p w14:paraId="00B15399" w14:textId="5688BDBF" w:rsidR="00D7522C" w:rsidRPr="00D7522C" w:rsidRDefault="00B2102F" w:rsidP="00E7596C">
      <w:pPr>
        <w:pStyle w:val="BodyText"/>
        <w:rPr>
          <w:lang w:val="en-US"/>
        </w:rPr>
      </w:pPr>
      <w:r w:rsidRPr="00B2102F">
        <w:t>In the realm of data transformation and normalization, J. Sola and J. Sevilla [</w:t>
      </w:r>
      <w:r>
        <w:rPr>
          <w:lang w:val="en-IN"/>
        </w:rPr>
        <w:t>2</w:t>
      </w:r>
      <w:r w:rsidRPr="00B2102F">
        <w:t>] emphasized the importance of input data normalization in the context of neural networks applied to complex industrial problems, particularly in nuclear power plants. They demonstrated that proper data normalization significantly improved performance and reduced computation time.</w:t>
      </w:r>
      <w:r w:rsidR="00D7522C">
        <w:rPr>
          <w:lang w:val="en-US"/>
        </w:rPr>
        <w:t>.</w:t>
      </w:r>
    </w:p>
    <w:p w14:paraId="2DE0D3BF" w14:textId="08808291" w:rsidR="009303D9" w:rsidRDefault="00B2102F" w:rsidP="00E7596C">
      <w:pPr>
        <w:pStyle w:val="BodyText"/>
      </w:pPr>
      <w:r w:rsidRPr="00B2102F">
        <w:t>V. Sathya Durga and T. Jeyaprakash [</w:t>
      </w:r>
      <w:r>
        <w:rPr>
          <w:lang w:val="en-IN"/>
        </w:rPr>
        <w:t>3</w:t>
      </w:r>
      <w:r w:rsidRPr="00B2102F">
        <w:t>] introduced a two-phase normalization process involving Cube Root normalization and logarithmic transformation. Their study evaluated the performance of the transformed data against standard metrics</w:t>
      </w:r>
      <w:r w:rsidR="009303D9" w:rsidRPr="005B520E">
        <w:t>.</w:t>
      </w:r>
    </w:p>
    <w:p w14:paraId="4C2726EA" w14:textId="0453BA73" w:rsidR="00B2102F" w:rsidRDefault="00B2102F" w:rsidP="00E7596C">
      <w:pPr>
        <w:pStyle w:val="BodyText"/>
        <w:rPr>
          <w:lang w:val="en-IN"/>
        </w:rPr>
      </w:pPr>
      <w:r w:rsidRPr="00B2102F">
        <w:t>A. Aich, A. Krishna, V. Akhilesh, and C. Hegde [</w:t>
      </w:r>
      <w:r>
        <w:rPr>
          <w:lang w:val="en-IN"/>
        </w:rPr>
        <w:t>4</w:t>
      </w:r>
      <w:r w:rsidRPr="00B2102F">
        <w:t>] explored efficient data encoding techniques, focusing on the storage of pre-processed text data. Their comparison of encoding algorithms, including Huffman Encoding, demonstrated substantial reductions in storage space requirements</w:t>
      </w:r>
      <w:r>
        <w:rPr>
          <w:lang w:val="en-IN"/>
        </w:rPr>
        <w:t>.</w:t>
      </w:r>
    </w:p>
    <w:p w14:paraId="4715B4E7" w14:textId="16757CA0" w:rsidR="00B2102F" w:rsidRDefault="00B2102F" w:rsidP="00B2102F">
      <w:pPr>
        <w:pStyle w:val="BodyText"/>
        <w:rPr>
          <w:lang w:val="en-US"/>
        </w:rPr>
      </w:pPr>
      <w:r w:rsidRPr="00A85E94">
        <w:rPr>
          <w:lang w:val="en-US"/>
        </w:rPr>
        <w:t xml:space="preserve">D. Vatsalan, R. Bhaskar, A. </w:t>
      </w:r>
      <w:proofErr w:type="spellStart"/>
      <w:r w:rsidRPr="00A85E94">
        <w:rPr>
          <w:lang w:val="en-US"/>
        </w:rPr>
        <w:t>Gkoulalas-Divanis</w:t>
      </w:r>
      <w:proofErr w:type="spellEnd"/>
      <w:r w:rsidRPr="00A85E94">
        <w:rPr>
          <w:lang w:val="en-US"/>
        </w:rPr>
        <w:t xml:space="preserve">, and D. </w:t>
      </w:r>
      <w:proofErr w:type="spellStart"/>
      <w:r w:rsidRPr="00A85E94">
        <w:rPr>
          <w:lang w:val="en-US"/>
        </w:rPr>
        <w:t>Karapiperis</w:t>
      </w:r>
      <w:proofErr w:type="spellEnd"/>
      <w:r w:rsidRPr="00A85E94">
        <w:rPr>
          <w:lang w:val="en-US"/>
        </w:rPr>
        <w:t xml:space="preserve"> [</w:t>
      </w:r>
      <w:r>
        <w:rPr>
          <w:lang w:val="en-US"/>
        </w:rPr>
        <w:t>5</w:t>
      </w:r>
      <w:r w:rsidRPr="00A85E94">
        <w:rPr>
          <w:lang w:val="en-US"/>
        </w:rPr>
        <w:t>] addressed privacy concerns related to textual data and proposed an efficient textual data encoding and matching algorithm. They applied this algorithm to privacy-preserving topic modeling, showing its effectiveness in supporting this application while maintaining privacy.</w:t>
      </w:r>
    </w:p>
    <w:p w14:paraId="3721E2AE" w14:textId="2476E627" w:rsidR="00B2102F" w:rsidRDefault="00B2102F" w:rsidP="00B2102F">
      <w:pPr>
        <w:pStyle w:val="BodyText"/>
        <w:rPr>
          <w:lang w:val="en-US"/>
        </w:rPr>
      </w:pPr>
      <w:r w:rsidRPr="00A85E94">
        <w:rPr>
          <w:lang w:val="en-US"/>
        </w:rPr>
        <w:t>K. Zhang [</w:t>
      </w:r>
      <w:r w:rsidR="00D20ABA">
        <w:rPr>
          <w:lang w:val="en-US"/>
        </w:rPr>
        <w:t>6</w:t>
      </w:r>
      <w:r w:rsidRPr="00A85E94">
        <w:rPr>
          <w:lang w:val="en-US"/>
        </w:rPr>
        <w:t>] introduced a family of distance metrics derived from similarity metrics of Minkowski type. The study provided general solutions for constructing normalized similarity and distance metrics from existing metrics and discussed their applications.</w:t>
      </w:r>
    </w:p>
    <w:p w14:paraId="0E2F22A7" w14:textId="38D430C3" w:rsidR="00B2102F" w:rsidRDefault="00B2102F" w:rsidP="00B2102F">
      <w:pPr>
        <w:pStyle w:val="BodyText"/>
        <w:rPr>
          <w:lang w:val="en-US"/>
        </w:rPr>
      </w:pPr>
      <w:r w:rsidRPr="00A85E94">
        <w:rPr>
          <w:lang w:val="en-US"/>
        </w:rPr>
        <w:t xml:space="preserve">I. Radisic, S. Lazarevic, I. </w:t>
      </w:r>
      <w:proofErr w:type="spellStart"/>
      <w:r w:rsidRPr="00A85E94">
        <w:rPr>
          <w:lang w:val="en-US"/>
        </w:rPr>
        <w:t>Antovic</w:t>
      </w:r>
      <w:proofErr w:type="spellEnd"/>
      <w:r w:rsidRPr="00A85E94">
        <w:rPr>
          <w:lang w:val="en-US"/>
        </w:rPr>
        <w:t>, and V. Stanojevic [</w:t>
      </w:r>
      <w:r w:rsidR="00D20ABA">
        <w:rPr>
          <w:lang w:val="en-US"/>
        </w:rPr>
        <w:t>7</w:t>
      </w:r>
      <w:r w:rsidRPr="00A85E94">
        <w:rPr>
          <w:lang w:val="en-US"/>
        </w:rPr>
        <w:t>] evaluated various similarity metrics' predictive capabilities in machine learning algorithms. Their findings shed light on the predictive capabilities of these metrics under different data conditions.</w:t>
      </w:r>
    </w:p>
    <w:p w14:paraId="587326AB" w14:textId="4F899D3B" w:rsidR="00B2102F" w:rsidRDefault="00B2102F" w:rsidP="00B2102F">
      <w:pPr>
        <w:pStyle w:val="BodyText"/>
        <w:rPr>
          <w:lang w:val="en-US"/>
        </w:rPr>
      </w:pPr>
      <w:r w:rsidRPr="00A85E94">
        <w:rPr>
          <w:lang w:val="en-US"/>
        </w:rPr>
        <w:t xml:space="preserve">T. D. Quynh, N. Xuan Thao, N. Q. Thuan, and N. </w:t>
      </w:r>
      <w:proofErr w:type="gramStart"/>
      <w:r w:rsidRPr="00A85E94">
        <w:rPr>
          <w:lang w:val="en-US"/>
        </w:rPr>
        <w:t>Van</w:t>
      </w:r>
      <w:proofErr w:type="gramEnd"/>
      <w:r w:rsidRPr="00A85E94">
        <w:rPr>
          <w:lang w:val="en-US"/>
        </w:rPr>
        <w:t xml:space="preserve"> Dinh [</w:t>
      </w:r>
      <w:r w:rsidR="00D20ABA">
        <w:rPr>
          <w:lang w:val="en-US"/>
        </w:rPr>
        <w:t>8</w:t>
      </w:r>
      <w:r w:rsidRPr="00A85E94">
        <w:rPr>
          <w:lang w:val="en-US"/>
        </w:rPr>
        <w:t>] proposed a new similarity measure for Intuitionistic fuzzy sets (IFSs) and demonstrated its effectiveness in classification and multi-criteria decision-making problems.</w:t>
      </w:r>
    </w:p>
    <w:p w14:paraId="73A2ADB3" w14:textId="372DA756" w:rsidR="00B2102F" w:rsidRDefault="00B2102F" w:rsidP="00B2102F">
      <w:pPr>
        <w:pStyle w:val="BodyText"/>
        <w:rPr>
          <w:lang w:val="en-US"/>
        </w:rPr>
      </w:pPr>
      <w:r w:rsidRPr="00A85E94">
        <w:rPr>
          <w:lang w:val="en-US"/>
        </w:rPr>
        <w:t>G. Wang, T. Zhang, G. Xu, Y. Zheng, Z. Du, and Q. Long [</w:t>
      </w:r>
      <w:r w:rsidR="00D20ABA">
        <w:rPr>
          <w:lang w:val="en-US"/>
        </w:rPr>
        <w:t>9</w:t>
      </w:r>
      <w:r w:rsidRPr="00A85E94">
        <w:rPr>
          <w:lang w:val="en-US"/>
        </w:rPr>
        <w:t>] addressed the challenge of measuring similarity in long text data. They introduced a deep learning-based method to improve accuracy, especially for lengthy textual content.</w:t>
      </w:r>
    </w:p>
    <w:p w14:paraId="6E7FE1BD" w14:textId="552A97F3" w:rsidR="00B2102F" w:rsidRPr="008B6C8E" w:rsidRDefault="00B2102F" w:rsidP="008B6C8E">
      <w:pPr>
        <w:pStyle w:val="BodyText"/>
        <w:rPr>
          <w:lang w:val="en-US"/>
        </w:rPr>
      </w:pPr>
      <w:r w:rsidRPr="00A85E94">
        <w:rPr>
          <w:lang w:val="en-US"/>
        </w:rPr>
        <w:t>H. Yu, Z. Zhang, Z. Zhu, W. Xiong, and G. Zhang [</w:t>
      </w:r>
      <w:r w:rsidR="00D20ABA">
        <w:rPr>
          <w:lang w:val="en-US"/>
        </w:rPr>
        <w:t>10</w:t>
      </w:r>
      <w:r w:rsidRPr="00A85E94">
        <w:rPr>
          <w:lang w:val="en-US"/>
        </w:rPr>
        <w:t>] proposed a hierarchical measure for nominal data similarity (HNS) that considered low-level information within and between attributes. Their experiments showed that HNS outperformed existing nominal similarity measures in terms of target alignment and clustering accuracy.</w:t>
      </w:r>
    </w:p>
    <w:p w14:paraId="55ACC1B7" w14:textId="09F6E00D" w:rsidR="009303D9" w:rsidRDefault="008B6C8E" w:rsidP="006B6B66">
      <w:pPr>
        <w:pStyle w:val="Heading1"/>
      </w:pPr>
      <w:r>
        <w:lastRenderedPageBreak/>
        <w:t>System For Customer/</w:t>
      </w:r>
      <w:r w:rsidR="006F641F">
        <w:t>P</w:t>
      </w:r>
      <w:r>
        <w:t>atient</w:t>
      </w:r>
      <w:r w:rsidR="006F641F">
        <w:t xml:space="preserve"> Segmentation</w:t>
      </w:r>
    </w:p>
    <w:p w14:paraId="5F906DF5" w14:textId="1B99208D" w:rsidR="009303D9" w:rsidRPr="005B520E" w:rsidRDefault="006F641F" w:rsidP="00E7596C">
      <w:pPr>
        <w:pStyle w:val="BodyText"/>
      </w:pPr>
      <w:r w:rsidRPr="006F641F">
        <w:t>Our system, outlined in this report, is a versatile solution designed for segmentation in diverse domains such as healthcare and marketing. Leveraging advanced data analytics, it empowers organizations to extract valuable insights from large datasets, enabling data-informed decisions and resource optimization. Whether you're a healthcare professional or a marketing strategist, our system offers a flexible and powerful tool for precise segmentation.</w:t>
      </w:r>
    </w:p>
    <w:p w14:paraId="42D74019" w14:textId="72C40215" w:rsidR="009303D9" w:rsidRDefault="006F641F" w:rsidP="00ED0149">
      <w:pPr>
        <w:pStyle w:val="Heading2"/>
      </w:pPr>
      <w:r>
        <w:t>Flow Diagram</w:t>
      </w:r>
    </w:p>
    <w:p w14:paraId="241309B3" w14:textId="5CF30377" w:rsidR="006F641F" w:rsidRPr="006F641F" w:rsidRDefault="001704E0" w:rsidP="006F641F">
      <w:r>
        <w:rPr>
          <w:noProof/>
        </w:rPr>
        <w:drawing>
          <wp:inline distT="0" distB="0" distL="0" distR="0" wp14:anchorId="00F180D9" wp14:editId="159DEFFC">
            <wp:extent cx="3089910" cy="2137558"/>
            <wp:effectExtent l="0" t="0" r="0" b="15240"/>
            <wp:docPr id="94827092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DA2D90B" w14:textId="2E8E8CDF" w:rsidR="009303D9" w:rsidRPr="005B520E" w:rsidRDefault="00EB0901" w:rsidP="00794804">
      <w:pPr>
        <w:pStyle w:val="Heading3"/>
      </w:pPr>
      <w:r>
        <w:t>Input Handling</w:t>
      </w:r>
      <w:r w:rsidR="009303D9" w:rsidRPr="00FA4C32">
        <w:rPr>
          <w:i w:val="0"/>
        </w:rPr>
        <w:t>.</w:t>
      </w:r>
    </w:p>
    <w:p w14:paraId="5B6D3CA2" w14:textId="6D073531" w:rsidR="009303D9" w:rsidRPr="005B520E" w:rsidRDefault="00EB0901" w:rsidP="00794804">
      <w:pPr>
        <w:pStyle w:val="Heading4"/>
      </w:pPr>
      <w:r>
        <w:t>Data Collection</w:t>
      </w:r>
      <w:r w:rsidR="009303D9" w:rsidRPr="005B520E">
        <w:t xml:space="preserve">: </w:t>
      </w:r>
      <w:r w:rsidRPr="00EB0901">
        <w:t>Gather customer/patient data from various sources, including demographics, behavior, and preferences</w:t>
      </w:r>
      <w:r w:rsidR="009303D9" w:rsidRPr="00FA4C32">
        <w:rPr>
          <w:i w:val="0"/>
        </w:rPr>
        <w:t>.</w:t>
      </w:r>
    </w:p>
    <w:p w14:paraId="08BBF131" w14:textId="77F40BA0" w:rsidR="009303D9" w:rsidRPr="005B520E" w:rsidRDefault="00EB0901" w:rsidP="00794804">
      <w:pPr>
        <w:pStyle w:val="Heading4"/>
      </w:pPr>
      <w:r w:rsidRPr="00EB0901">
        <w:t>Data Preprocessing: Clean the data, handle missing values, and convert categorical variables into numerical format</w:t>
      </w:r>
      <w:r w:rsidR="009303D9" w:rsidRPr="00FA4C32">
        <w:rPr>
          <w:i w:val="0"/>
        </w:rPr>
        <w:t>.</w:t>
      </w:r>
    </w:p>
    <w:p w14:paraId="2D208C37" w14:textId="23128160" w:rsidR="007D6232" w:rsidRDefault="00EB0901" w:rsidP="00EB0901">
      <w:pPr>
        <w:pStyle w:val="Heading3"/>
      </w:pPr>
      <w:r w:rsidRPr="00EB0901">
        <w:t>Feature Engineering</w:t>
      </w:r>
    </w:p>
    <w:p w14:paraId="6C77E42A" w14:textId="4E1F3C74" w:rsidR="00EB0901" w:rsidRDefault="00EB0901" w:rsidP="00EB0901">
      <w:pPr>
        <w:pStyle w:val="Heading4"/>
      </w:pPr>
      <w:r w:rsidRPr="00EB0901">
        <w:t>Extract relevant features from the data, such as age, gender, purchase history, and medical history.</w:t>
      </w:r>
    </w:p>
    <w:p w14:paraId="1F45B161" w14:textId="36509AA2" w:rsidR="00EB0901" w:rsidRDefault="00EB0901" w:rsidP="00EB0901">
      <w:pPr>
        <w:pStyle w:val="Heading4"/>
      </w:pPr>
      <w:r w:rsidRPr="00EB0901">
        <w:t>Normalize/Scale Features: Ensure that all features are on the same scale for accurate similarity scoring.</w:t>
      </w:r>
    </w:p>
    <w:p w14:paraId="044B4569" w14:textId="6B915CD3" w:rsidR="00EB0901" w:rsidRDefault="00EB0901" w:rsidP="00EB0901">
      <w:pPr>
        <w:pStyle w:val="Heading3"/>
      </w:pPr>
      <w:r>
        <w:t>Similarity Scoring</w:t>
      </w:r>
    </w:p>
    <w:p w14:paraId="044BC0A7" w14:textId="35DCF914" w:rsidR="00EB0901" w:rsidRDefault="00EB0901" w:rsidP="00EB0901">
      <w:pPr>
        <w:pStyle w:val="Heading4"/>
      </w:pPr>
      <w:r w:rsidRPr="00EB0901">
        <w:t>Apply a clustering algorithm (e.g., K-means, hierarchical clustering) to group similar customers/patients together.</w:t>
      </w:r>
    </w:p>
    <w:p w14:paraId="00C1A373" w14:textId="3DB791D3" w:rsidR="00EB0901" w:rsidRDefault="00EB0901" w:rsidP="00EB0901">
      <w:pPr>
        <w:pStyle w:val="Heading4"/>
      </w:pPr>
      <w:r w:rsidRPr="00EB0901">
        <w:t>Create a similarity matrix to represent pairwise similarities.</w:t>
      </w:r>
    </w:p>
    <w:p w14:paraId="3D900C98" w14:textId="2DD9DCE1" w:rsidR="00EB0901" w:rsidRDefault="00EB0901" w:rsidP="00EB0901">
      <w:pPr>
        <w:pStyle w:val="Heading3"/>
      </w:pPr>
      <w:r w:rsidRPr="00EB0901">
        <w:t>Segmentation</w:t>
      </w:r>
    </w:p>
    <w:p w14:paraId="5D3BE8E6" w14:textId="63D709E3" w:rsidR="00EB0901" w:rsidRDefault="00EB0901" w:rsidP="00EB0901">
      <w:pPr>
        <w:pStyle w:val="Heading4"/>
      </w:pPr>
      <w:r w:rsidRPr="00EB0901">
        <w:t>Apply a clustering algorithm (e.g., K-means, hierarchical clustering) to group similar customers/patients together</w:t>
      </w:r>
      <w:r>
        <w:t>.</w:t>
      </w:r>
    </w:p>
    <w:p w14:paraId="50E986D4" w14:textId="028088DD" w:rsidR="00EB0901" w:rsidRDefault="00EB0901" w:rsidP="00EB0901">
      <w:pPr>
        <w:pStyle w:val="Heading4"/>
      </w:pPr>
      <w:r w:rsidRPr="00EB0901">
        <w:t>Determine the optimal number of clusters based on domain knowledge or using techniques like the elbow method or silhouette score.</w:t>
      </w:r>
    </w:p>
    <w:p w14:paraId="1889FDA6" w14:textId="0635D288" w:rsidR="00EB0901" w:rsidRDefault="00EB0901" w:rsidP="00EB0901">
      <w:pPr>
        <w:pStyle w:val="Heading3"/>
      </w:pPr>
      <w:r>
        <w:t>Architecture Diagram</w:t>
      </w:r>
    </w:p>
    <w:p w14:paraId="2A9648D8" w14:textId="2C987BFF" w:rsidR="00EB0901" w:rsidRDefault="00EB0901" w:rsidP="00EB0901">
      <w:pPr>
        <w:pStyle w:val="Heading4"/>
      </w:pPr>
      <w:r w:rsidRPr="00EB0901">
        <w:t>Assign each customer/patient to a specific segment or cluster.</w:t>
      </w:r>
    </w:p>
    <w:p w14:paraId="6CE6D93D" w14:textId="0E3D3B53" w:rsidR="00EB0901" w:rsidRDefault="00EB0901" w:rsidP="00EB0901">
      <w:pPr>
        <w:pStyle w:val="Heading4"/>
      </w:pPr>
      <w:r w:rsidRPr="00EB0901">
        <w:t>Generate reports or visualizations to interpret and present the segmentation results.</w:t>
      </w:r>
    </w:p>
    <w:p w14:paraId="14E48A21" w14:textId="6327E36B" w:rsidR="00EB0901" w:rsidRDefault="00EB0901" w:rsidP="00EB0901">
      <w:pPr>
        <w:pStyle w:val="Heading2"/>
      </w:pPr>
      <w:r>
        <w:t>Architecture Diagram</w:t>
      </w:r>
    </w:p>
    <w:p w14:paraId="54AFE249" w14:textId="22672314" w:rsidR="006F6D3D" w:rsidRDefault="00EB0901" w:rsidP="00114E0B">
      <w:pPr>
        <w:pStyle w:val="Heading3"/>
      </w:pPr>
      <w:r>
        <w:t>Data Collection Modules</w:t>
      </w:r>
    </w:p>
    <w:p w14:paraId="60E217DA" w14:textId="2E30601C" w:rsidR="00114E0B" w:rsidRDefault="00114E0B" w:rsidP="00114E0B">
      <w:pPr>
        <w:ind w:firstLine="288"/>
        <w:jc w:val="both"/>
      </w:pPr>
      <w:r w:rsidRPr="00114E0B">
        <w:t>The Data Collection Module serves as the initial entry point for the system. It collects data from diverse sources, including customer demographics, behavior, and preferences. These data sources may include databases, surveys, website interactions, and more. The module ensures that the data is gathered efficiently and comprehensively, forming the foundation for subsequent analysis. Clean, complete, and relevant data is essential to achieve meaningful segmentation results.</w:t>
      </w:r>
    </w:p>
    <w:p w14:paraId="1138AAE8" w14:textId="352A08EB" w:rsidR="00114E0B" w:rsidRDefault="00114E0B" w:rsidP="00114E0B">
      <w:pPr>
        <w:pStyle w:val="Heading3"/>
      </w:pPr>
      <w:r w:rsidRPr="00114E0B">
        <w:t>Data Preprocessing Module</w:t>
      </w:r>
    </w:p>
    <w:p w14:paraId="5AD9EB38" w14:textId="7B507166" w:rsidR="00114E0B" w:rsidRDefault="00114E0B" w:rsidP="00114E0B">
      <w:pPr>
        <w:ind w:firstLine="288"/>
        <w:jc w:val="both"/>
      </w:pPr>
      <w:r w:rsidRPr="00114E0B">
        <w:t>In the Data Preprocessing Module, the raw data undergoes a series of data cleansing and preparation steps. Its primary purpose is to enhance data quality and consistency. This module identifies and handles missing values, outliers, and duplicates, which could negatively impact the accuracy of the segmentation. Additionally, it transforms categorical variables into numerical format, making them suitable for analysis by downstream modules.</w:t>
      </w:r>
    </w:p>
    <w:p w14:paraId="2CC0289A" w14:textId="6208BA40" w:rsidR="00114E0B" w:rsidRDefault="00114E0B" w:rsidP="00114E0B">
      <w:pPr>
        <w:pStyle w:val="Heading3"/>
      </w:pPr>
      <w:r w:rsidRPr="00114E0B">
        <w:t>Feature Engineering Module</w:t>
      </w:r>
    </w:p>
    <w:p w14:paraId="7A487712" w14:textId="7FB0AC9E" w:rsidR="00114E0B" w:rsidRDefault="00114E0B" w:rsidP="00114E0B">
      <w:pPr>
        <w:ind w:firstLine="288"/>
        <w:jc w:val="both"/>
      </w:pPr>
      <w:r w:rsidRPr="00114E0B">
        <w:t>Feature Engineering is a crucial step that involves extracting meaningful and informative features from the preprocessed data. These features could include customer attributes like age, gender, purchase history, and medical history. The module also focuses on normalizing and scaling these features to ensure they are on the same scale. Normalization enhances the effectiveness of similarity calculations and clustering algorithms, as it prevents certain features from dominating the segmentation process due to their scale.</w:t>
      </w:r>
    </w:p>
    <w:p w14:paraId="6F281B7C" w14:textId="7F4489A1" w:rsidR="00114E0B" w:rsidRDefault="00114E0B" w:rsidP="00114E0B">
      <w:pPr>
        <w:pStyle w:val="Heading3"/>
      </w:pPr>
      <w:r w:rsidRPr="00114E0B">
        <w:t>Similarity Scoring Module</w:t>
      </w:r>
    </w:p>
    <w:p w14:paraId="381080C6" w14:textId="6C9E38BB" w:rsidR="00114E0B" w:rsidRDefault="00114E0B" w:rsidP="00114E0B">
      <w:pPr>
        <w:ind w:firstLine="288"/>
        <w:jc w:val="both"/>
      </w:pPr>
      <w:r w:rsidRPr="00114E0B">
        <w:t>The Similarity Scoring Module calculates the pairwise similarities between customers/patients based on their feature vectors. This module employs a selected similarity measure, such as cosine similarity or Euclidean distance, to quantify the degree of similarity or dissimilarity between individuals. The result is a similarity matrix, which provides a comprehensive view of how each customer/patient relates to others in the dataset. This matrix serves as the foundation for the subsequent segmentation process.</w:t>
      </w:r>
    </w:p>
    <w:p w14:paraId="6D83AC80" w14:textId="5493063E" w:rsidR="00114E0B" w:rsidRDefault="002D7A01" w:rsidP="00114E0B">
      <w:pPr>
        <w:pStyle w:val="Heading3"/>
      </w:pPr>
      <w:r w:rsidRPr="002D7A01">
        <w:t>Segmentation Module</w:t>
      </w:r>
    </w:p>
    <w:p w14:paraId="2A2776C4" w14:textId="3A81C1F9" w:rsidR="002D7A01" w:rsidRDefault="002D7A01" w:rsidP="002D7A01">
      <w:pPr>
        <w:ind w:firstLine="288"/>
        <w:jc w:val="both"/>
      </w:pPr>
      <w:r w:rsidRPr="002D7A01">
        <w:t>The Segmentation Module is where the actual segmentation of customers/patients occurs. It applies clustering algorithms, such as K-means or hierarchical clustering, to group individuals into distinct segments or clusters based on their calculated similarity scores. The optimal number of clusters is determined using techniques like the elbow method or silhouette score. Segmentation aims to identify homogeneous groups within the dataset, allowing organizations to tailor their strategies to meet the unique needs of each segment</w:t>
      </w:r>
      <w:r>
        <w:t>.</w:t>
      </w:r>
    </w:p>
    <w:p w14:paraId="27C2ED9B" w14:textId="3B47BA9A" w:rsidR="002D7A01" w:rsidRDefault="002D7A01" w:rsidP="002D7A01">
      <w:pPr>
        <w:pStyle w:val="Heading3"/>
      </w:pPr>
      <w:r w:rsidRPr="002D7A01">
        <w:t>Output Module</w:t>
      </w:r>
    </w:p>
    <w:p w14:paraId="11C416CC" w14:textId="2465EE9C" w:rsidR="002D7A01" w:rsidRDefault="002D7A01" w:rsidP="002D7A01">
      <w:pPr>
        <w:ind w:firstLine="288"/>
        <w:jc w:val="both"/>
      </w:pPr>
      <w:r w:rsidRPr="002D7A01">
        <w:t>The Output Module is responsible for presenting the results of the segmentation process. It assigns each customer/patient to a specific segment or cluster based on the segmentation outcomes. Additionally, this module provides visualization and reporting capabilities, allowing stakeholders to interpret and communicate the segmentation results effectively. Visualization tools, charts, and reports aid in decision-making processes by offering insights into the characteristics and behaviors of each customer/patient segment.</w:t>
      </w:r>
    </w:p>
    <w:p w14:paraId="3C4A9E4B" w14:textId="77777777" w:rsidR="002D7A01" w:rsidRDefault="002D7A01" w:rsidP="002D7A01">
      <w:pPr>
        <w:ind w:firstLine="288"/>
        <w:jc w:val="both"/>
      </w:pPr>
    </w:p>
    <w:p w14:paraId="73902DF2" w14:textId="77777777" w:rsidR="00270D14" w:rsidRDefault="00270D14" w:rsidP="002D7A01">
      <w:pPr>
        <w:ind w:firstLine="288"/>
        <w:jc w:val="both"/>
        <w:sectPr w:rsidR="00270D14" w:rsidSect="003B4E04">
          <w:type w:val="continuous"/>
          <w:pgSz w:w="11906" w:h="16838" w:code="9"/>
          <w:pgMar w:top="1080" w:right="907" w:bottom="1440" w:left="907" w:header="720" w:footer="720" w:gutter="0"/>
          <w:cols w:num="2" w:space="360"/>
          <w:docGrid w:linePitch="360"/>
        </w:sectPr>
      </w:pPr>
    </w:p>
    <w:p w14:paraId="70C530E3" w14:textId="57F173D8" w:rsidR="002D7A01" w:rsidRPr="002D7A01" w:rsidRDefault="002D7A01" w:rsidP="002D7A01">
      <w:pPr>
        <w:ind w:firstLine="288"/>
        <w:jc w:val="both"/>
      </w:pPr>
      <w:r w:rsidRPr="002D7A01">
        <w:t>These modules work in tandem to transform raw data into actionable insights, facilitating targeted marketing efforts, personalized customer experiences, and improved patient care.</w:t>
      </w:r>
    </w:p>
    <w:p w14:paraId="7A88EF38" w14:textId="3C9BC150" w:rsidR="009303D9" w:rsidRDefault="002D7A01" w:rsidP="00ED0149">
      <w:pPr>
        <w:pStyle w:val="Heading2"/>
      </w:pPr>
      <w:r>
        <w:t>Parameters and Justification</w:t>
      </w:r>
    </w:p>
    <w:p w14:paraId="36A6AC3F" w14:textId="091DA835" w:rsidR="002D7A01" w:rsidRDefault="002D7A01" w:rsidP="002D7A01">
      <w:pPr>
        <w:pStyle w:val="Heading3"/>
      </w:pPr>
      <w:r w:rsidRPr="002D7A01">
        <w:t>Clustering Algorithm (e.g., K-means)</w:t>
      </w:r>
    </w:p>
    <w:p w14:paraId="696DBB4A" w14:textId="34ADD547" w:rsidR="002D7A01" w:rsidRDefault="002D7A01" w:rsidP="002D7A01">
      <w:pPr>
        <w:ind w:firstLine="720"/>
        <w:jc w:val="both"/>
      </w:pPr>
      <w:r w:rsidRPr="002D7A01">
        <w:t>The value of K needs to be determined. We can initially set K to a reasonable value and then fine-tune it using techniques like the elbow method. For example, K=5 for five customer segments.</w:t>
      </w:r>
    </w:p>
    <w:p w14:paraId="2D50353E" w14:textId="68562742" w:rsidR="002D7A01" w:rsidRDefault="002D7A01" w:rsidP="002D7A01">
      <w:pPr>
        <w:pStyle w:val="Heading3"/>
      </w:pPr>
      <w:r w:rsidRPr="002D7A01">
        <w:t>Similarity Measure (e.g., Cosine Similarity)</w:t>
      </w:r>
    </w:p>
    <w:p w14:paraId="76A3B547" w14:textId="7432229A" w:rsidR="002D7A01" w:rsidRDefault="002D7A01" w:rsidP="002D7A01">
      <w:pPr>
        <w:ind w:firstLine="720"/>
        <w:jc w:val="both"/>
      </w:pPr>
      <w:r w:rsidRPr="002D7A01">
        <w:t>No specific parameters to assign, but the choice of similarity measure should align with the nature of the data and the goals of segmentation.</w:t>
      </w:r>
    </w:p>
    <w:p w14:paraId="6B5DBF00" w14:textId="16B243E7" w:rsidR="002D7A01" w:rsidRDefault="002D7A01" w:rsidP="002D7A01">
      <w:pPr>
        <w:pStyle w:val="Heading3"/>
      </w:pPr>
      <w:r w:rsidRPr="002D7A01">
        <w:t>Feature Selection</w:t>
      </w:r>
    </w:p>
    <w:p w14:paraId="6F663254" w14:textId="0C7EEE51" w:rsidR="002D7A01" w:rsidRDefault="002D7A01" w:rsidP="002D7A01">
      <w:pPr>
        <w:ind w:firstLine="720"/>
        <w:jc w:val="both"/>
      </w:pPr>
      <w:r w:rsidRPr="002D7A01">
        <w:t>Parameters related to feature selection, such as which features to include or exclude, should be based on domain knowledge and feature importance analysis.</w:t>
      </w:r>
    </w:p>
    <w:p w14:paraId="3BF31919" w14:textId="3FA6075A" w:rsidR="002D7A01" w:rsidRDefault="002D7A01" w:rsidP="002D7A01">
      <w:pPr>
        <w:pStyle w:val="Heading3"/>
      </w:pPr>
      <w:r w:rsidRPr="002D7A01">
        <w:t>Visualization/Reporting Parameters</w:t>
      </w:r>
    </w:p>
    <w:p w14:paraId="1F1A57AE" w14:textId="05B3AF57" w:rsidR="002D7A01" w:rsidRDefault="002D7A01" w:rsidP="002D7A01">
      <w:pPr>
        <w:ind w:firstLine="720"/>
        <w:jc w:val="both"/>
      </w:pPr>
      <w:r w:rsidRPr="002D7A01">
        <w:t>Parameters for generating visualizations or reports, such as plot styles and report formats, can be customized based on user preferences</w:t>
      </w:r>
      <w:r>
        <w:t>.</w:t>
      </w:r>
    </w:p>
    <w:p w14:paraId="77A833D8" w14:textId="16AD766F" w:rsidR="002D7A01" w:rsidRDefault="002D7A01" w:rsidP="002D7A01">
      <w:pPr>
        <w:pStyle w:val="Heading3"/>
      </w:pPr>
      <w:r w:rsidRPr="002D7A01">
        <w:t>Missing Value Handling</w:t>
      </w:r>
    </w:p>
    <w:p w14:paraId="3AFCEBE6" w14:textId="4DA32B46" w:rsidR="002D7A01" w:rsidRDefault="002D7A01" w:rsidP="002D7A01">
      <w:pPr>
        <w:ind w:firstLine="720"/>
        <w:jc w:val="both"/>
      </w:pPr>
      <w:r w:rsidRPr="002D7A01">
        <w:t>Parameters related to handling missing values, such as imputation methods (mean, median, mode), should be chosen based on data analysis</w:t>
      </w:r>
      <w:r>
        <w:t>.</w:t>
      </w:r>
    </w:p>
    <w:p w14:paraId="65587DB2" w14:textId="14460C85" w:rsidR="002D7A01" w:rsidRPr="002D7A01" w:rsidRDefault="002D7A01" w:rsidP="002D7A01">
      <w:pPr>
        <w:ind w:firstLine="288"/>
        <w:jc w:val="both"/>
      </w:pPr>
      <w:r w:rsidRPr="002D7A01">
        <w:t>These parameters should be chosen and fine-tuned during the development and testing phases to ensure the segmentation system's effectiveness in different scenarios.</w:t>
      </w:r>
    </w:p>
    <w:p w14:paraId="34C1E29E" w14:textId="77777777" w:rsidR="00D20ABA" w:rsidRDefault="0080791D" w:rsidP="00D20ABA">
      <w:pPr>
        <w:pStyle w:val="Heading5"/>
      </w:pPr>
      <w:r w:rsidRPr="005B520E">
        <w:t>Acknowledgment</w:t>
      </w:r>
    </w:p>
    <w:p w14:paraId="42F4E1DD" w14:textId="0D1F9CBF" w:rsidR="00270D14" w:rsidRPr="00D20ABA" w:rsidRDefault="00D20ABA" w:rsidP="00D20ABA">
      <w:pPr>
        <w:pStyle w:val="Heading5"/>
        <w:jc w:val="both"/>
      </w:pPr>
      <w:r>
        <w:tab/>
      </w:r>
      <w:r w:rsidR="00270D14" w:rsidRPr="00270D14">
        <w:rPr>
          <w:smallCaps w:val="0"/>
          <w:noProof w:val="0"/>
          <w:spacing w:val="-1"/>
          <w:lang w:val="x-none" w:eastAsia="x-none"/>
        </w:rPr>
        <w:t>The expression of gratitude was conveyed towards their professor, Dr. Peeta Basa Pati, for his exceptional guidance and expertise.</w:t>
      </w:r>
    </w:p>
    <w:p w14:paraId="65582625" w14:textId="7D987672" w:rsidR="009303D9" w:rsidRPr="005B520E" w:rsidRDefault="009303D9" w:rsidP="00270D14">
      <w:pPr>
        <w:pStyle w:val="Heading5"/>
      </w:pPr>
      <w:r w:rsidRPr="005B520E">
        <w:t>References</w:t>
      </w:r>
    </w:p>
    <w:p w14:paraId="01BC566D" w14:textId="0DB26999" w:rsidR="009303D9" w:rsidRDefault="00270D14" w:rsidP="0004781E">
      <w:pPr>
        <w:pStyle w:val="references"/>
        <w:ind w:left="354" w:hanging="354"/>
      </w:pPr>
      <w:r>
        <w:t>C. Elzinga and M. Studer, “</w:t>
      </w:r>
      <w:r w:rsidRPr="00270D14">
        <w:t>Normalization of Distance and Similarity in Sequence Analysis</w:t>
      </w:r>
      <w:r>
        <w:t>”,</w:t>
      </w:r>
      <w:r w:rsidRPr="00270D14">
        <w:t xml:space="preserve"> </w:t>
      </w:r>
      <w:r w:rsidRPr="00270D14">
        <w:t>Volume 48, Issue 4</w:t>
      </w:r>
    </w:p>
    <w:p w14:paraId="562CF721" w14:textId="5706498A" w:rsidR="009303D9" w:rsidRDefault="00270D14" w:rsidP="0004781E">
      <w:pPr>
        <w:pStyle w:val="references"/>
        <w:ind w:left="354" w:hanging="354"/>
      </w:pPr>
      <w:r w:rsidRPr="00270D14">
        <w:t>J. Sola and J. Sevilla, "Importance of input data normalization for the application of neural networks to complex industrial problems," in IEEE Transactions on Nuclear Science, vol. 44, no. 3, pp. 1464-1468, June 1997, doi: 10.1109/23.589532.</w:t>
      </w:r>
      <w:r w:rsidR="009303D9">
        <w:t>I. S. Jacobs and C. P. Bean, “Fine particles, thin films and exchange anisotropy,” in Magnetism, vol. III, G. T. Rado and H. Suhl, Eds. New York: Academic, 1963, pp. 271–350.</w:t>
      </w:r>
    </w:p>
    <w:p w14:paraId="38B92CD6" w14:textId="1AF4BB73" w:rsidR="009303D9" w:rsidRDefault="00270D14" w:rsidP="0004781E">
      <w:pPr>
        <w:pStyle w:val="references"/>
        <w:ind w:left="354" w:hanging="354"/>
      </w:pPr>
      <w:r w:rsidRPr="00270D14">
        <w:t>V. Sathya Durga and T. Jeyaprakash, "An Effective Data Normalization Strategy for Academic Datasets using Log Values," 2019 International Conference on Communication and Electronics Systems (ICCES), Coimbatore, India, 2019, pp. 610-612, doi: 10.1109/ICCES45898.2019.9002089.</w:t>
      </w:r>
      <w:r w:rsidR="009303D9">
        <w:t>R. Nicole, “Title of paper with only first word capitalized,” J. Name Stand. Abbrev., in press.</w:t>
      </w:r>
    </w:p>
    <w:p w14:paraId="419897A2" w14:textId="523F3ECC" w:rsidR="00D20ABA" w:rsidRPr="00D20ABA" w:rsidRDefault="00D20ABA" w:rsidP="00D20ABA">
      <w:pPr>
        <w:pStyle w:val="references"/>
      </w:pPr>
      <w:r>
        <w:lastRenderedPageBreak/>
        <w:t xml:space="preserve">A. </w:t>
      </w:r>
      <w:r w:rsidRPr="00D20ABA">
        <w:t>Aich, A. Krishna, V. Akhilesh and C. Hegde, "Encoding Web-based Data for Efficient Storage in Machine Learning Applications," 2019 Fifteenth International Conference on Information Processing (ICINPRO), Bengaluru, India, 2019, pp. 1-6, doi: 10.1109/ICInPro47689.2019.9092264.</w:t>
      </w:r>
    </w:p>
    <w:p w14:paraId="56934B73" w14:textId="229DE322" w:rsidR="00270D14" w:rsidRDefault="00D20ABA" w:rsidP="00D20ABA">
      <w:pPr>
        <w:pStyle w:val="references"/>
      </w:pPr>
      <w:r w:rsidRPr="00D338D6">
        <w:t>D. Vatsalan, R. Bhaskar, A. Gkoulalas-Divanis and D. Karapiperis, "Privacy Preserving Text Data Encoding and Topic Modelling," 2021 IEEE International Conference on Big Data (Big Data), Orlando, FL, USA, 2021, pp. 1308-1316, doi: 10.1109/BigData52589.2021.9671552.</w:t>
      </w:r>
    </w:p>
    <w:p w14:paraId="71FA0A33" w14:textId="3C107958" w:rsidR="00D20ABA" w:rsidRDefault="00D20ABA" w:rsidP="00D20ABA">
      <w:pPr>
        <w:pStyle w:val="references"/>
        <w:numPr>
          <w:ilvl w:val="0"/>
          <w:numId w:val="0"/>
        </w:numPr>
        <w:ind w:left="360" w:hanging="360"/>
      </w:pPr>
      <w:r>
        <w:t xml:space="preserve">[6]    </w:t>
      </w:r>
      <w:r>
        <w:tab/>
      </w:r>
      <w:r w:rsidRPr="00D20ABA">
        <w:t>K. Zhang, "Similarity metric induced metrics with application in machine learning and bioinformatics," 2016 IEEE 15th International Conference on Cognitive Informatics &amp; Cognitive Computing (ICCI*CC), Palo Alto, CA, USA, 2016, pp. 283-287, doi: 10.1109/ICCI-CC.2016.7862048.</w:t>
      </w:r>
    </w:p>
    <w:p w14:paraId="2EB56C06" w14:textId="4EA858DD" w:rsidR="00D20ABA" w:rsidRDefault="00D20ABA" w:rsidP="00D20ABA">
      <w:pPr>
        <w:pStyle w:val="references"/>
        <w:numPr>
          <w:ilvl w:val="0"/>
          <w:numId w:val="0"/>
        </w:numPr>
        <w:ind w:left="360" w:hanging="360"/>
      </w:pPr>
      <w:r>
        <w:t>[7]</w:t>
      </w:r>
      <w:r>
        <w:tab/>
      </w:r>
      <w:r w:rsidRPr="00D20ABA">
        <w:t>I.</w:t>
      </w:r>
      <w:r>
        <w:t xml:space="preserve"> </w:t>
      </w:r>
      <w:r w:rsidRPr="00D20ABA">
        <w:t>Radisic, S. Lazarevic, I. Antovic and V. Stanojevic, "Evaluation of Predictive Capabilities of Similarity Metrics in Machine Learning," 2020 24th International Conference on Information Technology (IT), Zabljak, Montenegro, 2020, pp. 1-4, doi: 10.1109/IT48810.2020.9070437.</w:t>
      </w:r>
    </w:p>
    <w:p w14:paraId="1564F122" w14:textId="138CEF42" w:rsidR="00D20ABA" w:rsidRDefault="00D20ABA" w:rsidP="00D20ABA">
      <w:pPr>
        <w:pStyle w:val="references"/>
        <w:numPr>
          <w:ilvl w:val="0"/>
          <w:numId w:val="0"/>
        </w:numPr>
        <w:ind w:left="360" w:hanging="360"/>
      </w:pPr>
      <w:r>
        <w:t>[8]</w:t>
      </w:r>
      <w:r>
        <w:tab/>
      </w:r>
      <w:r w:rsidRPr="00D20ABA">
        <w:t>T. D. Quynh, N. Xuan Thao, N. Q. Thuan and N. Van Dinh, "A new similarity measure of IFSs and its applications," 2020 12th International Conference on Knowledge and Systems Engineering (KSE), Can Tho, Vietnam, 2020, pp. 242-246, doi: 10.1109/KSE50997.2020.9287689.</w:t>
      </w:r>
    </w:p>
    <w:p w14:paraId="039D6B01" w14:textId="32286F98" w:rsidR="00D20ABA" w:rsidRDefault="00D20ABA" w:rsidP="00D20ABA">
      <w:pPr>
        <w:pStyle w:val="references"/>
        <w:numPr>
          <w:ilvl w:val="0"/>
          <w:numId w:val="0"/>
        </w:numPr>
        <w:ind w:left="360" w:hanging="360"/>
      </w:pPr>
      <w:r>
        <w:t xml:space="preserve">[9] </w:t>
      </w:r>
      <w:r>
        <w:tab/>
      </w:r>
      <w:r w:rsidRPr="00D20ABA">
        <w:t>G. Wang, T. Zhang, G. Xu, Y. Zheng, Z. Du and Q. Long, "A Deep Learning Based Method to Measure the Similarity of Long Text," 2020 IEEE 3rd International Conference on Information Systems and Computer Aided Education (ICISCAE), Dalian, China, 2020, pp. 173-178, doi: 10.1109/ICISCAE51034.2020.9236879.</w:t>
      </w:r>
    </w:p>
    <w:p w14:paraId="7D3F8B81" w14:textId="307C7886" w:rsidR="00D20ABA" w:rsidRDefault="00D20ABA" w:rsidP="00836367">
      <w:pPr>
        <w:pStyle w:val="references"/>
        <w:numPr>
          <w:ilvl w:val="0"/>
          <w:numId w:val="0"/>
        </w:numPr>
        <w:ind w:left="360" w:hanging="360"/>
        <w:sectPr w:rsidR="00D20ABA" w:rsidSect="00270D14">
          <w:type w:val="continuous"/>
          <w:pgSz w:w="11906" w:h="16838" w:code="9"/>
          <w:pgMar w:top="1080" w:right="907" w:bottom="1440" w:left="907" w:header="720" w:footer="720" w:gutter="0"/>
          <w:cols w:num="2" w:space="360"/>
          <w:docGrid w:linePitch="360"/>
        </w:sectPr>
      </w:pPr>
      <w:r>
        <w:t xml:space="preserve">[10] </w:t>
      </w:r>
      <w:r>
        <w:tab/>
      </w:r>
      <w:r w:rsidRPr="00D20ABA">
        <w:t>H. Yu, Z. Zhang, Z. Zhu, W. Xiong and G. Zhang, "Nominal Data Similarity: A Hierarchical Measure," 2018 International Joint Conference on Neural Networks (IJCNN), Rio de Janeiro, Brazil, 2018, pp. 1-7, doi: 10.1109/IJCNN.2018.8488994.</w:t>
      </w:r>
    </w:p>
    <w:p w14:paraId="34CDAD88" w14:textId="77777777" w:rsidR="009303D9" w:rsidRDefault="009303D9" w:rsidP="00836367">
      <w:pPr>
        <w:pStyle w:val="references"/>
        <w:numPr>
          <w:ilvl w:val="0"/>
          <w:numId w:val="0"/>
        </w:numPr>
        <w:ind w:left="360" w:hanging="360"/>
      </w:pPr>
    </w:p>
    <w:p w14:paraId="5187002A" w14:textId="3884DB33" w:rsidR="00836367" w:rsidRPr="00270D14" w:rsidRDefault="00836367" w:rsidP="00270D14">
      <w:pPr>
        <w:pStyle w:val="references"/>
        <w:numPr>
          <w:ilvl w:val="0"/>
          <w:numId w:val="0"/>
        </w:numPr>
        <w:spacing w:line="240" w:lineRule="auto"/>
        <w:rPr>
          <w:rFonts w:eastAsia="SimSun"/>
          <w:b/>
          <w:noProof w:val="0"/>
          <w:color w:val="FF0000"/>
          <w:spacing w:val="-1"/>
          <w:sz w:val="20"/>
          <w:szCs w:val="20"/>
          <w:lang w:val="en-IN" w:eastAsia="x-none"/>
        </w:rPr>
        <w:sectPr w:rsidR="00836367" w:rsidRPr="00270D14" w:rsidSect="003B4E04">
          <w:type w:val="continuous"/>
          <w:pgSz w:w="11906" w:h="16838" w:code="9"/>
          <w:pgMar w:top="1080" w:right="907" w:bottom="1440" w:left="907" w:header="720" w:footer="720" w:gutter="0"/>
          <w:cols w:num="2" w:space="360"/>
          <w:docGrid w:linePitch="360"/>
        </w:sectPr>
      </w:pPr>
    </w:p>
    <w:p w14:paraId="431E2938" w14:textId="098D6AC7" w:rsidR="009303D9" w:rsidRDefault="009303D9" w:rsidP="006F641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B5C3E" w14:textId="77777777" w:rsidR="00B44A76" w:rsidRDefault="00B44A76" w:rsidP="001A3B3D">
      <w:r>
        <w:separator/>
      </w:r>
    </w:p>
  </w:endnote>
  <w:endnote w:type="continuationSeparator" w:id="0">
    <w:p w14:paraId="4BB34B73"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9C8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EC68" w14:textId="77777777" w:rsidR="00B44A76" w:rsidRDefault="00B44A76" w:rsidP="001A3B3D">
      <w:r>
        <w:separator/>
      </w:r>
    </w:p>
  </w:footnote>
  <w:footnote w:type="continuationSeparator" w:id="0">
    <w:p w14:paraId="5B5B402F"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9032405">
    <w:abstractNumId w:val="14"/>
  </w:num>
  <w:num w:numId="2" w16cid:durableId="122428111">
    <w:abstractNumId w:val="19"/>
  </w:num>
  <w:num w:numId="3" w16cid:durableId="1929538164">
    <w:abstractNumId w:val="13"/>
  </w:num>
  <w:num w:numId="4" w16cid:durableId="251401582">
    <w:abstractNumId w:val="16"/>
  </w:num>
  <w:num w:numId="5" w16cid:durableId="1714426148">
    <w:abstractNumId w:val="16"/>
  </w:num>
  <w:num w:numId="6" w16cid:durableId="1408307126">
    <w:abstractNumId w:val="16"/>
  </w:num>
  <w:num w:numId="7" w16cid:durableId="111557790">
    <w:abstractNumId w:val="16"/>
  </w:num>
  <w:num w:numId="8" w16cid:durableId="53965069">
    <w:abstractNumId w:val="18"/>
  </w:num>
  <w:num w:numId="9" w16cid:durableId="285620504">
    <w:abstractNumId w:val="20"/>
  </w:num>
  <w:num w:numId="10" w16cid:durableId="1298074526">
    <w:abstractNumId w:val="15"/>
  </w:num>
  <w:num w:numId="11" w16cid:durableId="1577662467">
    <w:abstractNumId w:val="12"/>
  </w:num>
  <w:num w:numId="12" w16cid:durableId="397216396">
    <w:abstractNumId w:val="11"/>
  </w:num>
  <w:num w:numId="13" w16cid:durableId="19167621">
    <w:abstractNumId w:val="0"/>
  </w:num>
  <w:num w:numId="14" w16cid:durableId="1590191631">
    <w:abstractNumId w:val="10"/>
  </w:num>
  <w:num w:numId="15" w16cid:durableId="1292323282">
    <w:abstractNumId w:val="8"/>
  </w:num>
  <w:num w:numId="16" w16cid:durableId="912424676">
    <w:abstractNumId w:val="7"/>
  </w:num>
  <w:num w:numId="17" w16cid:durableId="1517619682">
    <w:abstractNumId w:val="6"/>
  </w:num>
  <w:num w:numId="18" w16cid:durableId="41681818">
    <w:abstractNumId w:val="5"/>
  </w:num>
  <w:num w:numId="19" w16cid:durableId="594441130">
    <w:abstractNumId w:val="9"/>
  </w:num>
  <w:num w:numId="20" w16cid:durableId="159853878">
    <w:abstractNumId w:val="4"/>
  </w:num>
  <w:num w:numId="21" w16cid:durableId="1773041689">
    <w:abstractNumId w:val="3"/>
  </w:num>
  <w:num w:numId="22" w16cid:durableId="455291917">
    <w:abstractNumId w:val="2"/>
  </w:num>
  <w:num w:numId="23" w16cid:durableId="1272324261">
    <w:abstractNumId w:val="1"/>
  </w:num>
  <w:num w:numId="24" w16cid:durableId="1249321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4E0B"/>
    <w:rsid w:val="001704E0"/>
    <w:rsid w:val="001A2EFD"/>
    <w:rsid w:val="001A3B3D"/>
    <w:rsid w:val="001B67DC"/>
    <w:rsid w:val="002254A9"/>
    <w:rsid w:val="00233D97"/>
    <w:rsid w:val="002347A2"/>
    <w:rsid w:val="002379DE"/>
    <w:rsid w:val="00270D14"/>
    <w:rsid w:val="002850E3"/>
    <w:rsid w:val="002D7A01"/>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41F"/>
    <w:rsid w:val="006F6D3D"/>
    <w:rsid w:val="00715BEA"/>
    <w:rsid w:val="00740EEA"/>
    <w:rsid w:val="00794804"/>
    <w:rsid w:val="007B33F1"/>
    <w:rsid w:val="007B6DDA"/>
    <w:rsid w:val="007B7047"/>
    <w:rsid w:val="007C0308"/>
    <w:rsid w:val="007C2FF2"/>
    <w:rsid w:val="007D6232"/>
    <w:rsid w:val="007F1F99"/>
    <w:rsid w:val="007F768F"/>
    <w:rsid w:val="0080791D"/>
    <w:rsid w:val="00836367"/>
    <w:rsid w:val="00873603"/>
    <w:rsid w:val="008A2C7D"/>
    <w:rsid w:val="008B6524"/>
    <w:rsid w:val="008B6C8E"/>
    <w:rsid w:val="008C4B23"/>
    <w:rsid w:val="008F6E2C"/>
    <w:rsid w:val="009303D9"/>
    <w:rsid w:val="00933C64"/>
    <w:rsid w:val="00972203"/>
    <w:rsid w:val="009B5CE3"/>
    <w:rsid w:val="009F1D79"/>
    <w:rsid w:val="00A059B3"/>
    <w:rsid w:val="00AE3409"/>
    <w:rsid w:val="00B11A60"/>
    <w:rsid w:val="00B2102F"/>
    <w:rsid w:val="00B22613"/>
    <w:rsid w:val="00B44A76"/>
    <w:rsid w:val="00B768D1"/>
    <w:rsid w:val="00BA1025"/>
    <w:rsid w:val="00BC3420"/>
    <w:rsid w:val="00BD670B"/>
    <w:rsid w:val="00BE7D3C"/>
    <w:rsid w:val="00BF5FF6"/>
    <w:rsid w:val="00C0207F"/>
    <w:rsid w:val="00C16117"/>
    <w:rsid w:val="00C3075A"/>
    <w:rsid w:val="00C919A4"/>
    <w:rsid w:val="00CA4392"/>
    <w:rsid w:val="00CB3747"/>
    <w:rsid w:val="00CC393F"/>
    <w:rsid w:val="00D20ABA"/>
    <w:rsid w:val="00D2176E"/>
    <w:rsid w:val="00D5692C"/>
    <w:rsid w:val="00D632BE"/>
    <w:rsid w:val="00D72D06"/>
    <w:rsid w:val="00D7522C"/>
    <w:rsid w:val="00D7536F"/>
    <w:rsid w:val="00D76668"/>
    <w:rsid w:val="00E07383"/>
    <w:rsid w:val="00E165BC"/>
    <w:rsid w:val="00E61E12"/>
    <w:rsid w:val="00E7596C"/>
    <w:rsid w:val="00E878F2"/>
    <w:rsid w:val="00EB0901"/>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57B8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8188">
      <w:bodyDiv w:val="1"/>
      <w:marLeft w:val="0"/>
      <w:marRight w:val="0"/>
      <w:marTop w:val="0"/>
      <w:marBottom w:val="0"/>
      <w:divBdr>
        <w:top w:val="none" w:sz="0" w:space="0" w:color="auto"/>
        <w:left w:val="none" w:sz="0" w:space="0" w:color="auto"/>
        <w:bottom w:val="none" w:sz="0" w:space="0" w:color="auto"/>
        <w:right w:val="none" w:sz="0" w:space="0" w:color="auto"/>
      </w:divBdr>
    </w:div>
    <w:div w:id="1726490041">
      <w:bodyDiv w:val="1"/>
      <w:marLeft w:val="0"/>
      <w:marRight w:val="0"/>
      <w:marTop w:val="0"/>
      <w:marBottom w:val="0"/>
      <w:divBdr>
        <w:top w:val="none" w:sz="0" w:space="0" w:color="auto"/>
        <w:left w:val="none" w:sz="0" w:space="0" w:color="auto"/>
        <w:bottom w:val="none" w:sz="0" w:space="0" w:color="auto"/>
        <w:right w:val="none" w:sz="0" w:space="0" w:color="auto"/>
      </w:divBdr>
    </w:div>
    <w:div w:id="203672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E2E8E4-22B8-412E-BE5E-7B14B530095B}"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en-IN"/>
        </a:p>
      </dgm:t>
    </dgm:pt>
    <dgm:pt modelId="{C675E544-D44F-4444-B91B-BFB0EF9CA691}">
      <dgm:prSet phldrT="[Text]"/>
      <dgm:spPr/>
      <dgm:t>
        <a:bodyPr/>
        <a:lstStyle/>
        <a:p>
          <a:r>
            <a:rPr lang="en-IN">
              <a:latin typeface="Times New Roman" panose="02020603050405020304" pitchFamily="18" charset="0"/>
              <a:cs typeface="Times New Roman" panose="02020603050405020304" pitchFamily="18" charset="0"/>
            </a:rPr>
            <a:t>Input Handling</a:t>
          </a:r>
        </a:p>
      </dgm:t>
    </dgm:pt>
    <dgm:pt modelId="{C684AD87-B980-4F8D-A9E1-8465ECCE7BBD}" type="parTrans" cxnId="{92CFEE08-B984-4AE8-9CF6-706F29AB242C}">
      <dgm:prSet/>
      <dgm:spPr/>
      <dgm:t>
        <a:bodyPr/>
        <a:lstStyle/>
        <a:p>
          <a:endParaRPr lang="en-IN">
            <a:latin typeface="Times New Roman" panose="02020603050405020304" pitchFamily="18" charset="0"/>
            <a:cs typeface="Times New Roman" panose="02020603050405020304" pitchFamily="18" charset="0"/>
          </a:endParaRPr>
        </a:p>
      </dgm:t>
    </dgm:pt>
    <dgm:pt modelId="{E0869909-CC85-4E14-AB17-4F0451C60E67}" type="sibTrans" cxnId="{92CFEE08-B984-4AE8-9CF6-706F29AB242C}">
      <dgm:prSet/>
      <dgm:spPr/>
      <dgm:t>
        <a:bodyPr/>
        <a:lstStyle/>
        <a:p>
          <a:endParaRPr lang="en-IN">
            <a:latin typeface="Times New Roman" panose="02020603050405020304" pitchFamily="18" charset="0"/>
            <a:cs typeface="Times New Roman" panose="02020603050405020304" pitchFamily="18" charset="0"/>
          </a:endParaRPr>
        </a:p>
      </dgm:t>
    </dgm:pt>
    <dgm:pt modelId="{C4484A2F-75AF-4522-9453-3B64B303F6E2}">
      <dgm:prSet phldrT="[Text]"/>
      <dgm:spPr/>
      <dgm:t>
        <a:bodyPr/>
        <a:lstStyle/>
        <a:p>
          <a:r>
            <a:rPr lang="en-IN">
              <a:latin typeface="Times New Roman" panose="02020603050405020304" pitchFamily="18" charset="0"/>
              <a:cs typeface="Times New Roman" panose="02020603050405020304" pitchFamily="18" charset="0"/>
            </a:rPr>
            <a:t>Feature Engineering</a:t>
          </a:r>
        </a:p>
      </dgm:t>
    </dgm:pt>
    <dgm:pt modelId="{19B5083D-C30B-43DD-8FFA-C9600EB58B89}" type="parTrans" cxnId="{259F063C-FCB8-4FC6-B36B-B8468BCB154E}">
      <dgm:prSet/>
      <dgm:spPr/>
      <dgm:t>
        <a:bodyPr/>
        <a:lstStyle/>
        <a:p>
          <a:endParaRPr lang="en-IN">
            <a:latin typeface="Times New Roman" panose="02020603050405020304" pitchFamily="18" charset="0"/>
            <a:cs typeface="Times New Roman" panose="02020603050405020304" pitchFamily="18" charset="0"/>
          </a:endParaRPr>
        </a:p>
      </dgm:t>
    </dgm:pt>
    <dgm:pt modelId="{E691899B-5681-42B0-93CF-A34C73C69AC5}" type="sibTrans" cxnId="{259F063C-FCB8-4FC6-B36B-B8468BCB154E}">
      <dgm:prSet/>
      <dgm:spPr/>
      <dgm:t>
        <a:bodyPr/>
        <a:lstStyle/>
        <a:p>
          <a:endParaRPr lang="en-IN">
            <a:latin typeface="Times New Roman" panose="02020603050405020304" pitchFamily="18" charset="0"/>
            <a:cs typeface="Times New Roman" panose="02020603050405020304" pitchFamily="18" charset="0"/>
          </a:endParaRPr>
        </a:p>
      </dgm:t>
    </dgm:pt>
    <dgm:pt modelId="{67545BAE-8D6D-415F-9DB9-781A7DF53189}">
      <dgm:prSet phldrT="[Text]"/>
      <dgm:spPr/>
      <dgm:t>
        <a:bodyPr/>
        <a:lstStyle/>
        <a:p>
          <a:r>
            <a:rPr lang="en-IN">
              <a:latin typeface="Times New Roman" panose="02020603050405020304" pitchFamily="18" charset="0"/>
              <a:cs typeface="Times New Roman" panose="02020603050405020304" pitchFamily="18" charset="0"/>
            </a:rPr>
            <a:t>Similarity Scoring</a:t>
          </a:r>
        </a:p>
      </dgm:t>
    </dgm:pt>
    <dgm:pt modelId="{0F281220-2C14-4E97-B799-1BD56149F5D6}" type="parTrans" cxnId="{9F57DA18-12A4-4900-85CB-7C5F2CE74CE8}">
      <dgm:prSet/>
      <dgm:spPr/>
      <dgm:t>
        <a:bodyPr/>
        <a:lstStyle/>
        <a:p>
          <a:endParaRPr lang="en-IN">
            <a:latin typeface="Times New Roman" panose="02020603050405020304" pitchFamily="18" charset="0"/>
            <a:cs typeface="Times New Roman" panose="02020603050405020304" pitchFamily="18" charset="0"/>
          </a:endParaRPr>
        </a:p>
      </dgm:t>
    </dgm:pt>
    <dgm:pt modelId="{A2A38AE9-322C-433C-BF83-3C5211F1A8A0}" type="sibTrans" cxnId="{9F57DA18-12A4-4900-85CB-7C5F2CE74CE8}">
      <dgm:prSet/>
      <dgm:spPr/>
      <dgm:t>
        <a:bodyPr/>
        <a:lstStyle/>
        <a:p>
          <a:endParaRPr lang="en-IN">
            <a:latin typeface="Times New Roman" panose="02020603050405020304" pitchFamily="18" charset="0"/>
            <a:cs typeface="Times New Roman" panose="02020603050405020304" pitchFamily="18" charset="0"/>
          </a:endParaRPr>
        </a:p>
      </dgm:t>
    </dgm:pt>
    <dgm:pt modelId="{538D574C-CA2B-4FBB-BC83-D528DE22FE81}">
      <dgm:prSet/>
      <dgm:spPr/>
      <dgm:t>
        <a:bodyPr/>
        <a:lstStyle/>
        <a:p>
          <a:r>
            <a:rPr lang="en-IN">
              <a:latin typeface="Times New Roman" panose="02020603050405020304" pitchFamily="18" charset="0"/>
              <a:cs typeface="Times New Roman" panose="02020603050405020304" pitchFamily="18" charset="0"/>
            </a:rPr>
            <a:t>Segmentation</a:t>
          </a:r>
        </a:p>
      </dgm:t>
    </dgm:pt>
    <dgm:pt modelId="{A4991DDD-8ED2-4977-AF30-E1A3B5FE48CD}" type="parTrans" cxnId="{2AEC899C-428C-45D6-ACAD-3A5E05EA0893}">
      <dgm:prSet/>
      <dgm:spPr/>
      <dgm:t>
        <a:bodyPr/>
        <a:lstStyle/>
        <a:p>
          <a:endParaRPr lang="en-IN">
            <a:latin typeface="Times New Roman" panose="02020603050405020304" pitchFamily="18" charset="0"/>
            <a:cs typeface="Times New Roman" panose="02020603050405020304" pitchFamily="18" charset="0"/>
          </a:endParaRPr>
        </a:p>
      </dgm:t>
    </dgm:pt>
    <dgm:pt modelId="{8BF22790-F72B-470A-B44D-1CA0BF5C27D1}" type="sibTrans" cxnId="{2AEC899C-428C-45D6-ACAD-3A5E05EA0893}">
      <dgm:prSet/>
      <dgm:spPr/>
      <dgm:t>
        <a:bodyPr/>
        <a:lstStyle/>
        <a:p>
          <a:endParaRPr lang="en-IN">
            <a:latin typeface="Times New Roman" panose="02020603050405020304" pitchFamily="18" charset="0"/>
            <a:cs typeface="Times New Roman" panose="02020603050405020304" pitchFamily="18" charset="0"/>
          </a:endParaRPr>
        </a:p>
      </dgm:t>
    </dgm:pt>
    <dgm:pt modelId="{EEDC8538-E92D-4365-A4F1-62232F850190}">
      <dgm:prSet/>
      <dgm:spPr/>
      <dgm:t>
        <a:bodyPr/>
        <a:lstStyle/>
        <a:p>
          <a:r>
            <a:rPr lang="en-IN">
              <a:latin typeface="Times New Roman" panose="02020603050405020304" pitchFamily="18" charset="0"/>
              <a:cs typeface="Times New Roman" panose="02020603050405020304" pitchFamily="18" charset="0"/>
            </a:rPr>
            <a:t>Output</a:t>
          </a:r>
        </a:p>
      </dgm:t>
    </dgm:pt>
    <dgm:pt modelId="{B99BA972-F287-4D03-AA0C-BE8A0EA9C59D}" type="parTrans" cxnId="{3AE93B93-2DB5-416A-BC0D-54CB1C93D33F}">
      <dgm:prSet/>
      <dgm:spPr/>
      <dgm:t>
        <a:bodyPr/>
        <a:lstStyle/>
        <a:p>
          <a:endParaRPr lang="en-IN">
            <a:latin typeface="Times New Roman" panose="02020603050405020304" pitchFamily="18" charset="0"/>
            <a:cs typeface="Times New Roman" panose="02020603050405020304" pitchFamily="18" charset="0"/>
          </a:endParaRPr>
        </a:p>
      </dgm:t>
    </dgm:pt>
    <dgm:pt modelId="{DC659BAD-7986-49CD-8067-616920DE1EA2}" type="sibTrans" cxnId="{3AE93B93-2DB5-416A-BC0D-54CB1C93D33F}">
      <dgm:prSet/>
      <dgm:spPr/>
      <dgm:t>
        <a:bodyPr/>
        <a:lstStyle/>
        <a:p>
          <a:endParaRPr lang="en-IN">
            <a:latin typeface="Times New Roman" panose="02020603050405020304" pitchFamily="18" charset="0"/>
            <a:cs typeface="Times New Roman" panose="02020603050405020304" pitchFamily="18" charset="0"/>
          </a:endParaRPr>
        </a:p>
      </dgm:t>
    </dgm:pt>
    <dgm:pt modelId="{EF7069D7-4D76-48E8-AC9C-8857D8036220}" type="pres">
      <dgm:prSet presAssocID="{2BE2E8E4-22B8-412E-BE5E-7B14B530095B}" presName="linearFlow" presStyleCnt="0">
        <dgm:presLayoutVars>
          <dgm:resizeHandles val="exact"/>
        </dgm:presLayoutVars>
      </dgm:prSet>
      <dgm:spPr/>
    </dgm:pt>
    <dgm:pt modelId="{195CF2CD-1279-45AE-87E8-58623D3BCD1F}" type="pres">
      <dgm:prSet presAssocID="{C675E544-D44F-4444-B91B-BFB0EF9CA691}" presName="node" presStyleLbl="node1" presStyleIdx="0" presStyleCnt="5">
        <dgm:presLayoutVars>
          <dgm:bulletEnabled val="1"/>
        </dgm:presLayoutVars>
      </dgm:prSet>
      <dgm:spPr/>
    </dgm:pt>
    <dgm:pt modelId="{9EBBA268-8478-4D64-9C02-F8B7895E55DE}" type="pres">
      <dgm:prSet presAssocID="{E0869909-CC85-4E14-AB17-4F0451C60E67}" presName="sibTrans" presStyleLbl="sibTrans2D1" presStyleIdx="0" presStyleCnt="4"/>
      <dgm:spPr/>
    </dgm:pt>
    <dgm:pt modelId="{8E9F03EB-BD3B-446C-86DC-496560AA8DD9}" type="pres">
      <dgm:prSet presAssocID="{E0869909-CC85-4E14-AB17-4F0451C60E67}" presName="connectorText" presStyleLbl="sibTrans2D1" presStyleIdx="0" presStyleCnt="4"/>
      <dgm:spPr/>
    </dgm:pt>
    <dgm:pt modelId="{75517797-4912-4EC4-AC83-B1621D920413}" type="pres">
      <dgm:prSet presAssocID="{C4484A2F-75AF-4522-9453-3B64B303F6E2}" presName="node" presStyleLbl="node1" presStyleIdx="1" presStyleCnt="5">
        <dgm:presLayoutVars>
          <dgm:bulletEnabled val="1"/>
        </dgm:presLayoutVars>
      </dgm:prSet>
      <dgm:spPr/>
    </dgm:pt>
    <dgm:pt modelId="{983E78A6-90A8-4D69-99E5-66057AC3E20B}" type="pres">
      <dgm:prSet presAssocID="{E691899B-5681-42B0-93CF-A34C73C69AC5}" presName="sibTrans" presStyleLbl="sibTrans2D1" presStyleIdx="1" presStyleCnt="4"/>
      <dgm:spPr/>
    </dgm:pt>
    <dgm:pt modelId="{0D01BCC1-6FBC-4F41-AF4B-31D37B3EBA15}" type="pres">
      <dgm:prSet presAssocID="{E691899B-5681-42B0-93CF-A34C73C69AC5}" presName="connectorText" presStyleLbl="sibTrans2D1" presStyleIdx="1" presStyleCnt="4"/>
      <dgm:spPr/>
    </dgm:pt>
    <dgm:pt modelId="{72A362E8-955B-4BCE-879A-99A3CEE3BEED}" type="pres">
      <dgm:prSet presAssocID="{67545BAE-8D6D-415F-9DB9-781A7DF53189}" presName="node" presStyleLbl="node1" presStyleIdx="2" presStyleCnt="5">
        <dgm:presLayoutVars>
          <dgm:bulletEnabled val="1"/>
        </dgm:presLayoutVars>
      </dgm:prSet>
      <dgm:spPr/>
    </dgm:pt>
    <dgm:pt modelId="{82E7A35C-1E2C-414E-BE39-2AF72C19E49B}" type="pres">
      <dgm:prSet presAssocID="{A2A38AE9-322C-433C-BF83-3C5211F1A8A0}" presName="sibTrans" presStyleLbl="sibTrans2D1" presStyleIdx="2" presStyleCnt="4"/>
      <dgm:spPr/>
    </dgm:pt>
    <dgm:pt modelId="{83C6ED1C-64DA-4E05-BA68-043EF700A6AE}" type="pres">
      <dgm:prSet presAssocID="{A2A38AE9-322C-433C-BF83-3C5211F1A8A0}" presName="connectorText" presStyleLbl="sibTrans2D1" presStyleIdx="2" presStyleCnt="4"/>
      <dgm:spPr/>
    </dgm:pt>
    <dgm:pt modelId="{DD0DC4F3-3346-476E-B172-E425BDCA6042}" type="pres">
      <dgm:prSet presAssocID="{538D574C-CA2B-4FBB-BC83-D528DE22FE81}" presName="node" presStyleLbl="node1" presStyleIdx="3" presStyleCnt="5">
        <dgm:presLayoutVars>
          <dgm:bulletEnabled val="1"/>
        </dgm:presLayoutVars>
      </dgm:prSet>
      <dgm:spPr/>
    </dgm:pt>
    <dgm:pt modelId="{7D8AE2F7-6A59-4487-B39E-610627355DB0}" type="pres">
      <dgm:prSet presAssocID="{8BF22790-F72B-470A-B44D-1CA0BF5C27D1}" presName="sibTrans" presStyleLbl="sibTrans2D1" presStyleIdx="3" presStyleCnt="4"/>
      <dgm:spPr/>
    </dgm:pt>
    <dgm:pt modelId="{9F540B5E-4C2F-40EA-851D-0172771BCA21}" type="pres">
      <dgm:prSet presAssocID="{8BF22790-F72B-470A-B44D-1CA0BF5C27D1}" presName="connectorText" presStyleLbl="sibTrans2D1" presStyleIdx="3" presStyleCnt="4"/>
      <dgm:spPr/>
    </dgm:pt>
    <dgm:pt modelId="{D82C09E8-B744-4776-A64E-E69C19978D41}" type="pres">
      <dgm:prSet presAssocID="{EEDC8538-E92D-4365-A4F1-62232F850190}" presName="node" presStyleLbl="node1" presStyleIdx="4" presStyleCnt="5">
        <dgm:presLayoutVars>
          <dgm:bulletEnabled val="1"/>
        </dgm:presLayoutVars>
      </dgm:prSet>
      <dgm:spPr/>
    </dgm:pt>
  </dgm:ptLst>
  <dgm:cxnLst>
    <dgm:cxn modelId="{92CFEE08-B984-4AE8-9CF6-706F29AB242C}" srcId="{2BE2E8E4-22B8-412E-BE5E-7B14B530095B}" destId="{C675E544-D44F-4444-B91B-BFB0EF9CA691}" srcOrd="0" destOrd="0" parTransId="{C684AD87-B980-4F8D-A9E1-8465ECCE7BBD}" sibTransId="{E0869909-CC85-4E14-AB17-4F0451C60E67}"/>
    <dgm:cxn modelId="{1B640B0E-D741-47D1-B958-0A36D5E4DC44}" type="presOf" srcId="{2BE2E8E4-22B8-412E-BE5E-7B14B530095B}" destId="{EF7069D7-4D76-48E8-AC9C-8857D8036220}" srcOrd="0" destOrd="0" presId="urn:microsoft.com/office/officeart/2005/8/layout/process2"/>
    <dgm:cxn modelId="{9F57DA18-12A4-4900-85CB-7C5F2CE74CE8}" srcId="{2BE2E8E4-22B8-412E-BE5E-7B14B530095B}" destId="{67545BAE-8D6D-415F-9DB9-781A7DF53189}" srcOrd="2" destOrd="0" parTransId="{0F281220-2C14-4E97-B799-1BD56149F5D6}" sibTransId="{A2A38AE9-322C-433C-BF83-3C5211F1A8A0}"/>
    <dgm:cxn modelId="{259F063C-FCB8-4FC6-B36B-B8468BCB154E}" srcId="{2BE2E8E4-22B8-412E-BE5E-7B14B530095B}" destId="{C4484A2F-75AF-4522-9453-3B64B303F6E2}" srcOrd="1" destOrd="0" parTransId="{19B5083D-C30B-43DD-8FFA-C9600EB58B89}" sibTransId="{E691899B-5681-42B0-93CF-A34C73C69AC5}"/>
    <dgm:cxn modelId="{FCF6034A-C13D-4DD6-9C85-AE1CAFD07ED9}" type="presOf" srcId="{E0869909-CC85-4E14-AB17-4F0451C60E67}" destId="{9EBBA268-8478-4D64-9C02-F8B7895E55DE}" srcOrd="0" destOrd="0" presId="urn:microsoft.com/office/officeart/2005/8/layout/process2"/>
    <dgm:cxn modelId="{1E7E436A-C4FA-4BE7-8C24-55770AC72CB6}" type="presOf" srcId="{A2A38AE9-322C-433C-BF83-3C5211F1A8A0}" destId="{83C6ED1C-64DA-4E05-BA68-043EF700A6AE}" srcOrd="1" destOrd="0" presId="urn:microsoft.com/office/officeart/2005/8/layout/process2"/>
    <dgm:cxn modelId="{9D1B084C-8E25-49AD-8840-EBF777FCE467}" type="presOf" srcId="{C4484A2F-75AF-4522-9453-3B64B303F6E2}" destId="{75517797-4912-4EC4-AC83-B1621D920413}" srcOrd="0" destOrd="0" presId="urn:microsoft.com/office/officeart/2005/8/layout/process2"/>
    <dgm:cxn modelId="{82E15857-A45D-4773-9464-6BD26DAE4E2C}" type="presOf" srcId="{EEDC8538-E92D-4365-A4F1-62232F850190}" destId="{D82C09E8-B744-4776-A64E-E69C19978D41}" srcOrd="0" destOrd="0" presId="urn:microsoft.com/office/officeart/2005/8/layout/process2"/>
    <dgm:cxn modelId="{A1909E7C-1B82-4A27-825A-3615D61EA6D5}" type="presOf" srcId="{A2A38AE9-322C-433C-BF83-3C5211F1A8A0}" destId="{82E7A35C-1E2C-414E-BE39-2AF72C19E49B}" srcOrd="0" destOrd="0" presId="urn:microsoft.com/office/officeart/2005/8/layout/process2"/>
    <dgm:cxn modelId="{F5C42D7D-9408-4326-AF68-195D04A52B2E}" type="presOf" srcId="{E691899B-5681-42B0-93CF-A34C73C69AC5}" destId="{983E78A6-90A8-4D69-99E5-66057AC3E20B}" srcOrd="0" destOrd="0" presId="urn:microsoft.com/office/officeart/2005/8/layout/process2"/>
    <dgm:cxn modelId="{3AE93B93-2DB5-416A-BC0D-54CB1C93D33F}" srcId="{2BE2E8E4-22B8-412E-BE5E-7B14B530095B}" destId="{EEDC8538-E92D-4365-A4F1-62232F850190}" srcOrd="4" destOrd="0" parTransId="{B99BA972-F287-4D03-AA0C-BE8A0EA9C59D}" sibTransId="{DC659BAD-7986-49CD-8067-616920DE1EA2}"/>
    <dgm:cxn modelId="{DECFC995-D354-436E-9027-CA4B10BB54F7}" type="presOf" srcId="{538D574C-CA2B-4FBB-BC83-D528DE22FE81}" destId="{DD0DC4F3-3346-476E-B172-E425BDCA6042}" srcOrd="0" destOrd="0" presId="urn:microsoft.com/office/officeart/2005/8/layout/process2"/>
    <dgm:cxn modelId="{40FCA097-2FD4-43A4-A359-07876860CD53}" type="presOf" srcId="{C675E544-D44F-4444-B91B-BFB0EF9CA691}" destId="{195CF2CD-1279-45AE-87E8-58623D3BCD1F}" srcOrd="0" destOrd="0" presId="urn:microsoft.com/office/officeart/2005/8/layout/process2"/>
    <dgm:cxn modelId="{DC530799-D052-4F7E-8D9F-C6A3F2CB7357}" type="presOf" srcId="{8BF22790-F72B-470A-B44D-1CA0BF5C27D1}" destId="{7D8AE2F7-6A59-4487-B39E-610627355DB0}" srcOrd="0" destOrd="0" presId="urn:microsoft.com/office/officeart/2005/8/layout/process2"/>
    <dgm:cxn modelId="{6CBD7799-F363-4153-BF57-962BE53C3393}" type="presOf" srcId="{E0869909-CC85-4E14-AB17-4F0451C60E67}" destId="{8E9F03EB-BD3B-446C-86DC-496560AA8DD9}" srcOrd="1" destOrd="0" presId="urn:microsoft.com/office/officeart/2005/8/layout/process2"/>
    <dgm:cxn modelId="{2AEC899C-428C-45D6-ACAD-3A5E05EA0893}" srcId="{2BE2E8E4-22B8-412E-BE5E-7B14B530095B}" destId="{538D574C-CA2B-4FBB-BC83-D528DE22FE81}" srcOrd="3" destOrd="0" parTransId="{A4991DDD-8ED2-4977-AF30-E1A3B5FE48CD}" sibTransId="{8BF22790-F72B-470A-B44D-1CA0BF5C27D1}"/>
    <dgm:cxn modelId="{5F37239E-A76B-42DE-A2E4-925E8E49C00A}" type="presOf" srcId="{E691899B-5681-42B0-93CF-A34C73C69AC5}" destId="{0D01BCC1-6FBC-4F41-AF4B-31D37B3EBA15}" srcOrd="1" destOrd="0" presId="urn:microsoft.com/office/officeart/2005/8/layout/process2"/>
    <dgm:cxn modelId="{0901D39E-6B3D-4FA2-9FAD-D5818F1706CE}" type="presOf" srcId="{8BF22790-F72B-470A-B44D-1CA0BF5C27D1}" destId="{9F540B5E-4C2F-40EA-851D-0172771BCA21}" srcOrd="1" destOrd="0" presId="urn:microsoft.com/office/officeart/2005/8/layout/process2"/>
    <dgm:cxn modelId="{4870B0D2-CC82-4B13-9E0C-50CBC4F990C0}" type="presOf" srcId="{67545BAE-8D6D-415F-9DB9-781A7DF53189}" destId="{72A362E8-955B-4BCE-879A-99A3CEE3BEED}" srcOrd="0" destOrd="0" presId="urn:microsoft.com/office/officeart/2005/8/layout/process2"/>
    <dgm:cxn modelId="{9B4D4299-8B7A-4198-A511-818796D2753B}" type="presParOf" srcId="{EF7069D7-4D76-48E8-AC9C-8857D8036220}" destId="{195CF2CD-1279-45AE-87E8-58623D3BCD1F}" srcOrd="0" destOrd="0" presId="urn:microsoft.com/office/officeart/2005/8/layout/process2"/>
    <dgm:cxn modelId="{F02DDDB9-672A-4FFD-9B47-0055F8EC2A24}" type="presParOf" srcId="{EF7069D7-4D76-48E8-AC9C-8857D8036220}" destId="{9EBBA268-8478-4D64-9C02-F8B7895E55DE}" srcOrd="1" destOrd="0" presId="urn:microsoft.com/office/officeart/2005/8/layout/process2"/>
    <dgm:cxn modelId="{F57E3D03-5BA7-4260-BB6D-7B061419F64F}" type="presParOf" srcId="{9EBBA268-8478-4D64-9C02-F8B7895E55DE}" destId="{8E9F03EB-BD3B-446C-86DC-496560AA8DD9}" srcOrd="0" destOrd="0" presId="urn:microsoft.com/office/officeart/2005/8/layout/process2"/>
    <dgm:cxn modelId="{6C12230B-63F1-4F34-B44A-3FE26AFA4D19}" type="presParOf" srcId="{EF7069D7-4D76-48E8-AC9C-8857D8036220}" destId="{75517797-4912-4EC4-AC83-B1621D920413}" srcOrd="2" destOrd="0" presId="urn:microsoft.com/office/officeart/2005/8/layout/process2"/>
    <dgm:cxn modelId="{32430872-838A-42B0-B00E-38EF6868029A}" type="presParOf" srcId="{EF7069D7-4D76-48E8-AC9C-8857D8036220}" destId="{983E78A6-90A8-4D69-99E5-66057AC3E20B}" srcOrd="3" destOrd="0" presId="urn:microsoft.com/office/officeart/2005/8/layout/process2"/>
    <dgm:cxn modelId="{0A5552BF-ABB8-4B93-B414-B739C748B6EA}" type="presParOf" srcId="{983E78A6-90A8-4D69-99E5-66057AC3E20B}" destId="{0D01BCC1-6FBC-4F41-AF4B-31D37B3EBA15}" srcOrd="0" destOrd="0" presId="urn:microsoft.com/office/officeart/2005/8/layout/process2"/>
    <dgm:cxn modelId="{41FC8C4D-CAF6-46EA-ABA9-3CA3C4AAD29E}" type="presParOf" srcId="{EF7069D7-4D76-48E8-AC9C-8857D8036220}" destId="{72A362E8-955B-4BCE-879A-99A3CEE3BEED}" srcOrd="4" destOrd="0" presId="urn:microsoft.com/office/officeart/2005/8/layout/process2"/>
    <dgm:cxn modelId="{754851E6-A30C-40DC-89CC-2953EEEC6D43}" type="presParOf" srcId="{EF7069D7-4D76-48E8-AC9C-8857D8036220}" destId="{82E7A35C-1E2C-414E-BE39-2AF72C19E49B}" srcOrd="5" destOrd="0" presId="urn:microsoft.com/office/officeart/2005/8/layout/process2"/>
    <dgm:cxn modelId="{024C46AF-3945-4BE4-BA34-E8DE37B64D5B}" type="presParOf" srcId="{82E7A35C-1E2C-414E-BE39-2AF72C19E49B}" destId="{83C6ED1C-64DA-4E05-BA68-043EF700A6AE}" srcOrd="0" destOrd="0" presId="urn:microsoft.com/office/officeart/2005/8/layout/process2"/>
    <dgm:cxn modelId="{EE040D9B-EC56-4C16-A618-C1AA766E49E7}" type="presParOf" srcId="{EF7069D7-4D76-48E8-AC9C-8857D8036220}" destId="{DD0DC4F3-3346-476E-B172-E425BDCA6042}" srcOrd="6" destOrd="0" presId="urn:microsoft.com/office/officeart/2005/8/layout/process2"/>
    <dgm:cxn modelId="{0E77F80D-B3AB-48AD-8B4A-E7FEA1F1360D}" type="presParOf" srcId="{EF7069D7-4D76-48E8-AC9C-8857D8036220}" destId="{7D8AE2F7-6A59-4487-B39E-610627355DB0}" srcOrd="7" destOrd="0" presId="urn:microsoft.com/office/officeart/2005/8/layout/process2"/>
    <dgm:cxn modelId="{F0CF57C2-C4BA-4230-9C71-3257D4F99020}" type="presParOf" srcId="{7D8AE2F7-6A59-4487-B39E-610627355DB0}" destId="{9F540B5E-4C2F-40EA-851D-0172771BCA21}" srcOrd="0" destOrd="0" presId="urn:microsoft.com/office/officeart/2005/8/layout/process2"/>
    <dgm:cxn modelId="{0B3D2FA1-381B-4AE4-9059-A4E0DCF22034}" type="presParOf" srcId="{EF7069D7-4D76-48E8-AC9C-8857D8036220}" destId="{D82C09E8-B744-4776-A64E-E69C19978D41}"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CF2CD-1279-45AE-87E8-58623D3BCD1F}">
      <dsp:nvSpPr>
        <dsp:cNvPr id="0" name=""/>
        <dsp:cNvSpPr/>
      </dsp:nvSpPr>
      <dsp:spPr>
        <a:xfrm>
          <a:off x="976350" y="260"/>
          <a:ext cx="1137208" cy="30529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Input Handling</a:t>
          </a:r>
        </a:p>
      </dsp:txBody>
      <dsp:txXfrm>
        <a:off x="985292" y="9202"/>
        <a:ext cx="1119324" cy="287406"/>
      </dsp:txXfrm>
    </dsp:sp>
    <dsp:sp modelId="{9EBBA268-8478-4D64-9C02-F8B7895E55DE}">
      <dsp:nvSpPr>
        <dsp:cNvPr id="0" name=""/>
        <dsp:cNvSpPr/>
      </dsp:nvSpPr>
      <dsp:spPr>
        <a:xfrm rot="5400000">
          <a:off x="1487712" y="313184"/>
          <a:ext cx="114484" cy="1373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latin typeface="Times New Roman" panose="02020603050405020304" pitchFamily="18" charset="0"/>
            <a:cs typeface="Times New Roman" panose="02020603050405020304" pitchFamily="18" charset="0"/>
          </a:endParaRPr>
        </a:p>
      </dsp:txBody>
      <dsp:txXfrm rot="-5400000">
        <a:off x="1503741" y="324632"/>
        <a:ext cx="82428" cy="80139"/>
      </dsp:txXfrm>
    </dsp:sp>
    <dsp:sp modelId="{75517797-4912-4EC4-AC83-B1621D920413}">
      <dsp:nvSpPr>
        <dsp:cNvPr id="0" name=""/>
        <dsp:cNvSpPr/>
      </dsp:nvSpPr>
      <dsp:spPr>
        <a:xfrm>
          <a:off x="976350" y="458197"/>
          <a:ext cx="1137208" cy="30529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Feature Engineering</a:t>
          </a:r>
        </a:p>
      </dsp:txBody>
      <dsp:txXfrm>
        <a:off x="985292" y="467139"/>
        <a:ext cx="1119324" cy="287406"/>
      </dsp:txXfrm>
    </dsp:sp>
    <dsp:sp modelId="{983E78A6-90A8-4D69-99E5-66057AC3E20B}">
      <dsp:nvSpPr>
        <dsp:cNvPr id="0" name=""/>
        <dsp:cNvSpPr/>
      </dsp:nvSpPr>
      <dsp:spPr>
        <a:xfrm rot="5400000">
          <a:off x="1487712" y="771120"/>
          <a:ext cx="114484" cy="1373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latin typeface="Times New Roman" panose="02020603050405020304" pitchFamily="18" charset="0"/>
            <a:cs typeface="Times New Roman" panose="02020603050405020304" pitchFamily="18" charset="0"/>
          </a:endParaRPr>
        </a:p>
      </dsp:txBody>
      <dsp:txXfrm rot="-5400000">
        <a:off x="1503741" y="782568"/>
        <a:ext cx="82428" cy="80139"/>
      </dsp:txXfrm>
    </dsp:sp>
    <dsp:sp modelId="{72A362E8-955B-4BCE-879A-99A3CEE3BEED}">
      <dsp:nvSpPr>
        <dsp:cNvPr id="0" name=""/>
        <dsp:cNvSpPr/>
      </dsp:nvSpPr>
      <dsp:spPr>
        <a:xfrm>
          <a:off x="976350" y="916133"/>
          <a:ext cx="1137208" cy="30529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Similarity Scoring</a:t>
          </a:r>
        </a:p>
      </dsp:txBody>
      <dsp:txXfrm>
        <a:off x="985292" y="925075"/>
        <a:ext cx="1119324" cy="287406"/>
      </dsp:txXfrm>
    </dsp:sp>
    <dsp:sp modelId="{82E7A35C-1E2C-414E-BE39-2AF72C19E49B}">
      <dsp:nvSpPr>
        <dsp:cNvPr id="0" name=""/>
        <dsp:cNvSpPr/>
      </dsp:nvSpPr>
      <dsp:spPr>
        <a:xfrm rot="5400000">
          <a:off x="1487712" y="1229056"/>
          <a:ext cx="114484" cy="1373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latin typeface="Times New Roman" panose="02020603050405020304" pitchFamily="18" charset="0"/>
            <a:cs typeface="Times New Roman" panose="02020603050405020304" pitchFamily="18" charset="0"/>
          </a:endParaRPr>
        </a:p>
      </dsp:txBody>
      <dsp:txXfrm rot="-5400000">
        <a:off x="1503741" y="1240504"/>
        <a:ext cx="82428" cy="80139"/>
      </dsp:txXfrm>
    </dsp:sp>
    <dsp:sp modelId="{DD0DC4F3-3346-476E-B172-E425BDCA6042}">
      <dsp:nvSpPr>
        <dsp:cNvPr id="0" name=""/>
        <dsp:cNvSpPr/>
      </dsp:nvSpPr>
      <dsp:spPr>
        <a:xfrm>
          <a:off x="976350" y="1374069"/>
          <a:ext cx="1137208" cy="30529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Segmentation</a:t>
          </a:r>
        </a:p>
      </dsp:txBody>
      <dsp:txXfrm>
        <a:off x="985292" y="1383011"/>
        <a:ext cx="1119324" cy="287406"/>
      </dsp:txXfrm>
    </dsp:sp>
    <dsp:sp modelId="{7D8AE2F7-6A59-4487-B39E-610627355DB0}">
      <dsp:nvSpPr>
        <dsp:cNvPr id="0" name=""/>
        <dsp:cNvSpPr/>
      </dsp:nvSpPr>
      <dsp:spPr>
        <a:xfrm rot="5400000">
          <a:off x="1487712" y="1686993"/>
          <a:ext cx="114484" cy="1373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latin typeface="Times New Roman" panose="02020603050405020304" pitchFamily="18" charset="0"/>
            <a:cs typeface="Times New Roman" panose="02020603050405020304" pitchFamily="18" charset="0"/>
          </a:endParaRPr>
        </a:p>
      </dsp:txBody>
      <dsp:txXfrm rot="-5400000">
        <a:off x="1503741" y="1698441"/>
        <a:ext cx="82428" cy="80139"/>
      </dsp:txXfrm>
    </dsp:sp>
    <dsp:sp modelId="{D82C09E8-B744-4776-A64E-E69C19978D41}">
      <dsp:nvSpPr>
        <dsp:cNvPr id="0" name=""/>
        <dsp:cNvSpPr/>
      </dsp:nvSpPr>
      <dsp:spPr>
        <a:xfrm>
          <a:off x="976350" y="1832006"/>
          <a:ext cx="1137208" cy="30529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Output</a:t>
          </a:r>
        </a:p>
      </dsp:txBody>
      <dsp:txXfrm>
        <a:off x="985292" y="1840948"/>
        <a:ext cx="1119324" cy="2874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2054</Words>
  <Characters>12877</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Ananya Avvaru</cp:lastModifiedBy>
  <cp:revision>2</cp:revision>
  <dcterms:created xsi:type="dcterms:W3CDTF">2023-09-05T17:27:00Z</dcterms:created>
  <dcterms:modified xsi:type="dcterms:W3CDTF">2023-09-05T17:27:00Z</dcterms:modified>
</cp:coreProperties>
</file>