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300"/>
        <w:jc w:val="center"/>
      </w:pPr>
      <w:r>
        <w:rPr>
          <w:b/>
          <w:bCs/>
          <w:color w:val="1F4E79"/>
          <w:sz w:val="42"/>
          <w:szCs w:val="42"/>
        </w:rPr>
        <w:t xml:space="preserve">GenAI Architecture for Automated</w:t>
      </w:r>
    </w:p>
    <w:p>
      <w:pPr>
        <w:spacing w:after="60"/>
        <w:jc w:val="center"/>
      </w:pPr>
      <w:r>
        <w:rPr>
          <w:b/>
          <w:bCs/>
          <w:color w:val="1F4E79"/>
          <w:sz w:val="42"/>
          <w:szCs w:val="42"/>
        </w:rPr>
        <w:t xml:space="preserve">Actuarial Valuation &amp; Solvency Reporting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Part 2 — System Design (local working tool + Azure productionisation)</w:t>
      </w:r>
    </w:p>
    <w:p>
      <w:pPr>
        <w:jc w:val="center"/>
      </w:pPr>
      <w:r>
        <w:rPr>
          <w:i/>
          <w:iCs/>
          <w:sz w:val="22"/>
          <w:szCs w:val="22"/>
        </w:rPr>
        <w:t xml:space="preserve">Manulife Actuarial &amp; Finance Analytics Take-Home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70"/>
        <w:ind w:left="200"/>
      </w:pPr>
      <w:r>
        <w:rPr>
          <w:color w:val="1F3B2E"/>
          <w:sz w:val="22"/>
          <w:szCs w:val="22"/>
        </w:rPr>
        <w:t xml:space="preserve">1. Objective &amp; guiding principle</w:t>
      </w:r>
    </w:p>
    <w:p>
      <w:pPr>
        <w:spacing w:after="70"/>
        <w:ind w:left="200"/>
      </w:pPr>
      <w:r>
        <w:rPr>
          <w:color w:val="1F3B2E"/>
          <w:sz w:val="22"/>
          <w:szCs w:val="22"/>
        </w:rPr>
        <w:t xml:space="preserve">2. The working tool — local architecture</w:t>
      </w:r>
    </w:p>
    <w:p>
      <w:pPr>
        <w:spacing w:after="70"/>
        <w:ind w:left="200"/>
      </w:pPr>
      <w:r>
        <w:rPr>
          <w:color w:val="1F3B2E"/>
          <w:sz w:val="22"/>
          <w:szCs w:val="22"/>
        </w:rPr>
        <w:t xml:space="preserve">3. The data inputs</w:t>
      </w:r>
    </w:p>
    <w:p>
      <w:pPr>
        <w:spacing w:after="70"/>
        <w:ind w:left="200"/>
      </w:pPr>
      <w:r>
        <w:rPr>
          <w:color w:val="1F3B2E"/>
          <w:sz w:val="22"/>
          <w:szCs w:val="22"/>
        </w:rPr>
        <w:t xml:space="preserve">4. How the tool works, step by step</w:t>
      </w:r>
    </w:p>
    <w:p>
      <w:pPr>
        <w:spacing w:after="70"/>
        <w:ind w:left="200"/>
      </w:pPr>
      <w:r>
        <w:rPr>
          <w:color w:val="1F3B2E"/>
          <w:sz w:val="22"/>
          <w:szCs w:val="22"/>
        </w:rPr>
        <w:t xml:space="preserve">5. Financial accuracy, privacy &amp; guardrails</w:t>
      </w:r>
    </w:p>
    <w:p>
      <w:pPr>
        <w:spacing w:after="70"/>
        <w:ind w:left="200"/>
      </w:pPr>
      <w:r>
        <w:rPr>
          <w:color w:val="1F3B2E"/>
          <w:sz w:val="22"/>
          <w:szCs w:val="22"/>
        </w:rPr>
        <w:t xml:space="preserve">6. Productionising on Azure</w:t>
      </w:r>
    </w:p>
    <w:p>
      <w:pPr>
        <w:spacing w:after="70"/>
        <w:ind w:left="200"/>
      </w:pPr>
      <w:r>
        <w:rPr>
          <w:color w:val="1F3B2E"/>
          <w:sz w:val="22"/>
          <w:szCs w:val="22"/>
        </w:rPr>
        <w:t xml:space="preserve">7. Why this is the right design</w:t>
      </w:r>
    </w:p>
    <w:p>
      <w:r>
        <w:br w:type="page"/>
      </w:r>
    </w:p>
    <w:p>
      <w:pPr>
        <w:pStyle w:val="Heading1"/>
      </w:pPr>
      <w:r>
        <w:t xml:space="preserve">1. Objective &amp; guiding principle</w:t>
      </w:r>
    </w:p>
    <w:p>
      <w:pPr>
        <w:spacing w:after="120" w:line="276"/>
      </w:pPr>
      <w:r>
        <w:t xml:space="preserve">The Finance and Actuarial functions need to produce a Standard Actuarial Valuation &amp; Solvency Report for executive leadership on a recurring cycle. Today this is a slow, manual assembly of model outputs, ledger figures and macroeconomic context into a regulator-grade narrative. The objective is an AI-driven workflow that drafts this report automatically while meeting the accuracy, privacy and governance bar of a regulated insurer.</w:t>
      </w:r>
    </w:p>
    <w:p>
      <w:pPr>
        <w:spacing w:after="120" w:line="276"/>
      </w:pPr>
      <w:r>
        <w:t xml:space="preserve">The whole design rests on one principle: </w:t>
      </w:r>
      <w:r>
        <w:rPr>
          <w:b/>
          <w:bCs/>
        </w:rPr>
        <w:t xml:space="preserve">the LLM composes the narrative, but it never invents a number. </w:t>
      </w:r>
      <w:r>
        <w:t xml:space="preserve">Every figure is read from a verified source and reconciled before publication; the model only writes prose around numbers it is given. I have implemented this as a runnable tool, and below I show both how it runs locally and how it would be productionised on Azure.</w:t>
      </w:r>
    </w:p>
    <w:p>
      <w:pPr>
        <w:pStyle w:val="Heading1"/>
      </w:pPr>
      <w:r>
        <w:t xml:space="preserve">2. The working tool — local architecture</w:t>
      </w:r>
    </w:p>
    <w:p>
      <w:pPr>
        <w:spacing w:after="120" w:line="276"/>
      </w:pPr>
      <w:r>
        <w:t xml:space="preserve">I built a runnable Python implementation that executes the full workflow on a laptop using a standard OpenAI API key. The offline test suite uses a deterministic mock model so it can run with no key and no token spend.</w:t>
      </w:r>
    </w:p>
    <w:p>
      <w:pPr>
        <w:spacing w:after="120"/>
        <w:jc w:val="center"/>
      </w:pPr>
      <w:r>
        <w:drawing>
          <wp:inline distT="0" distB="0" distL="0" distR="0">
            <wp:extent cx="6096000" cy="46101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1. Local tool architecture. Verified numbers and governed documents on disk feed a KnowledgeBase and a RAG retriever; the orchestrator builds a grounded prompt; OpenAI drafts the narrative; guardrails validate every figure before a human reviews it.</w:t>
      </w:r>
    </w:p>
    <w:p>
      <w:pPr>
        <w:pStyle w:val="Heading1"/>
      </w:pPr>
      <w:r>
        <w:t xml:space="preserve">3. The data inputs</w:t>
      </w:r>
    </w:p>
    <w:p>
      <w:pPr>
        <w:spacing w:after="120" w:line="276"/>
      </w:pPr>
      <w:r>
        <w:t xml:space="preserve">Three data families feed the report — they map directly onto the brief's “model outputs, financial statements, and macroeconomic data”: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4760"/>
        <w:gridCol w:w="2250"/>
      </w:tblGrid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 / source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Maps to brief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data/inputs/model_outputs.csv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Part 1 model outputs: policy count, claim frequency, mean expected loss, mean severity, total expected claims. Exported by the Part 1 notebook.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Model outputs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data/inputs/financial_statements.csv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GL / capital figures: gross written premium, policy reserves, available &amp; required capital, LICAT ratio, supervisory target, period, currency.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 statements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data/inputs/macro.csv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Macroeconomic assumptions: inflation rate, discount rate, wage inflation.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Macroeconomic data</w:t>
            </w:r>
          </w:p>
        </w:tc>
      </w:tr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data/corpus/ (.md, .pdf, .docx)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Governed DOCUMENTS for RAG in multiple real formats — regulatory PDFs (with tables), Word policies, markdown — each tagged with metadata (source, doc_type, topic, date) via front-matter or a manifest catalogue.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Regulatory / policy context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</w:rPr>
        <w:t xml:space="preserve">Why the split matters: </w:t>
      </w:r>
      <w:r>
        <w:t xml:space="preserve">numbers live in the structured CSV and are fetched by exact lookup; documents live in the corpus and are fetched by semantic search (RAG). Numbers are never embedded or reconstructed by the model — that separation is what makes the output trustworthy. In production the CSV becomes a database and the corpus becomes a managed search index, but the roles are identical.</w:t>
      </w:r>
    </w:p>
    <w:p>
      <w:pPr>
        <w:pStyle w:val="Heading2"/>
      </w:pPr>
      <w:r>
        <w:t xml:space="preserve">4. How the tool works, step by step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Ingestion (multi-format)</w:t>
      </w:r>
      <w:r>
        <w:t xml:space="preserve"> loads the three input CSVs into a SQLite structured store, and parses the corpus across PDF (text + tables), Word and markdown — chunking + embedding each into a vector store with per-chunk metadata.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Structured store (numbers)</w:t>
      </w:r>
      <w:r>
        <w:t xml:space="preserve"> returns each figure by exact, templated SQL — never by similarity. It also exposes the full set of allowed numbers used by the reconciliation guardrail.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Retrieval (RAG)</w:t>
      </w:r>
      <w:r>
        <w:t xml:space="preserve"> for each section: metadata filter → hybrid search (vector + BM25 keyword) → cross-encoder rerank, returning the most relevant governed text.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Input guardrails</w:t>
      </w:r>
      <w:r>
        <w:t xml:space="preserve"> run on every retrieved chunk before it reaches the model: PII redaction and prompt-injection screening (untrusted document text is neutralised).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Orchestrator + LLM</w:t>
      </w:r>
      <w:r>
        <w:t xml:space="preserve"> assemble the verified figures + sanitised context into a grounded prompt (“use ONLY these numbers, quoted exactly”); OpenAI drafts the narrative body — never a figure.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 guardrails</w:t>
      </w:r>
      <w:r>
        <w:t xml:space="preserve"> validate the draft: numeric reconciliation against the structured store, groundedness/citations, template completeness, plus a provenance table mapping every number to its source.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Evaluation + audit</w:t>
      </w:r>
      <w:r>
        <w:t xml:space="preserve"> an offline harness scores retrieval (context recall) and numeric pass-rate; every run writes an audit log (inputs, retrieved chunks, guardrail results).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 rendering</w:t>
      </w:r>
      <w:r>
        <w:t xml:space="preserve"> the approved content is rendered into a branded Word document and PDF — cover page, formatted tables built from the verified numbers, inline [n] citations, references and a sign-off block. The LLM writes prose; this layer owns all formatting.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Human-in-the-loop</w:t>
      </w:r>
      <w:r>
        <w:t xml:space="preserve"> only a draft passing every guardrail goes to the Appointed Actuary for sign-off; a failing draft is blocked.</w:t>
      </w:r>
    </w:p>
    <w:p>
      <w:pPr>
        <w:pStyle w:val="Heading1"/>
      </w:pPr>
      <w:r>
        <w:t xml:space="preserve">5. Financial accuracy, privacy &amp; guardrails</w:t>
      </w:r>
    </w:p>
    <w:p>
      <w:pPr>
        <w:spacing w:after="120" w:line="276"/>
      </w:pPr>
      <w:r>
        <w:t xml:space="preserve">Accuracy is enforced by design, not hoped for: numbers are retrieved, never generated; narrative is grounded in retrieved documents with citations; a numeric-reconciliation guardrail blocks any figure that does not match the source of truth; and a human signs off. In the live demo, the guardrail correctly blocks a fabricated LICAT figure even when it comes from the real model. Privacy: PII is redacted before the model sees any text, and in production the model runs in a private deployment with no training on company data, role-based access, encryption and Canada data residency.</w:t>
      </w:r>
    </w:p>
    <w:p>
      <w:pPr>
        <w:pStyle w:val="Heading1"/>
      </w:pPr>
      <w:r>
        <w:t xml:space="preserve">6. Productionising on Azure</w:t>
      </w:r>
    </w:p>
    <w:p>
      <w:pPr>
        <w:spacing w:after="120" w:line="276"/>
      </w:pPr>
      <w:r>
        <w:t xml:space="preserve">The local tool is intentionally a faithful, scaled-down version of a cloud system: every component has a managed Azure equivalent, and the interfaces are the same so the move is a swap, not a rewrite. </w:t>
      </w:r>
      <w:r>
        <w:rPr>
          <w:b/>
          <w:bCs/>
        </w:rPr>
        <w:t xml:space="preserve">To productionise it I would: </w:t>
      </w:r>
      <w:r>
        <w:t xml:space="preserve">replace the CSV source of truth with Azure SQL / Synapse / Microsoft Fabric; replace the TF-IDF retriever with Azure AI Search (hybrid vector + keyword) populated by text-embedding-3 embeddings; replace the direct OpenAI call with Azure OpenAI deployed inside a private VNet (no training on data); run the orchestration as an Azure Prompt Flow / Semantic Kernel workflow triggered by Azure Data Factory and Functions / Logic Apps on the reporting cycle; implement the guardrails with Azure AI Content Safety (groundedness) and Azure AI Language (PII) alongside the custom numeric reconciliation; and wrap everything in security and governance — Entra ID RBAC, Key Vault encryption, Microsoft Purview lineage, Canada data residency, audit logging and OSFI E-23 model-risk governance — with an offline evaluation harness (Azure AI Evaluation SDK) and online monitoring (Azure Monitor / App Insights). The same human actuary sign-off remains the final gate.</w:t>
      </w:r>
    </w:p>
    <w:p>
      <w:pPr>
        <w:spacing w:after="120"/>
        <w:jc w:val="center"/>
      </w:pPr>
      <w:r>
        <w:drawing>
          <wp:inline distT="0" distB="0" distL="0" distR="0">
            <wp:extent cx="5905500" cy="37719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2. The same workflow productionised on Azure. Each local component is replaced by a managed service; the data flow, guardrails gate, evaluation harness and human sign-off are unchanged.</w:t>
      </w:r>
    </w:p>
    <w:p>
      <w:pPr>
        <w:pStyle w:val="Heading1"/>
      </w:pPr>
      <w:r>
        <w:t xml:space="preserve">7. Why this is the right design</w:t>
      </w:r>
    </w:p>
    <w:p>
      <w:pPr>
        <w:spacing w:after="120" w:line="276"/>
      </w:pPr>
      <w:r>
        <w:t xml:space="preserve">It uses the LLM only for what it is reliably good at — composing fluent narrative — and removes it from what it is unreliable at — being the source of numbers. RAG plus numeric reconciliation make the output verifiable; private deployment, PII redaction and data residency make it compliant; the evaluation harness makes quality measurable; and human sign-off keeps accountability where regulators require it. Building it as a working local tool first proves the design end-to-end before any cloud spend.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54f0b78d96da94e2fdd56d55c6e3db95d13e76f.png"/><Relationship Id="rId9" Type="http://schemas.openxmlformats.org/officeDocument/2006/relationships/image" Target="media/5feb9e52e36768955a43228dd06d628cccd8aa6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2026-06-03T18:25:07.755Z</dcterms:created>
  <dcterms:modified xsi:type="dcterms:W3CDTF">2026-06-03T18:25:07.755Z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