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Reserving Methodology - LTC Portfolio (full)</w:t>
      </w:r>
    </w:p>
    <w:p>
      <w:pPr>
        <w:pStyle w:val="Heading1"/>
      </w:pPr>
      <w:r>
        <w:t>Purpose and Scope</w:t>
      </w:r>
    </w:p>
    <w:p>
      <w:r>
        <w:t xml:space="preserve">The following pages contain supplementary background material, administrative notes, formatting conventions, and historical context retained for completeness. Readers seeking a particular topic should consult the table of contents and the index at the back of the volume. This material is provided for general reference only. Document control details, including the review cycle, the distribution list, and the amendment history, are maintained on a separate register. Page numbering follows the standard house style. Diagrams appear in the appendices. The following pages contain supplementary background material, administrative notes, formatting conventions, and historical context retained for completeness. Readers seeking a particular topic should consult the table of contents and the index at the back of the volume. This material is provided for general reference only. Document control details, including the review cycle, the distribution list, and the amendment history, are maintained on a separate register. Page numbering follows the standard house style. Diagrams appear in the appendices. The following pages contain supplementary background material, administrative notes, formatting conventions, and historical context retained for completeness. Readers seeking a particular topic should consult the table of contents and the index at the back of the volume. This material is provided for general reference only. Document control details, including the review cycle, the distribution list, and the amendment history, are maintained on a separate register. Page numbering follows the standard house style. Diagrams appear in the appendices. </w:t>
      </w:r>
    </w:p>
    <w:p>
      <w:pPr>
        <w:pStyle w:val="Heading1"/>
      </w:pPr>
      <w:r>
        <w:t>Data Sources</w:t>
      </w:r>
    </w:p>
    <w:p>
      <w:r>
        <w:t xml:space="preserve">The following pages contain supplementary background material, administrative notes, formatting conventions, and historical context retained for completeness. Readers seeking a particular topic should consult the table of contents and the index at the back of the volume. This material is provided for general reference only. Document control details, including the review cycle, the distribution list, and the amendment history, are maintained on a separate register. Page numbering follows the standard house style. Diagrams appear in the appendices. The following pages contain supplementary background material, administrative notes, formatting conventions, and historical context retained for completeness. Readers seeking a particular topic should consult the table of contents and the index at the back of the volume. This material is provided for general reference only. Document control details, including the review cycle, the distribution list, and the amendment history, are maintained on a separate register. Page numbering follows the standard house style. Diagrams appear in the appendices. The following pages contain supplementary background material, administrative notes, formatting conventions, and historical context retained for completeness. Readers seeking a particular topic should consult the table of contents and the index at the back of the volume. This material is provided for general reference only. Document control details, including the review cycle, the distribution list, and the amendment history, are maintained on a separate register. Page numbering follows the standard house style. Diagrams appear in the appendices. </w:t>
      </w:r>
    </w:p>
    <w:p>
      <w:pPr>
        <w:pStyle w:val="Heading1"/>
      </w:pPr>
      <w:r>
        <w:t>Reserve Basis</w:t>
      </w:r>
    </w:p>
    <w:p>
      <w:r>
        <w:t xml:space="preserve">Reserves are computed as the present value of expected future claims under IFRS 17 fulfilment cash flows, including a risk adjustment for non-financial risk. Expected claim costs are sourced from the actuarial pricing model. The following pages contain supplementary background material, administrative notes, formatting conventions, and historical context retained for completeness. Readers seeking a particular topic should consult the table of contents and the index at the back of the volume. This material is provided for general reference only. Document control details, including the review cycle, the distribution list, and the amendment history, are maintained on a separate register. Page numbering follows the standard house style. Diagrams appear in the appendices. </w:t>
      </w:r>
    </w:p>
    <w:p>
      <w:pPr>
        <w:pStyle w:val="Heading1"/>
      </w:pPr>
      <w:r>
        <w:t>Assumption Setting</w:t>
      </w:r>
    </w:p>
    <w:p>
      <w:r>
        <w:t xml:space="preserve">The following pages contain supplementary background material, administrative notes, formatting conventions, and historical context retained for completeness. Readers seeking a particular topic should consult the table of contents and the index at the back of the volume. This material is provided for general reference only. Document control details, including the review cycle, the distribution list, and the amendment history, are maintained on a separate register. Page numbering follows the standard house style. Diagrams appear in the appendices. The following pages contain supplementary background material, administrative notes, formatting conventions, and historical context retained for completeness. Readers seeking a particular topic should consult the table of contents and the index at the back of the volume. This material is provided for general reference only. Document control details, including the review cycle, the distribution list, and the amendment history, are maintained on a separate register. Page numbering follows the standard house style. Diagrams appear in the appendices. The following pages contain supplementary background material, administrative notes, formatting conventions, and historical context retained for completeness. Readers seeking a particular topic should consult the table of contents and the index at the back of the volume. This material is provided for general reference only. Document control details, including the review cycle, the distribution list, and the amendment history, are maintained on a separate register. Page numbering follows the standard house style. Diagrams appear in the appendices. </w:t>
      </w:r>
    </w:p>
    <w:p>
      <w:pPr>
        <w:pStyle w:val="Heading1"/>
      </w:pPr>
      <w:r>
        <w:t>Discounting</w:t>
      </w:r>
    </w:p>
    <w:p>
      <w:r>
        <w:t xml:space="preserve">The following pages contain supplementary background material, administrative notes, formatting conventions, and historical context retained for completeness. Readers seeking a particular topic should consult the table of contents and the index at the back of the volume. This material is provided for general reference only. Document control details, including the review cycle, the distribution list, and the amendment history, are maintained on a separate register. Page numbering follows the standard house style. Diagrams appear in the appendices. The following pages contain supplementary background material, administrative notes, formatting conventions, and historical context retained for completeness. Readers seeking a particular topic should consult the table of contents and the index at the back of the volume. This material is provided for general reference only. Document control details, including the review cycle, the distribution list, and the amendment history, are maintained on a separate register. Page numbering follows the standard house style. Diagrams appear in the appendices. </w:t>
      </w:r>
    </w:p>
    <w:p>
      <w:pPr>
        <w:pStyle w:val="Heading1"/>
      </w:pPr>
      <w:r>
        <w:t>Validation and Controls</w:t>
      </w:r>
    </w:p>
    <w:p>
      <w:r>
        <w:t xml:space="preserve">The following pages contain supplementary background material, administrative notes, formatting conventions, and historical context retained for completeness. Readers seeking a particular topic should consult the table of contents and the index at the back of the volume. This material is provided for general reference only. Document control details, including the review cycle, the distribution list, and the amendment history, are maintained on a separate register. Page numbering follows the standard house style. Diagrams appear in the appendices. The following pages contain supplementary background material, administrative notes, formatting conventions, and historical context retained for completeness. Readers seeking a particular topic should consult the table of contents and the index at the back of the volume. This material is provided for general reference only. Document control details, including the review cycle, the distribution list, and the amendment history, are maintained on a separate register. Page numbering follows the standard house style. Diagrams appear in the appendices. The following pages contain supplementary background material, administrative notes, formatting conventions, and historical context retained for completeness. Readers seeking a particular topic should consult the table of contents and the index at the back of the volume. This material is provided for general reference only. Document control details, including the review cycle, the distribution list, and the amendment history, are maintained on a separate register. Page numbering follows the standard house style. Diagrams appear in the appendices. </w:t>
      </w:r>
    </w:p>
    <w:p>
      <w:pPr>
        <w:pStyle w:val="Heading1"/>
      </w:pPr>
      <w:r>
        <w:t>Governance</w:t>
      </w:r>
    </w:p>
    <w:p>
      <w:r>
        <w:t xml:space="preserve">The Appointed Actuary signs off the reserving basis each reporting period. The following pages contain supplementary background material, administrative notes, formatting conventions, and historical context retained for completeness. Readers seeking a particular topic should consult the table of contents and the index at the back of the volume. This material is provided for general reference only. Document control details, including the review cycle, the distribution list, and the amendment history, are maintained on a separate register. Page numbering follows the standard house style. Diagrams appear in the appendices. </w:t>
      </w:r>
    </w:p>
    <w:p>
      <w:pPr>
        <w:pStyle w:val="Heading1"/>
      </w:pPr>
      <w:r>
        <w:t>Change Management</w:t>
      </w:r>
    </w:p>
    <w:p>
      <w:r>
        <w:t xml:space="preserve">The following pages contain supplementary background material, administrative notes, formatting conventions, and historical context retained for completeness. Readers seeking a particular topic should consult the table of contents and the index at the back of the volume. This material is provided for general reference only. Document control details, including the review cycle, the distribution list, and the amendment history, are maintained on a separate register. Page numbering follows the standard house style. Diagrams appear in the appendices. The following pages contain supplementary background material, administrative notes, formatting conventions, and historical context retained for completeness. Readers seeking a particular topic should consult the table of contents and the index at the back of the volume. This material is provided for general reference only. Document control details, including the review cycle, the distribution list, and the amendment history, are maintained on a separate register. Page numbering follows the standard house style. Diagrams appear in the appendices. </w:t>
      </w:r>
    </w:p>
    <w:p>
      <w:pPr>
        <w:pStyle w:val="Heading1"/>
      </w:pPr>
      <w:r>
        <w:t>Sensitivity (illustrative)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Scenario</w:t>
            </w:r>
          </w:p>
        </w:tc>
        <w:tc>
          <w:tcPr>
            <w:tcW w:type="dxa" w:w="2880"/>
          </w:tcPr>
          <w:p>
            <w:r>
              <w:t>Assumption</w:t>
            </w:r>
          </w:p>
        </w:tc>
        <w:tc>
          <w:tcPr>
            <w:tcW w:type="dxa" w:w="2880"/>
          </w:tcPr>
          <w:p>
            <w:r>
              <w:t>Reserve impact</w:t>
            </w:r>
          </w:p>
        </w:tc>
      </w:tr>
      <w:tr>
        <w:tc>
          <w:tcPr>
            <w:tcW w:type="dxa" w:w="2880"/>
          </w:tcPr>
          <w:p>
            <w:r>
              <w:t>+100 bps inflation</w:t>
            </w:r>
          </w:p>
        </w:tc>
        <w:tc>
          <w:tcPr>
            <w:tcW w:type="dxa" w:w="2880"/>
          </w:tcPr>
          <w:p>
            <w:r>
              <w:t>5.0%</w:t>
            </w:r>
          </w:p>
        </w:tc>
        <w:tc>
          <w:tcPr>
            <w:tcW w:type="dxa" w:w="2880"/>
          </w:tcPr>
          <w:p>
            <w:r>
              <w:t>+6.2%</w:t>
            </w:r>
          </w:p>
        </w:tc>
      </w:tr>
      <w:tr>
        <w:tc>
          <w:tcPr>
            <w:tcW w:type="dxa" w:w="2880"/>
          </w:tcPr>
          <w:p>
            <w:r>
              <w:t>-100 bps discount</w:t>
            </w:r>
          </w:p>
        </w:tc>
        <w:tc>
          <w:tcPr>
            <w:tcW w:type="dxa" w:w="2880"/>
          </w:tcPr>
          <w:p>
            <w:r>
              <w:t>3.25%</w:t>
            </w:r>
          </w:p>
        </w:tc>
        <w:tc>
          <w:tcPr>
            <w:tcW w:type="dxa" w:w="2880"/>
          </w:tcPr>
          <w:p>
            <w:r>
              <w:t>+7.1%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