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2"/>
          <w:szCs w:val="52"/>
        </w:rPr>
        <w:t xml:space="preserve">CLIMATE-NUTRITION</w:t>
      </w:r>
    </w:p>
    <w:p>
      <w:pPr>
        <w:jc w:val="center"/>
      </w:pPr>
      <w:r>
        <w:rPr>
          <w:rFonts w:ascii="Arial" w:cs="Arial" w:eastAsia="Arial" w:hAnsi="Arial"/>
          <w:b/>
          <w:bCs/>
          <w:color w:val="1B4F72"/>
          <w:sz w:val="52"/>
          <w:szCs w:val="52"/>
        </w:rPr>
        <w:t xml:space="preserve">SYSTEM DYNAMICS MODEL</w:t>
      </w:r>
    </w:p>
    <w:p>
      <w:pPr>
        <w:spacing w:before="300"/>
        <w:jc w:val="center"/>
      </w:pPr>
      <w:r>
        <w:rPr>
          <w:rFonts w:ascii="Arial" w:cs="Arial" w:eastAsia="Arial" w:hAnsi="Arial"/>
          <w:color w:val="2E75B6"/>
          <w:sz w:val="40"/>
          <w:szCs w:val="40"/>
        </w:rPr>
        <w:t xml:space="preserve">NIGERIA EDITION</w:t>
      </w:r>
    </w:p>
    <w:p>
      <w:pPr>
        <w:spacing w:before="200"/>
        <w:jc w:val="center"/>
      </w:pPr>
      <w:r>
        <w:rPr>
          <w:rFonts w:ascii="Arial" w:cs="Arial" w:eastAsia="Arial" w:hAnsi="Arial"/>
          <w:i/>
          <w:iCs/>
          <w:color w:val="666666"/>
          <w:sz w:val="26"/>
          <w:szCs w:val="26"/>
        </w:rPr>
        <w:t xml:space="preserve">Policy Decision Guide for Agricultural Development</w:t>
      </w:r>
    </w:p>
    <w:p>
      <w:pPr>
        <w:spacing w:before="600"/>
      </w:pPr>
    </w:p>
    <w:p>
      <w:pPr>
        <w:spacing w:after="80"/>
        <w:jc w:val="center"/>
      </w:pPr>
      <w:r>
        <w:rPr>
          <w:rFonts w:ascii="Arial" w:cs="Arial" w:eastAsia="Arial" w:hAnsi="Arial"/>
          <w:color w:val="333333"/>
          <w:sz w:val="22"/>
          <w:szCs w:val="22"/>
        </w:rPr>
        <w:t xml:space="preserve">Crops: Maize | Cassava | Rice (Paddy) | Sorghum</w:t>
      </w:r>
    </w:p>
    <w:p>
      <w:pPr>
        <w:spacing w:after="80"/>
        <w:jc w:val="center"/>
      </w:pPr>
      <w:r>
        <w:rPr>
          <w:rFonts w:ascii="Arial" w:cs="Arial" w:eastAsia="Arial" w:hAnsi="Arial"/>
          <w:color w:val="333333"/>
          <w:sz w:val="22"/>
          <w:szCs w:val="22"/>
        </w:rPr>
        <w:t xml:space="preserve">Region: Northern Nigeria (Kaduna/Kano Savanna Zone)</w:t>
      </w:r>
    </w:p>
    <w:p>
      <w:pPr>
        <w:spacing w:after="80"/>
        <w:jc w:val="center"/>
      </w:pPr>
      <w:r>
        <w:rPr>
          <w:rFonts w:ascii="Arial" w:cs="Arial" w:eastAsia="Arial" w:hAnsi="Arial"/>
          <w:color w:val="333333"/>
          <w:sz w:val="22"/>
          <w:szCs w:val="22"/>
        </w:rPr>
        <w:t xml:space="preserve">Projection: 1971–2100 under IPCC SSP Scenarios</w:t>
      </w:r>
    </w:p>
    <w:p>
      <w:pPr>
        <w:spacing w:before="800"/>
        <w:jc w:val="center"/>
      </w:pPr>
      <w:r>
        <w:rPr>
          <w:rFonts w:ascii="Arial" w:cs="Arial" w:eastAsia="Arial" w:hAnsi="Arial"/>
          <w:b/>
          <w:bCs/>
          <w:color w:val="1B4F72"/>
          <w:sz w:val="20"/>
          <w:szCs w:val="20"/>
        </w:rPr>
        <w:t xml:space="preserve">Data Sources:</w:t>
      </w:r>
    </w:p>
    <w:p>
      <w:pPr>
        <w:jc w:val="center"/>
      </w:pPr>
      <w:r>
        <w:rPr>
          <w:rFonts w:ascii="Arial" w:cs="Arial" w:eastAsia="Arial" w:hAnsi="Arial"/>
          <w:color w:val="888888"/>
          <w:sz w:val="18"/>
          <w:szCs w:val="18"/>
        </w:rPr>
        <w:t xml:space="preserve">FAOSTAT • NBS Nigeria • IFDC • UN Population Division • IPCC AR6 • World Bank</w:t>
      </w:r>
    </w:p>
    <w:p>
      <w:pPr>
        <w:spacing w:before="400"/>
        <w:jc w:val="center"/>
      </w:pPr>
      <w:r>
        <w:rPr>
          <w:rFonts w:ascii="Arial" w:cs="Arial" w:eastAsia="Arial" w:hAnsi="Arial"/>
          <w:color w:val="888888"/>
          <w:sz w:val="20"/>
          <w:szCs w:val="20"/>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p>
    <w:p>
      <w:pPr>
        <w:spacing w:after="60"/>
      </w:pPr>
      <w:hyperlink w:history="1" w:anchor="ch1">
        <w:r>
          <w:rPr>
            <w:rStyle w:val="Hyperlink"/>
            <w:rFonts w:ascii="Arial" w:cs="Arial" w:eastAsia="Arial" w:hAnsi="Arial"/>
            <w:b/>
            <w:bCs/>
            <w:sz w:val="24"/>
            <w:szCs w:val="24"/>
          </w:rPr>
          <w:t xml:space="preserve">1. Introduction and Purpose</w:t>
        </w:r>
        <w:r>
          <w:rPr>
            <w:rFonts w:ascii="Arial" w:cs="Arial" w:eastAsia="Arial" w:hAnsi="Arial"/>
            <w:sz w:val="24"/>
            <w:szCs w:val="24"/>
          </w:rPr>
          <w:ptab w:alignment="right" w:relativeTo="margin" w:leader="dot"/>
        </w:r>
      </w:hyperlink>
    </w:p>
    <w:p>
      <w:pPr>
        <w:spacing w:after="60"/>
        <w:ind w:left="360"/>
      </w:pPr>
      <w:hyperlink w:history="1" w:anchor="ch1_1">
        <w:r>
          <w:rPr>
            <w:rStyle w:val="Hyperlink"/>
            <w:rFonts w:ascii="Arial" w:cs="Arial" w:eastAsia="Arial" w:hAnsi="Arial"/>
            <w:b w:val="false"/>
            <w:bCs w:val="false"/>
            <w:sz w:val="22"/>
            <w:szCs w:val="22"/>
          </w:rPr>
          <w:t xml:space="preserve">1.1 What This Model Does</w:t>
        </w:r>
        <w:r>
          <w:rPr>
            <w:rFonts w:ascii="Arial" w:cs="Arial" w:eastAsia="Arial" w:hAnsi="Arial"/>
            <w:sz w:val="22"/>
            <w:szCs w:val="22"/>
          </w:rPr>
          <w:ptab w:alignment="right" w:relativeTo="margin" w:leader="dot"/>
        </w:r>
      </w:hyperlink>
    </w:p>
    <w:p>
      <w:pPr>
        <w:spacing w:after="60"/>
        <w:ind w:left="360"/>
      </w:pPr>
      <w:hyperlink w:history="1" w:anchor="ch1_2">
        <w:r>
          <w:rPr>
            <w:rStyle w:val="Hyperlink"/>
            <w:rFonts w:ascii="Arial" w:cs="Arial" w:eastAsia="Arial" w:hAnsi="Arial"/>
            <w:b w:val="false"/>
            <w:bCs w:val="false"/>
            <w:sz w:val="22"/>
            <w:szCs w:val="22"/>
          </w:rPr>
          <w:t xml:space="preserve">1.2 Data Sources and Links</w:t>
        </w:r>
        <w:r>
          <w:rPr>
            <w:rFonts w:ascii="Arial" w:cs="Arial" w:eastAsia="Arial" w:hAnsi="Arial"/>
            <w:sz w:val="22"/>
            <w:szCs w:val="22"/>
          </w:rPr>
          <w:ptab w:alignment="right" w:relativeTo="margin" w:leader="dot"/>
        </w:r>
      </w:hyperlink>
    </w:p>
    <w:p>
      <w:pPr>
        <w:spacing w:after="60"/>
      </w:pPr>
      <w:hyperlink w:history="1" w:anchor="ch2">
        <w:r>
          <w:rPr>
            <w:rStyle w:val="Hyperlink"/>
            <w:rFonts w:ascii="Arial" w:cs="Arial" w:eastAsia="Arial" w:hAnsi="Arial"/>
            <w:b/>
            <w:bCs/>
            <w:sz w:val="24"/>
            <w:szCs w:val="24"/>
          </w:rPr>
          <w:t xml:space="preserve">2. Model Architecture: Seven Subsystems</w:t>
        </w:r>
        <w:r>
          <w:rPr>
            <w:rFonts w:ascii="Arial" w:cs="Arial" w:eastAsia="Arial" w:hAnsi="Arial"/>
            <w:sz w:val="24"/>
            <w:szCs w:val="24"/>
          </w:rPr>
          <w:ptab w:alignment="right" w:relativeTo="margin" w:leader="dot"/>
        </w:r>
      </w:hyperlink>
    </w:p>
    <w:p>
      <w:pPr>
        <w:spacing w:after="60"/>
        <w:ind w:left="360"/>
      </w:pPr>
      <w:hyperlink w:history="1" w:anchor="ch2_1">
        <w:r>
          <w:rPr>
            <w:rStyle w:val="Hyperlink"/>
            <w:rFonts w:ascii="Arial" w:cs="Arial" w:eastAsia="Arial" w:hAnsi="Arial"/>
            <w:b w:val="false"/>
            <w:bCs w:val="false"/>
            <w:sz w:val="22"/>
            <w:szCs w:val="22"/>
          </w:rPr>
          <w:t xml:space="preserve">2.1 Land Subsystem</w:t>
        </w:r>
        <w:r>
          <w:rPr>
            <w:rFonts w:ascii="Arial" w:cs="Arial" w:eastAsia="Arial" w:hAnsi="Arial"/>
            <w:sz w:val="22"/>
            <w:szCs w:val="22"/>
          </w:rPr>
          <w:ptab w:alignment="right" w:relativeTo="margin" w:leader="dot"/>
        </w:r>
      </w:hyperlink>
    </w:p>
    <w:p>
      <w:pPr>
        <w:spacing w:after="60"/>
        <w:ind w:left="360"/>
      </w:pPr>
      <w:hyperlink w:history="1" w:anchor="ch2_2">
        <w:r>
          <w:rPr>
            <w:rStyle w:val="Hyperlink"/>
            <w:rFonts w:ascii="Arial" w:cs="Arial" w:eastAsia="Arial" w:hAnsi="Arial"/>
            <w:b w:val="false"/>
            <w:bCs w:val="false"/>
            <w:sz w:val="22"/>
            <w:szCs w:val="22"/>
          </w:rPr>
          <w:t xml:space="preserve">2.2 Water Subsystem</w:t>
        </w:r>
        <w:r>
          <w:rPr>
            <w:rFonts w:ascii="Arial" w:cs="Arial" w:eastAsia="Arial" w:hAnsi="Arial"/>
            <w:sz w:val="22"/>
            <w:szCs w:val="22"/>
          </w:rPr>
          <w:ptab w:alignment="right" w:relativeTo="margin" w:leader="dot"/>
        </w:r>
      </w:hyperlink>
    </w:p>
    <w:p>
      <w:pPr>
        <w:spacing w:after="60"/>
        <w:ind w:left="360"/>
      </w:pPr>
      <w:hyperlink w:history="1" w:anchor="ch2_3">
        <w:r>
          <w:rPr>
            <w:rStyle w:val="Hyperlink"/>
            <w:rFonts w:ascii="Arial" w:cs="Arial" w:eastAsia="Arial" w:hAnsi="Arial"/>
            <w:b w:val="false"/>
            <w:bCs w:val="false"/>
            <w:sz w:val="22"/>
            <w:szCs w:val="22"/>
          </w:rPr>
          <w:t xml:space="preserve">2.3 Soil Subsystem</w:t>
        </w:r>
        <w:r>
          <w:rPr>
            <w:rFonts w:ascii="Arial" w:cs="Arial" w:eastAsia="Arial" w:hAnsi="Arial"/>
            <w:sz w:val="22"/>
            <w:szCs w:val="22"/>
          </w:rPr>
          <w:ptab w:alignment="right" w:relativeTo="margin" w:leader="dot"/>
        </w:r>
      </w:hyperlink>
    </w:p>
    <w:p>
      <w:pPr>
        <w:spacing w:after="60"/>
        <w:ind w:left="360"/>
      </w:pPr>
      <w:hyperlink w:history="1" w:anchor="ch2_4">
        <w:r>
          <w:rPr>
            <w:rStyle w:val="Hyperlink"/>
            <w:rFonts w:ascii="Arial" w:cs="Arial" w:eastAsia="Arial" w:hAnsi="Arial"/>
            <w:b w:val="false"/>
            <w:bCs w:val="false"/>
            <w:sz w:val="22"/>
            <w:szCs w:val="22"/>
          </w:rPr>
          <w:t xml:space="preserve">2.4 N-P-K Nutrient Dynamics</w:t>
        </w:r>
        <w:r>
          <w:rPr>
            <w:rFonts w:ascii="Arial" w:cs="Arial" w:eastAsia="Arial" w:hAnsi="Arial"/>
            <w:sz w:val="22"/>
            <w:szCs w:val="22"/>
          </w:rPr>
          <w:ptab w:alignment="right" w:relativeTo="margin" w:leader="dot"/>
        </w:r>
      </w:hyperlink>
    </w:p>
    <w:p>
      <w:pPr>
        <w:spacing w:after="60"/>
        <w:ind w:left="360"/>
      </w:pPr>
      <w:hyperlink w:history="1" w:anchor="ch2_5">
        <w:r>
          <w:rPr>
            <w:rStyle w:val="Hyperlink"/>
            <w:rFonts w:ascii="Arial" w:cs="Arial" w:eastAsia="Arial" w:hAnsi="Arial"/>
            <w:b w:val="false"/>
            <w:bCs w:val="false"/>
            <w:sz w:val="22"/>
            <w:szCs w:val="22"/>
          </w:rPr>
          <w:t xml:space="preserve">2.5 Climate Subsystem</w:t>
        </w:r>
        <w:r>
          <w:rPr>
            <w:rFonts w:ascii="Arial" w:cs="Arial" w:eastAsia="Arial" w:hAnsi="Arial"/>
            <w:sz w:val="22"/>
            <w:szCs w:val="22"/>
          </w:rPr>
          <w:ptab w:alignment="right" w:relativeTo="margin" w:leader="dot"/>
        </w:r>
      </w:hyperlink>
    </w:p>
    <w:p>
      <w:pPr>
        <w:spacing w:after="60"/>
        <w:ind w:left="360"/>
      </w:pPr>
      <w:hyperlink w:history="1" w:anchor="ch2_6">
        <w:r>
          <w:rPr>
            <w:rStyle w:val="Hyperlink"/>
            <w:rFonts w:ascii="Arial" w:cs="Arial" w:eastAsia="Arial" w:hAnsi="Arial"/>
            <w:b w:val="false"/>
            <w:bCs w:val="false"/>
            <w:sz w:val="22"/>
            <w:szCs w:val="22"/>
          </w:rPr>
          <w:t xml:space="preserve">2.6 Crop/Yield Subsystem</w:t>
        </w:r>
        <w:r>
          <w:rPr>
            <w:rFonts w:ascii="Arial" w:cs="Arial" w:eastAsia="Arial" w:hAnsi="Arial"/>
            <w:sz w:val="22"/>
            <w:szCs w:val="22"/>
          </w:rPr>
          <w:ptab w:alignment="right" w:relativeTo="margin" w:leader="dot"/>
        </w:r>
      </w:hyperlink>
    </w:p>
    <w:p>
      <w:pPr>
        <w:spacing w:after="60"/>
        <w:ind w:left="360"/>
      </w:pPr>
      <w:hyperlink w:history="1" w:anchor="ch2_7">
        <w:r>
          <w:rPr>
            <w:rStyle w:val="Hyperlink"/>
            <w:rFonts w:ascii="Arial" w:cs="Arial" w:eastAsia="Arial" w:hAnsi="Arial"/>
            <w:b w:val="false"/>
            <w:bCs w:val="false"/>
            <w:sz w:val="22"/>
            <w:szCs w:val="22"/>
          </w:rPr>
          <w:t xml:space="preserve">2.7 Economics &amp; Demand Subsystem</w:t>
        </w:r>
        <w:r>
          <w:rPr>
            <w:rFonts w:ascii="Arial" w:cs="Arial" w:eastAsia="Arial" w:hAnsi="Arial"/>
            <w:sz w:val="22"/>
            <w:szCs w:val="22"/>
          </w:rPr>
          <w:ptab w:alignment="right" w:relativeTo="margin" w:leader="dot"/>
        </w:r>
      </w:hyperlink>
    </w:p>
    <w:p>
      <w:pPr>
        <w:spacing w:after="60"/>
      </w:pPr>
      <w:hyperlink w:history="1" w:anchor="ch3">
        <w:r>
          <w:rPr>
            <w:rStyle w:val="Hyperlink"/>
            <w:rFonts w:ascii="Arial" w:cs="Arial" w:eastAsia="Arial" w:hAnsi="Arial"/>
            <w:b/>
            <w:bCs/>
            <w:sz w:val="24"/>
            <w:szCs w:val="24"/>
          </w:rPr>
          <w:t xml:space="preserve">3. Feedback Loops</w:t>
        </w:r>
        <w:r>
          <w:rPr>
            <w:rFonts w:ascii="Arial" w:cs="Arial" w:eastAsia="Arial" w:hAnsi="Arial"/>
            <w:sz w:val="24"/>
            <w:szCs w:val="24"/>
          </w:rPr>
          <w:ptab w:alignment="right" w:relativeTo="margin" w:leader="dot"/>
        </w:r>
      </w:hyperlink>
    </w:p>
    <w:p>
      <w:pPr>
        <w:spacing w:after="60"/>
        <w:ind w:left="360"/>
      </w:pPr>
      <w:hyperlink w:history="1" w:anchor="ch3_1">
        <w:r>
          <w:rPr>
            <w:rStyle w:val="Hyperlink"/>
            <w:rFonts w:ascii="Arial" w:cs="Arial" w:eastAsia="Arial" w:hAnsi="Arial"/>
            <w:b w:val="false"/>
            <w:bCs w:val="false"/>
            <w:sz w:val="22"/>
            <w:szCs w:val="22"/>
          </w:rPr>
          <w:t xml:space="preserve">3.1 B1: Market Equilibrium</w:t>
        </w:r>
        <w:r>
          <w:rPr>
            <w:rFonts w:ascii="Arial" w:cs="Arial" w:eastAsia="Arial" w:hAnsi="Arial"/>
            <w:sz w:val="22"/>
            <w:szCs w:val="22"/>
          </w:rPr>
          <w:ptab w:alignment="right" w:relativeTo="margin" w:leader="dot"/>
        </w:r>
      </w:hyperlink>
    </w:p>
    <w:p>
      <w:pPr>
        <w:spacing w:after="60"/>
        <w:ind w:left="360"/>
      </w:pPr>
      <w:hyperlink w:history="1" w:anchor="ch3_2">
        <w:r>
          <w:rPr>
            <w:rStyle w:val="Hyperlink"/>
            <w:rFonts w:ascii="Arial" w:cs="Arial" w:eastAsia="Arial" w:hAnsi="Arial"/>
            <w:b w:val="false"/>
            <w:bCs w:val="false"/>
            <w:sz w:val="22"/>
            <w:szCs w:val="22"/>
          </w:rPr>
          <w:t xml:space="preserve">3.2 B2: Soil Degradation</w:t>
        </w:r>
        <w:r>
          <w:rPr>
            <w:rFonts w:ascii="Arial" w:cs="Arial" w:eastAsia="Arial" w:hAnsi="Arial"/>
            <w:sz w:val="22"/>
            <w:szCs w:val="22"/>
          </w:rPr>
          <w:ptab w:alignment="right" w:relativeTo="margin" w:leader="dot"/>
        </w:r>
      </w:hyperlink>
    </w:p>
    <w:p>
      <w:pPr>
        <w:spacing w:after="60"/>
        <w:ind w:left="360"/>
      </w:pPr>
      <w:hyperlink w:history="1" w:anchor="ch3_3">
        <w:r>
          <w:rPr>
            <w:rStyle w:val="Hyperlink"/>
            <w:rFonts w:ascii="Arial" w:cs="Arial" w:eastAsia="Arial" w:hAnsi="Arial"/>
            <w:b w:val="false"/>
            <w:bCs w:val="false"/>
            <w:sz w:val="22"/>
            <w:szCs w:val="22"/>
          </w:rPr>
          <w:t xml:space="preserve">3.3 R1: Input Investment</w:t>
        </w:r>
        <w:r>
          <w:rPr>
            <w:rFonts w:ascii="Arial" w:cs="Arial" w:eastAsia="Arial" w:hAnsi="Arial"/>
            <w:sz w:val="22"/>
            <w:szCs w:val="22"/>
          </w:rPr>
          <w:ptab w:alignment="right" w:relativeTo="margin" w:leader="dot"/>
        </w:r>
      </w:hyperlink>
    </w:p>
    <w:p>
      <w:pPr>
        <w:spacing w:after="60"/>
        <w:ind w:left="360"/>
      </w:pPr>
      <w:hyperlink w:history="1" w:anchor="ch3_4">
        <w:r>
          <w:rPr>
            <w:rStyle w:val="Hyperlink"/>
            <w:rFonts w:ascii="Arial" w:cs="Arial" w:eastAsia="Arial" w:hAnsi="Arial"/>
            <w:b w:val="false"/>
            <w:bCs w:val="false"/>
            <w:sz w:val="22"/>
            <w:szCs w:val="22"/>
          </w:rPr>
          <w:t xml:space="preserve">3.4 R2: Capital Investment</w:t>
        </w:r>
        <w:r>
          <w:rPr>
            <w:rFonts w:ascii="Arial" w:cs="Arial" w:eastAsia="Arial" w:hAnsi="Arial"/>
            <w:sz w:val="22"/>
            <w:szCs w:val="22"/>
          </w:rPr>
          <w:ptab w:alignment="right" w:relativeTo="margin" w:leader="dot"/>
        </w:r>
      </w:hyperlink>
    </w:p>
    <w:p>
      <w:pPr>
        <w:spacing w:after="60"/>
        <w:ind w:left="360"/>
      </w:pPr>
      <w:hyperlink w:history="1" w:anchor="ch3_5">
        <w:r>
          <w:rPr>
            <w:rStyle w:val="Hyperlink"/>
            <w:rFonts w:ascii="Arial" w:cs="Arial" w:eastAsia="Arial" w:hAnsi="Arial"/>
            <w:b w:val="false"/>
            <w:bCs w:val="false"/>
            <w:sz w:val="22"/>
            <w:szCs w:val="22"/>
          </w:rPr>
          <w:t xml:space="preserve">3.5 B3: Water Stress → Irrigation</w:t>
        </w:r>
        <w:r>
          <w:rPr>
            <w:rFonts w:ascii="Arial" w:cs="Arial" w:eastAsia="Arial" w:hAnsi="Arial"/>
            <w:sz w:val="22"/>
            <w:szCs w:val="22"/>
          </w:rPr>
          <w:ptab w:alignment="right" w:relativeTo="margin" w:leader="dot"/>
        </w:r>
      </w:hyperlink>
    </w:p>
    <w:p>
      <w:pPr>
        <w:spacing w:after="60"/>
        <w:ind w:left="360"/>
      </w:pPr>
      <w:hyperlink w:history="1" w:anchor="ch3_6">
        <w:r>
          <w:rPr>
            <w:rStyle w:val="Hyperlink"/>
            <w:rFonts w:ascii="Arial" w:cs="Arial" w:eastAsia="Arial" w:hAnsi="Arial"/>
            <w:b w:val="false"/>
            <w:bCs w:val="false"/>
            <w:sz w:val="22"/>
            <w:szCs w:val="22"/>
          </w:rPr>
          <w:t xml:space="preserve">3.6 B4: Erosion → Phosphorus Depletion</w:t>
        </w:r>
        <w:r>
          <w:rPr>
            <w:rFonts w:ascii="Arial" w:cs="Arial" w:eastAsia="Arial" w:hAnsi="Arial"/>
            <w:sz w:val="22"/>
            <w:szCs w:val="22"/>
          </w:rPr>
          <w:ptab w:alignment="right" w:relativeTo="margin" w:leader="dot"/>
        </w:r>
      </w:hyperlink>
    </w:p>
    <w:p>
      <w:pPr>
        <w:spacing w:after="60"/>
      </w:pPr>
      <w:hyperlink w:history="1" w:anchor="ch4">
        <w:r>
          <w:rPr>
            <w:rStyle w:val="Hyperlink"/>
            <w:rFonts w:ascii="Arial" w:cs="Arial" w:eastAsia="Arial" w:hAnsi="Arial"/>
            <w:b/>
            <w:bCs/>
            <w:sz w:val="24"/>
            <w:szCs w:val="24"/>
          </w:rPr>
          <w:t xml:space="preserve">4. Dashboard Guide</w:t>
        </w:r>
        <w:r>
          <w:rPr>
            <w:rFonts w:ascii="Arial" w:cs="Arial" w:eastAsia="Arial" w:hAnsi="Arial"/>
            <w:sz w:val="24"/>
            <w:szCs w:val="24"/>
          </w:rPr>
          <w:ptab w:alignment="right" w:relativeTo="margin" w:leader="dot"/>
        </w:r>
      </w:hyperlink>
    </w:p>
    <w:p>
      <w:pPr>
        <w:spacing w:after="60"/>
      </w:pPr>
      <w:hyperlink w:history="1" w:anchor="ch5">
        <w:r>
          <w:rPr>
            <w:rStyle w:val="Hyperlink"/>
            <w:rFonts w:ascii="Arial" w:cs="Arial" w:eastAsia="Arial" w:hAnsi="Arial"/>
            <w:b/>
            <w:bCs/>
            <w:sz w:val="24"/>
            <w:szCs w:val="24"/>
          </w:rPr>
          <w:t xml:space="preserve">5. Policy Scenarios and Recommendations</w:t>
        </w:r>
        <w:r>
          <w:rPr>
            <w:rFonts w:ascii="Arial" w:cs="Arial" w:eastAsia="Arial" w:hAnsi="Arial"/>
            <w:sz w:val="24"/>
            <w:szCs w:val="24"/>
          </w:rPr>
          <w:ptab w:alignment="right" w:relativeTo="margin" w:leader="dot"/>
        </w:r>
      </w:hyperlink>
    </w:p>
    <w:p>
      <w:pPr>
        <w:spacing w:after="60"/>
      </w:pPr>
      <w:hyperlink w:history="1" w:anchor="ch6">
        <w:r>
          <w:rPr>
            <w:rStyle w:val="Hyperlink"/>
            <w:rFonts w:ascii="Arial" w:cs="Arial" w:eastAsia="Arial" w:hAnsi="Arial"/>
            <w:b/>
            <w:bCs/>
            <w:sz w:val="24"/>
            <w:szCs w:val="24"/>
          </w:rPr>
          <w:t xml:space="preserve">6. Model Validation and Comparison</w:t>
        </w:r>
        <w:r>
          <w:rPr>
            <w:rFonts w:ascii="Arial" w:cs="Arial" w:eastAsia="Arial" w:hAnsi="Arial"/>
            <w:sz w:val="24"/>
            <w:szCs w:val="24"/>
          </w:rPr>
          <w:ptab w:alignment="right" w:relativeTo="margin" w:leader="dot"/>
        </w:r>
      </w:hyperlink>
    </w:p>
    <w:p>
      <w:pPr>
        <w:spacing w:after="60"/>
      </w:pPr>
      <w:hyperlink w:history="1" w:anchor="ch7">
        <w:r>
          <w:rPr>
            <w:rStyle w:val="Hyperlink"/>
            <w:rFonts w:ascii="Arial" w:cs="Arial" w:eastAsia="Arial" w:hAnsi="Arial"/>
            <w:b/>
            <w:bCs/>
            <w:sz w:val="24"/>
            <w:szCs w:val="24"/>
          </w:rPr>
          <w:t xml:space="preserve">7. Nigeria-Specific Model Calibration</w:t>
        </w:r>
        <w:r>
          <w:rPr>
            <w:rFonts w:ascii="Arial" w:cs="Arial" w:eastAsia="Arial" w:hAnsi="Arial"/>
            <w:sz w:val="24"/>
            <w:szCs w:val="24"/>
          </w:rPr>
          <w:ptab w:alignment="right" w:relativeTo="margin" w:leader="dot"/>
        </w:r>
      </w:hyperlink>
    </w:p>
    <w:p>
      <w:pPr>
        <w:spacing w:after="60"/>
      </w:pPr>
      <w:hyperlink w:history="1" w:anchor="ch8">
        <w:r>
          <w:rPr>
            <w:rStyle w:val="Hyperlink"/>
            <w:rFonts w:ascii="Arial" w:cs="Arial" w:eastAsia="Arial" w:hAnsi="Arial"/>
            <w:b/>
            <w:bCs/>
            <w:sz w:val="24"/>
            <w:szCs w:val="24"/>
          </w:rPr>
          <w:t xml:space="preserve">8. How to Use This Model for Policy Decisions</w:t>
        </w:r>
        <w:r>
          <w:rPr>
            <w:rFonts w:ascii="Arial" w:cs="Arial" w:eastAsia="Arial" w:hAnsi="Arial"/>
            <w:sz w:val="24"/>
            <w:szCs w:val="24"/>
          </w:rPr>
          <w:ptab w:alignment="right" w:relativeTo="margin" w:leader="dot"/>
        </w:r>
      </w:hyperlink>
    </w:p>
    <w:p>
      <w:pPr>
        <w:spacing w:after="60"/>
      </w:pPr>
      <w:hyperlink w:history="1" w:anchor="appA">
        <w:r>
          <w:rPr>
            <w:rStyle w:val="Hyperlink"/>
            <w:rFonts w:ascii="Arial" w:cs="Arial" w:eastAsia="Arial" w:hAnsi="Arial"/>
            <w:b/>
            <w:bCs/>
            <w:sz w:val="24"/>
            <w:szCs w:val="24"/>
          </w:rPr>
          <w:t xml:space="preserve">Appendix A: Complete Data Source Links</w:t>
        </w:r>
        <w:r>
          <w:rPr>
            <w:rFonts w:ascii="Arial" w:cs="Arial" w:eastAsia="Arial" w:hAnsi="Arial"/>
            <w:sz w:val="24"/>
            <w:szCs w:val="24"/>
          </w:rPr>
          <w:ptab w:alignment="right" w:relativeTo="margin" w:leader="dot"/>
        </w:r>
      </w:hyperlink>
    </w:p>
    <w:p>
      <w:r>
        <w:br w:type="page"/>
      </w:r>
    </w:p>
    <w:p>
      <w:pPr>
        <w:pStyle w:val="Heading1"/>
      </w:pPr>
      <w:bookmarkStart w:name="ch1" w:id="1"/>
      <w:r>
        <w:t xml:space="preserve">1. Introduction and Purpose</w:t>
      </w:r>
      <w:bookmarkEnd w:id="1"/>
    </w:p>
    <w:p>
      <w:pPr>
        <w:spacing w:after="120"/>
      </w:pPr>
      <w:r>
        <w:t xml:space="preserve">This document serves as a comprehensive policy decision guide for the Nigeria Climate-Nutrition System Dynamics Model. The model integrates agricultural production modelling with climate change projections and nutritional adequacy analysis to support evidence-based policymaking for Nigerian food security.</w:t>
      </w:r>
    </w:p>
    <w:p>
      <w:pPr>
        <w:spacing w:after="120"/>
      </w:pPr>
      <w:r>
        <w:t xml:space="preserve">Nigeria faces a convergence of critical challenges: rapid population growth (projected to reach 400 million by 2050), climate change threatening the Sahel and savanna agricultural zones, soil degradation from decades of extractive farming, and widespread micronutrient deficiencies affecting over 60% of children under five. This model provides a quantitative framework for evaluating policy interventions across these interconnected domains.</w:t>
      </w:r>
    </w:p>
    <w:p>
      <w:pPr>
        <w:pStyle w:val="Heading2"/>
      </w:pPr>
      <w:bookmarkStart w:name="ch1_1" w:id="2"/>
      <w:r>
        <w:t xml:space="preserve">1.1 What This Model Does</w:t>
      </w:r>
      <w:bookmarkEnd w:id="2"/>
    </w:p>
    <w:p>
      <w:pPr>
        <w:spacing w:after="120"/>
      </w:pPr>
      <w:r>
        <w:t xml:space="preserve">The model simulates 130 years (1971–2100) of crop production for four staple crops — maize, cassava, rice, and sorghum — which together account for over 80% of Nigerian caloric intake. It couples seven interconnected subsystems using System Dynamics methodology (Forrester 1961, Sterman 2000) to capture the feedback loops that drive agricultural outcomes.</w:t>
      </w:r>
    </w:p>
    <w:p>
      <w:pPr>
        <w:spacing w:after="120"/>
      </w:pPr>
      <w:r>
        <w:t xml:space="preserve">The key innovation is that the model does not simply project trends forward. Instead, it captures the circular causality between climate, soil, water, farmer decisions, market forces, and nutrition. When you change one input (e.g., increase fertilizer), the effects propagate through the entire system: higher yield leads to more production, which changes prices, which changes farmer profitability, which changes how much fertilizer they can afford next year.</w:t>
      </w:r>
    </w:p>
    <w:p>
      <w:pPr>
        <w:pStyle w:val="Heading2"/>
      </w:pPr>
      <w:bookmarkStart w:name="ch1_2" w:id="3"/>
      <w:r>
        <w:t xml:space="preserve">1.2 Data Sources and Links</w:t>
      </w:r>
      <w:bookmarkEnd w:id="3"/>
    </w:p>
    <w:p>
      <w:pPr>
        <w:spacing w:after="120"/>
      </w:pPr>
      <w:r>
        <w:t xml:space="preserve">All historical data comes from authoritative government and international sources. Every URL listed below is clickable: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Crop production, area, yield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v5cwwpix174weg6gl4fg7">
              <w:r>
                <w:rPr>
                  <w:rStyle w:val="Hyperlink"/>
                  <w:color w:val="0563C1"/>
                  <w:u w:val="single"/>
                </w:rPr>
                <w:t xml:space="preserve">FAOSTAT (FAO, 2024)</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1961–2023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National agricultural census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a0wcjmj9zcrubzlrabhk">
              <w:r>
                <w:rPr>
                  <w:rStyle w:val="Hyperlink"/>
                  <w:color w:val="0563C1"/>
                  <w:u w:val="single"/>
                </w:rPr>
                <w:t xml:space="preserve">NBS Nigeria (2022)</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36 states + FCT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Fertilizer statistics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7oc78lprhzwuaqlen9ck">
              <w:r>
                <w:rPr>
                  <w:rStyle w:val="Hyperlink"/>
                  <w:color w:val="0563C1"/>
                  <w:u w:val="single"/>
                </w:rPr>
                <w:t xml:space="preserve">IFDC Nigeria 2024/2025</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2019–2024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projections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ahaain7zwgh9nnaiqqpq">
              <w:r>
                <w:rPr>
                  <w:rStyle w:val="Hyperlink"/>
                  <w:color w:val="0563C1"/>
                  <w:u w:val="single"/>
                </w:rPr>
                <w:t xml:space="preserve">UN World Population Prospects 2024</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1950–2100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Climate baselines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9one9gm2oo8qvxtmkwykt">
              <w:r>
                <w:rPr>
                  <w:rStyle w:val="Hyperlink"/>
                  <w:color w:val="0563C1"/>
                  <w:u w:val="single"/>
                </w:rPr>
                <w:t xml:space="preserve">World Bank Climate Knowledge Portal</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1971–2000 normals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Climate scenarios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ts4ubsbnhceiw63pseort">
              <w:r>
                <w:rPr>
                  <w:rStyle w:val="Hyperlink"/>
                  <w:color w:val="0563C1"/>
                  <w:u w:val="single"/>
                </w:rPr>
                <w:t xml:space="preserve">IPCC AR6 (2021–2023)</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SSP1-2.6 to SSP5-8.5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Crop nutrient profiles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sh6ubolqiauxqhizuase">
              <w:r>
                <w:rPr>
                  <w:rStyle w:val="Hyperlink"/>
                  <w:color w:val="0563C1"/>
                  <w:u w:val="single"/>
                </w:rPr>
                <w:t xml:space="preserve">USDA FoodData Central</w:t>
              </w:r>
            </w:hyperlink>
            <w:r>
              <w:t xml:space="preserve">; </w:t>
            </w:r>
            <w:hyperlink w:history="1" r:id="rId_ziwa2vlax4bnxmjnmyvx">
              <w:r>
                <w:rPr>
                  <w:rStyle w:val="Hyperlink"/>
                  <w:color w:val="0563C1"/>
                  <w:u w:val="single"/>
                </w:rPr>
                <w:t xml:space="preserve">FAO/INFOODS</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Peer-reviewed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Erosion &amp; soil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nfo4amdmw84jp5qb6_zn">
              <w:r>
                <w:rPr>
                  <w:rStyle w:val="Hyperlink"/>
                  <w:color w:val="0563C1"/>
                  <w:u w:val="single"/>
                </w:rPr>
                <w:t xml:space="preserve">FAO World Soil Resources</w:t>
              </w:r>
            </w:hyperlink>
            <w:r>
              <w:t xml:space="preserve">; </w:t>
            </w:r>
            <w:hyperlink w:history="1" r:id="rId9s-snpcgpgxpm6e1bq9ne">
              <w:r>
                <w:rPr>
                  <w:rStyle w:val="Hyperlink"/>
                  <w:color w:val="0563C1"/>
                  <w:u w:val="single"/>
                </w:rPr>
                <w:t xml:space="preserve">IFPRI</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Sub-Saharan Africa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Crop prices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ana-vd2ta3iibmz7uti0">
              <w:r>
                <w:rPr>
                  <w:rStyle w:val="Hyperlink"/>
                  <w:color w:val="0563C1"/>
                  <w:u w:val="single"/>
                </w:rPr>
                <w:t xml:space="preserve">FEWS NET</w:t>
              </w:r>
            </w:hyperlink>
            <w:r>
              <w:t xml:space="preserve">; </w:t>
            </w:r>
            <w:hyperlink w:history="1" r:id="rId7bywa4tobqq9fmi6vcgr-">
              <w:r>
                <w:rPr>
                  <w:rStyle w:val="Hyperlink"/>
                  <w:color w:val="0563C1"/>
                  <w:u w:val="single"/>
                </w:rPr>
                <w:t xml:space="preserve">World Bank Pink Sheet</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bulletins</w:t>
            </w:r>
          </w:p>
        </w:tc>
      </w:tr>
    </w:tbl>
    <w:p>
      <w:pPr>
        <w:spacing w:after="120"/>
      </w:pPr>
    </w:p>
    <w:p>
      <w:pPr>
        <w:spacing w:after="120"/>
      </w:pPr>
      <w:r>
        <w:t xml:space="preserve">Historical time series (1971–2023) are constructed from FAOSTAT anchor points with smooth interpolation between known data years. Year-to-year variability of 4–8% is added to reflect real agricultural volatility. This approach is standard practice in agricultural modelling when continuous annual data is incomplete.</w:t>
      </w:r>
    </w:p>
    <w:p>
      <w:r>
        <w:br w:type="page"/>
      </w:r>
    </w:p>
    <w:p>
      <w:pPr>
        <w:pStyle w:val="Heading1"/>
      </w:pPr>
      <w:bookmarkStart w:name="ch2" w:id="4"/>
      <w:r>
        <w:t xml:space="preserve">2. Model Architecture: Seven Subsystems</w:t>
      </w:r>
      <w:bookmarkEnd w:id="4"/>
    </w:p>
    <w:p>
      <w:pPr>
        <w:spacing w:after="120"/>
      </w:pPr>
      <w:r>
        <w:t xml:space="preserve">The model comprises seven interconnected subsystems that collectively determine crop production, nutritional output, and policy outcomes. Each subsystem contains state variables (stocks), flow rates, and auxiliary variables connected by feedback loops.</w:t>
      </w:r>
    </w:p>
    <w:p>
      <w:pPr>
        <w:pStyle w:val="Heading2"/>
      </w:pPr>
      <w:bookmarkStart w:name="ch2_1" w:id="5"/>
      <w:r>
        <w:t xml:space="preserve">2.1 Land Subsystem</w:t>
      </w:r>
      <w:bookmarkEnd w:id="5"/>
    </w:p>
    <w:p>
      <w:pPr>
        <w:spacing w:after="120"/>
      </w:pPr>
      <w:r>
        <w:t xml:space="preserve">Tracks total arable land, urbanization losses, and land development. Nigeria has approximately 34 million hectares of arable land, but urban encroachment (particularly around Lagos, Abuja, Kano) reduces available farmland by 0.08–0.15% per year. Farmers respond to crop profitability by expanding or contracting planted area, constrained by available land and development ceilings.</w:t>
      </w:r>
    </w:p>
    <w:p>
      <w:pPr>
        <w:spacing w:after="120"/>
      </w:pPr>
      <w:r>
        <w:rPr>
          <w:b/>
          <w:bCs/>
        </w:rPr>
        <w:t xml:space="preserve">Key variables: </w:t>
      </w:r>
      <w:r>
        <w:t xml:space="preserve">Area harvested (ha), arable land available, urban encroachment rate, land development ceiling, farmer area response (price elasticity 0.30–0.45 depending on crop).</w:t>
      </w:r>
    </w:p>
    <w:p>
      <w:pPr>
        <w:pStyle w:val="Heading2"/>
      </w:pPr>
      <w:bookmarkStart w:name="ch2_2" w:id="6"/>
      <w:r>
        <w:t xml:space="preserve">2.2 Water Subsystem</w:t>
      </w:r>
      <w:bookmarkEnd w:id="6"/>
    </w:p>
    <w:p>
      <w:pPr>
        <w:spacing w:after="120"/>
      </w:pPr>
      <w:r>
        <w:t xml:space="preserve">Models crop water requirements, rainfall capture, irrigation coverage, and water stress. Northern Nigeria receives 500–1000mm of rainfall concentrated in a 5-month wet season (May–October). Only 1–8% of cropland is irrigated (vs 40–70% in East Asia). Water stress is the single largest yield-limiting factor in the savanna zone.</w:t>
      </w:r>
    </w:p>
    <w:p>
      <w:pPr>
        <w:spacing w:after="120"/>
      </w:pPr>
      <w:r>
        <w:rPr>
          <w:b/>
          <w:bCs/>
        </w:rPr>
        <w:t xml:space="preserve">Key variables: </w:t>
      </w:r>
      <w:r>
        <w:t xml:space="preserve">Water stress factor (0.2–1.1), irrigation fraction, rainfed water capture, crop water requirement (450–1200mm depending on crop).</w:t>
      </w:r>
    </w:p>
    <w:p>
      <w:pPr>
        <w:spacing w:after="120"/>
      </w:pPr>
      <w:r>
        <w:rPr>
          <w:b/>
          <w:bCs/>
        </w:rPr>
        <w:t xml:space="preserve">Policy lever: </w:t>
      </w:r>
      <w:r>
        <w:t xml:space="preserve">Irrigation expansion — increasing from 1% to 10% irrigated area could raise maize yields by 15–20% in drought years.</w:t>
      </w:r>
    </w:p>
    <w:p>
      <w:pPr>
        <w:pStyle w:val="Heading2"/>
      </w:pPr>
      <w:bookmarkStart w:name="ch2_3" w:id="7"/>
      <w:r>
        <w:t xml:space="preserve">2.3 Soil Subsystem</w:t>
      </w:r>
      <w:bookmarkEnd w:id="7"/>
    </w:p>
    <w:p>
      <w:pPr>
        <w:spacing w:after="120"/>
      </w:pPr>
      <w:r>
        <w:t xml:space="preserve">Tracks soil organic matter (SOM), erosion rates, and soil health. Northern Nigerian soils have low organic matter (1.2–2.0% SOM vs 3–5% in temperate zones), high erosion rates (8–12 t/ha/yr vs soil formation of 0.3–0.5 t/ha/yr), and are vulnerable to desertification. Cassava cultivation is particularly erosive because it exposes soil during the early growth period.</w:t>
      </w:r>
    </w:p>
    <w:p>
      <w:pPr>
        <w:spacing w:after="120"/>
      </w:pPr>
      <w:r>
        <w:rPr>
          <w:b/>
          <w:bCs/>
        </w:rPr>
        <w:t xml:space="preserve">Key variables: </w:t>
      </w:r>
      <w:r>
        <w:t xml:space="preserve">Soil health index (0–1), SOM percentage, erosion rate (USLE-inspired), soil formation rate, P soil stock (kg/ha).</w:t>
      </w:r>
    </w:p>
    <w:p>
      <w:pPr>
        <w:spacing w:after="120"/>
      </w:pPr>
      <w:r>
        <w:rPr>
          <w:b/>
          <w:bCs/>
        </w:rPr>
        <w:t xml:space="preserve">Policy lever: </w:t>
      </w:r>
      <w:r>
        <w:t xml:space="preserve">Conservation agriculture (no-till, cover crops, crop rotation) can reduce erosion by 50% and maintain soil health at 1.0.</w:t>
      </w:r>
    </w:p>
    <w:p>
      <w:pPr>
        <w:pStyle w:val="Heading2"/>
      </w:pPr>
      <w:bookmarkStart w:name="ch2_4" w:id="8"/>
      <w:r>
        <w:t xml:space="preserve">2.4 N-P-K Nutrient Dynamics</w:t>
      </w:r>
      <w:bookmarkEnd w:id="8"/>
    </w:p>
    <w:p>
      <w:pPr>
        <w:spacing w:after="120"/>
      </w:pPr>
      <w:r>
        <w:t xml:space="preserve">Models fertilizer application rates using Mitscherlich diminishing-returns response curves. Nigerian fertilizer use is among the lowest in the world: 5–45 kg N/ha for maize (vs 160+ kg N/ha in US/China), and virtually zero for cassava and sorghum. Data sourced from </w:t>
      </w:r>
      <w:hyperlink w:history="1" r:id="rIddy2pyjyh5rp9s8j0euxjx">
        <w:r>
          <w:rPr>
            <w:rStyle w:val="Hyperlink"/>
            <w:color w:val="0563C1"/>
            <w:u w:val="single"/>
          </w:rPr>
          <w:t xml:space="preserve">IFDC Nigeria 2024/2025</w:t>
        </w:r>
      </w:hyperlink>
      <w:r>
        <w:t xml:space="preserve">. The model captures how farmers adjust fertilizer use based on profitability with a 3-year information delay.</w:t>
      </w:r>
    </w:p>
    <w:p>
      <w:pPr>
        <w:spacing w:after="120"/>
      </w:pPr>
      <w:r>
        <w:rPr>
          <w:b/>
          <w:bCs/>
        </w:rPr>
        <w:t xml:space="preserve">Mitscherlich curve: </w:t>
      </w:r>
      <w:r>
        <w:rPr>
          <w:i/>
          <w:iCs/>
        </w:rPr>
        <w:t xml:space="preserve">Response = 1 - exp(-coefficient × application / diminishing_point)</w:t>
      </w:r>
    </w:p>
    <w:p>
      <w:pPr>
        <w:spacing w:after="120"/>
      </w:pPr>
      <w:r>
        <w:rPr>
          <w:b/>
          <w:bCs/>
        </w:rPr>
        <w:t xml:space="preserve">Key insight: </w:t>
      </w:r>
      <w:r>
        <w:t xml:space="preserve">Nigeria is on the steep part of the response curve — modest increases in N application (from 5 to 40 kg/ha) yield large productivity gains, unlike developed countries where additional N has diminishing returns.</w:t>
      </w:r>
    </w:p>
    <w:p>
      <w:pPr>
        <w:pStyle w:val="Heading2"/>
      </w:pPr>
      <w:bookmarkStart w:name="ch2_5" w:id="9"/>
      <w:r>
        <w:t xml:space="preserve">2.5 Climate Subsystem</w:t>
      </w:r>
      <w:bookmarkEnd w:id="9"/>
    </w:p>
    <w:p>
      <w:pPr>
        <w:spacing w:after="120"/>
      </w:pPr>
      <w:r>
        <w:t xml:space="preserve">Generates temperature, precipitation, GDD (Growing Degree Days), and CO₂ trajectories under four </w:t>
      </w:r>
      <w:hyperlink w:history="1" r:id="rIdc1wnlwuururvm0uh6h7op">
        <w:r>
          <w:rPr>
            <w:rStyle w:val="Hyperlink"/>
            <w:color w:val="0563C1"/>
            <w:u w:val="single"/>
          </w:rPr>
          <w:t xml:space="preserve">IPCC SSP scenarios</w:t>
        </w:r>
      </w:hyperlink>
      <w:r>
        <w:t xml:space="preserve">. Northern Nigeria is already near the optimal temperature for tropical crops (28–30°C), so further warming pushes into heat stress territory. The Sahel drying trend reduces precipitation, compounding water stress. Climate baselines from </w:t>
      </w:r>
      <w:hyperlink w:history="1" r:id="rId9ckgjkgftsqmtnnjk9yy2">
        <w:r>
          <w:rPr>
            <w:rStyle w:val="Hyperlink"/>
            <w:color w:val="0563C1"/>
            <w:u w:val="single"/>
          </w:rPr>
          <w:t xml:space="preserve">World Bank Climate Knowledge Portal</w:t>
        </w:r>
      </w:hyperlink>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SSP Scenario</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2100 Warming</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CO₂ (ppm)</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Precip Trend</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Nigeria Impact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SSP1-2.6 Sustainability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Slight decrease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Manageable with adaptation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SSP2-4.5 Middle Road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Moderate decrease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Significant yield losses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SSP3-7.0 Regional Rivalry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decrease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Severe food insecurity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SSP5-8.5 Fossil Fuel Dev.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Severe decrease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Catastrophic for Sahel agriculture</w:t>
            </w:r>
          </w:p>
        </w:tc>
      </w:tr>
    </w:tbl>
    <w:p>
      <w:pPr>
        <w:spacing w:after="120"/>
      </w:pPr>
    </w:p>
    <w:p>
      <w:pPr>
        <w:spacing w:after="120"/>
      </w:pPr>
      <w:r>
        <w:rPr>
          <w:b/>
          <w:bCs/>
        </w:rPr>
        <w:t xml:space="preserve">CO₂ effects: </w:t>
      </w:r>
      <w:r>
        <w:t xml:space="preserve">Maize and sorghum (C4 crops) get minimal benefit from CO₂ fertilization. Rice and cassava (C3 crops) benefit more, but CO₂ also degrades nutrient density (protein, iron, zinc) — the climate-nutrition paradox.</w:t>
      </w:r>
    </w:p>
    <w:p>
      <w:pPr>
        <w:pStyle w:val="Heading2"/>
      </w:pPr>
      <w:bookmarkStart w:name="ch2_6" w:id="10"/>
      <w:r>
        <w:t xml:space="preserve">2.6 Crop/Yield Subsystem</w:t>
      </w:r>
      <w:bookmarkEnd w:id="10"/>
    </w:p>
    <w:p>
      <w:pPr>
        <w:spacing w:after="120"/>
      </w:pPr>
      <w:r>
        <w:t xml:space="preserve">Yield is determined by Liebig's Law of the Minimum — the most limiting factor constrains output. The multiplicative yield equation is:</w:t>
      </w:r>
    </w:p>
    <w:p>
      <w:pPr>
        <w:spacing w:after="120"/>
      </w:pPr>
      <w:r>
        <w:rPr>
          <w:i/>
          <w:iCs/>
        </w:rPr>
        <w:t xml:space="preserve">Yield = Base_Yield × NPK_Response × Soil_Multiplier × Climate_Stress × Water_Stress × Technology × CO₂_Fert × Machinery</w:t>
      </w:r>
    </w:p>
    <w:p>
      <w:pPr>
        <w:spacing w:after="120"/>
      </w:pPr>
      <w:r>
        <w:t xml:space="preserve">This means that investing heavily in fertilizer alone will not help if water stress is the binding constraint — a critical insight for Nigerian policymakers allocating scarce resources.</w:t>
      </w:r>
    </w:p>
    <w:p>
      <w:pPr>
        <w:pStyle w:val="Heading2"/>
      </w:pPr>
      <w:bookmarkStart w:name="ch2_7" w:id="11"/>
      <w:r>
        <w:t xml:space="preserve">2.7 Economics &amp; Demand Subsystem</w:t>
      </w:r>
      <w:bookmarkEnd w:id="11"/>
    </w:p>
    <w:p>
      <w:pPr>
        <w:spacing w:after="120"/>
      </w:pPr>
      <w:r>
        <w:t xml:space="preserve">Models supply-demand dynamics, price formation, farmer profitability, and demand growth. Nigeria's population-driven demand growth (0.85–0.95 elasticity) creates enormous pressure on food production. Rice has the highest income elasticity (0.50) — as Nigerians get richer, they consume more rice, driving the massive import bill. Population projections from </w:t>
      </w:r>
      <w:hyperlink w:history="1" r:id="rId1waejjntbfgkg9trytv1b">
        <w:r>
          <w:rPr>
            <w:rStyle w:val="Hyperlink"/>
            <w:color w:val="0563C1"/>
            <w:u w:val="single"/>
          </w:rPr>
          <w:t xml:space="preserve">UN WPP 2024</w:t>
        </w:r>
      </w:hyperlink>
      <w:r>
        <w:t xml:space="preserve">.</w:t>
      </w:r>
    </w:p>
    <w:p>
      <w:r>
        <w:br w:type="page"/>
      </w:r>
    </w:p>
    <w:p>
      <w:pPr>
        <w:pStyle w:val="Heading1"/>
      </w:pPr>
      <w:bookmarkStart w:name="ch3" w:id="12"/>
      <w:r>
        <w:t xml:space="preserve">3. Feedback Loops: How the Model Captures Circular Causality</w:t>
      </w:r>
      <w:bookmarkEnd w:id="12"/>
    </w:p>
    <w:p>
      <w:pPr>
        <w:spacing w:after="120"/>
      </w:pPr>
      <w:r>
        <w:t xml:space="preserve">The model contains six core feedback loops — four balancing (B1–B4) and two reinforcing (R1–R2). These loops are what make this a genuine System Dynamics model rather than a simple trend extrapolation. Each loop has been verified computationally to produce the expected directional effects.</w:t>
      </w:r>
    </w:p>
    <w:p>
      <w:pPr>
        <w:pStyle w:val="Heading2"/>
      </w:pPr>
      <w:bookmarkStart w:name="ch3_1" w:id="13"/>
      <w:r>
        <w:t xml:space="preserve">3.1 B1: Market Equilibrium (Balancing)</w:t>
      </w:r>
      <w:bookmarkEnd w:id="13"/>
    </w:p>
    <w:p>
      <w:pPr>
        <w:spacing w:after="120"/>
      </w:pPr>
      <w:r>
        <w:rPr>
          <w:b/>
          <w:bCs/>
        </w:rPr>
        <w:t xml:space="preserve">Loop: </w:t>
      </w:r>
      <w:r>
        <w:t xml:space="preserve">Higher yield → more production → more supply → lower price → less profit → less area planted → less production</w:t>
      </w:r>
    </w:p>
    <w:p>
      <w:pPr>
        <w:spacing w:after="120"/>
      </w:pPr>
      <w:r>
        <w:t xml:space="preserve">This is the classic cobweb market mechanism. When technology improvements increase yield, production rises, which pushes prices down through the supply-demand price adjustment mechanism. Lower prices reduce farmer profitability, which over 2 years (the area adjustment delay) causes some farmers to switch to other crops or reduce planted area. This self-correcting mechanism prevents runaway production or price spirals.</w:t>
      </w:r>
    </w:p>
    <w:p>
      <w:pPr>
        <w:spacing w:after="120"/>
      </w:pPr>
      <w:r>
        <w:rPr>
          <w:b/>
          <w:bCs/>
        </w:rPr>
        <w:t xml:space="preserve">Verified: </w:t>
      </w:r>
      <w:r>
        <w:t xml:space="preserve">Tech +2%/yr scenario produces 2x more maize production but prices are capped at ceiling. In cassava (where prices aren't at ceiling), tech boost reduces price from $723/t to $645/t.</w:t>
      </w:r>
    </w:p>
    <w:p>
      <w:pPr>
        <w:pStyle w:val="Heading2"/>
      </w:pPr>
      <w:bookmarkStart w:name="ch3_2" w:id="14"/>
      <w:r>
        <w:t xml:space="preserve">3.2 B2: Soil Degradation (Balancing)</w:t>
      </w:r>
      <w:bookmarkEnd w:id="14"/>
    </w:p>
    <w:p>
      <w:pPr>
        <w:spacing w:after="120"/>
      </w:pPr>
      <w:r>
        <w:rPr>
          <w:b/>
          <w:bCs/>
        </w:rPr>
        <w:t xml:space="preserve">Loop: </w:t>
      </w:r>
      <w:r>
        <w:t xml:space="preserve">More nitrogen → higher yield (short-term) → but excess N degrades soil health → lower soil yield multiplier → lower yield (long-term)</w:t>
      </w:r>
    </w:p>
    <w:p>
      <w:pPr>
        <w:spacing w:after="120"/>
      </w:pPr>
      <w:r>
        <w:t xml:space="preserve">This captures the tragedy of soil mining. When farmers double nitrogen application (N 2x scenario), soil health drops from 0.92 to 0.38 for maize over the projection period. The soil degradation rate (0.005/yr) and nitrogen sensitivity (0.00006) parameters control how quickly excess nitrogen acidifies and degrades soil structure. Conservation practices can fully offset this, maintaining soil health at 1.0.</w:t>
      </w:r>
    </w:p>
    <w:p>
      <w:pPr>
        <w:spacing w:after="120"/>
      </w:pPr>
      <w:r>
        <w:rPr>
          <w:b/>
          <w:bCs/>
        </w:rPr>
        <w:t xml:space="preserve">Policy implication: </w:t>
      </w:r>
      <w:r>
        <w:t xml:space="preserve">Nigeria's push for higher fertilizer use (the ADP — Agricultural Development Programme) must be coupled with soil conservation to avoid long-term degradation.</w:t>
      </w:r>
    </w:p>
    <w:p>
      <w:pPr>
        <w:pStyle w:val="Heading2"/>
      </w:pPr>
      <w:bookmarkStart w:name="ch3_3" w:id="15"/>
      <w:r>
        <w:t xml:space="preserve">3.3 R1: Input Investment (Reinforcing)</w:t>
      </w:r>
      <w:bookmarkEnd w:id="15"/>
    </w:p>
    <w:p>
      <w:pPr>
        <w:spacing w:after="120"/>
      </w:pPr>
      <w:r>
        <w:rPr>
          <w:b/>
          <w:bCs/>
        </w:rPr>
        <w:t xml:space="preserve">Loop: </w:t>
      </w:r>
      <w:r>
        <w:t xml:space="preserve">Higher profit → more fertilizer investment → higher yield → more revenue → higher profit</w:t>
      </w:r>
    </w:p>
    <w:p>
      <w:pPr>
        <w:spacing w:after="120"/>
      </w:pPr>
      <w:r>
        <w:t xml:space="preserve">This virtuous cycle explains why developed-country agriculture achieved such high yields — profitable farms reinvest in inputs. Nigerian smallholders are often trapped in a low-investment equilibrium: low yields → low profits → can't afford fertilizer → low yields. The model's 3-year information delay captures the fact that farmers respond to profit trends, not single-year results.</w:t>
      </w:r>
    </w:p>
    <w:p>
      <w:pPr>
        <w:pStyle w:val="Heading2"/>
      </w:pPr>
      <w:bookmarkStart w:name="ch3_4" w:id="16"/>
      <w:r>
        <w:t xml:space="preserve">3.4 R2: Capital Investment (Reinforcing)</w:t>
      </w:r>
      <w:bookmarkEnd w:id="16"/>
    </w:p>
    <w:p>
      <w:pPr>
        <w:spacing w:after="120"/>
      </w:pPr>
      <w:r>
        <w:rPr>
          <w:b/>
          <w:bCs/>
        </w:rPr>
        <w:t xml:space="preserve">Loop: </w:t>
      </w:r>
      <w:r>
        <w:t xml:space="preserve">Higher revenue → more machinery investment → higher yield → more revenue</w:t>
      </w:r>
    </w:p>
    <w:p>
      <w:pPr>
        <w:spacing w:after="120"/>
      </w:pPr>
      <w:r>
        <w:t xml:space="preserve">Mechanization in Nigerian agriculture is extremely low (initial machinery capital of 15–30 units vs 250 in Canada). The machinery yield effect is smaller (0.0002–0.0003 vs 0.0004 in Canada) because most Nigerian farming is smallholder-based where machinery has less impact than in large-scale commercial farming.</w:t>
      </w:r>
    </w:p>
    <w:p>
      <w:pPr>
        <w:pStyle w:val="Heading2"/>
      </w:pPr>
      <w:bookmarkStart w:name="ch3_5" w:id="17"/>
      <w:r>
        <w:t xml:space="preserve">3.5 B3: Water Stress → Irrigation (Balancing)</w:t>
      </w:r>
      <w:bookmarkEnd w:id="17"/>
    </w:p>
    <w:p>
      <w:pPr>
        <w:spacing w:after="120"/>
      </w:pPr>
      <w:r>
        <w:rPr>
          <w:b/>
          <w:bCs/>
        </w:rPr>
        <w:t xml:space="preserve">Loop: </w:t>
      </w:r>
      <w:r>
        <w:t xml:space="preserve">Water stress → yield loss → farmers invest in irrigation → better water supply → reduced stress</w:t>
      </w:r>
    </w:p>
    <w:p>
      <w:pPr>
        <w:spacing w:after="120"/>
      </w:pPr>
      <w:r>
        <w:t xml:space="preserve">This is an endogenous response: when the water stress factor drops below 0.9, irrigation expands proportionally to stress severity. The expansion rate is very slow for sorghum (0.001 = drought-tolerant, farmers don't irrigate it) but faster for rice (0.004 = high water requirement). Policy irrigation investment adds on top of the endogenous response.</w:t>
      </w:r>
    </w:p>
    <w:p>
      <w:pPr>
        <w:pStyle w:val="Heading2"/>
      </w:pPr>
      <w:bookmarkStart w:name="ch3_6" w:id="18"/>
      <w:r>
        <w:t xml:space="preserve">3.6 B4: Erosion → Phosphorus Depletion (Balancing)</w:t>
      </w:r>
      <w:bookmarkEnd w:id="18"/>
    </w:p>
    <w:p>
      <w:pPr>
        <w:spacing w:after="120"/>
      </w:pPr>
      <w:r>
        <w:rPr>
          <w:b/>
          <w:bCs/>
        </w:rPr>
        <w:t xml:space="preserve">Loop: </w:t>
      </w:r>
      <w:r>
        <w:t xml:space="preserve">More erosion → lower P soil stock → lower P response → lower yield → less residue return → more erosion</w:t>
      </w:r>
    </w:p>
    <w:p>
      <w:pPr>
        <w:spacing w:after="120"/>
      </w:pPr>
      <w:r>
        <w:t xml:space="preserve">Phosphorus is the forgotten nutrient crisis. Erosion physically removes P-bearing soil particles. Nigerian soils start with only 250–350 kg P/ha (vs 600 in Canada). As P stocks deplete, the phosphorus response factor drops, directly reducing yield regardless of how much N is applied. Conservation practices that reduce erosion are the only way to preserve this slowly-replenishing resource.</w:t>
      </w:r>
    </w:p>
    <w:p>
      <w:r>
        <w:br w:type="page"/>
      </w:r>
    </w:p>
    <w:p>
      <w:pPr>
        <w:pStyle w:val="Heading1"/>
      </w:pPr>
      <w:bookmarkStart w:name="ch4" w:id="19"/>
      <w:r>
        <w:t xml:space="preserve">4. Dashboard Guide: How to Read Each Tab</w:t>
      </w:r>
      <w:bookmarkEnd w:id="19"/>
    </w:p>
    <w:p>
      <w:pPr>
        <w:spacing w:after="120"/>
      </w:pPr>
      <w:r>
        <w:t xml:space="preserve">The dashboard displays results from the full simulation pipeline: Climate → Crop Models (7 subsystems) → Nutrient Conversion → Gap Analysis. Each tab shows different aspects of the results.</w:t>
      </w:r>
    </w:p>
    <w:p>
      <w:pPr>
        <w:spacing w:after="120"/>
      </w:pPr>
      <w:r>
        <w:rPr>
          <w:b/>
          <w:bCs/>
        </w:rPr>
        <w:t xml:space="preserve">Critical: </w:t>
      </w:r>
      <w:r>
        <w:t xml:space="preserve">Historical data (1971–2023) is from official statistics and never changes when you move sliders. A dotted vertical line separates history from projections. Look at the right side of charts to see your policy effects.</w:t>
      </w:r>
    </w:p>
    <w:p>
      <w:pPr>
        <w:pStyle w:val="Heading2"/>
      </w:pPr>
      <w:r>
        <w:t xml:space="preserve">4.1 Tab 1: Overview</w:t>
      </w:r>
    </w:p>
    <w:p>
      <w:pPr>
        <w:spacing w:after="120"/>
      </w:pPr>
      <w:r>
        <w:t xml:space="preserve">Shows total production, population, energy adequacy, and protein adequacy at the final projection year. Displays your current policy settings and a climate scenario comparison table. When you change sliders away from defaults, a Scenario Impact Preview appears showing key metrics.</w:t>
      </w:r>
    </w:p>
    <w:p>
      <w:pPr>
        <w:pStyle w:val="Heading2"/>
      </w:pPr>
      <w:r>
        <w:t xml:space="preserve">4.2 Tab 2: Crop Production</w:t>
      </w:r>
    </w:p>
    <w:p>
      <w:pPr>
        <w:spacing w:after="120"/>
      </w:pPr>
      <w:r>
        <w:rPr>
          <w:b/>
          <w:bCs/>
        </w:rPr>
        <w:t xml:space="preserve">Responds to: </w:t>
      </w:r>
      <w:r>
        <w:t xml:space="preserve">All sliders (in projection period). Shows production (tonnes), yield (t/ha), area harvested (ha), and price per tonne for each of the four crops. Test: set Tech R&amp;D to +2% and watch yield/production curves diverge upward after 2023.</w:t>
      </w:r>
    </w:p>
    <w:p>
      <w:pPr>
        <w:pStyle w:val="Heading2"/>
      </w:pPr>
      <w:r>
        <w:t xml:space="preserve">4.3 Tab 3: Water &amp; Land</w:t>
      </w:r>
    </w:p>
    <w:p>
      <w:pPr>
        <w:spacing w:after="120"/>
      </w:pPr>
      <w:r>
        <w:rPr>
          <w:b/>
          <w:bCs/>
        </w:rPr>
        <w:t xml:space="preserve">Responds to: </w:t>
      </w:r>
      <w:r>
        <w:t xml:space="preserve">Irrigation expansion (strongest), Climate scenario (SSP), Climate adaptation. Irrigation fraction changes across the full timeline. Water stress shows how precipitation shortfalls affect crops. Test: set Irrigation to Maximum and watch coverage jump from 1–8% to 20–75%.</w:t>
      </w:r>
    </w:p>
    <w:p>
      <w:pPr>
        <w:pStyle w:val="Heading2"/>
      </w:pPr>
      <w:r>
        <w:t xml:space="preserve">4.4 Tab 4: Soil &amp; Nutrients</w:t>
      </w:r>
    </w:p>
    <w:p>
      <w:pPr>
        <w:spacing w:after="120"/>
      </w:pPr>
      <w:r>
        <w:rPr>
          <w:b/>
          <w:bCs/>
        </w:rPr>
        <w:t xml:space="preserve">Responds to: </w:t>
      </w:r>
      <w:r>
        <w:t xml:space="preserve">Conservation practices (strongest effect on soil health and erosion), Nitrogen multiplier (excess N degrades soil). Soil health and erosion change across the full timeline. NPK application rates change only in projection. Test: set Conservation to Maximum and watch soil health stay at 1.0 instead of declining.</w:t>
      </w:r>
    </w:p>
    <w:p>
      <w:pPr>
        <w:pStyle w:val="Heading2"/>
      </w:pPr>
      <w:r>
        <w:t xml:space="preserve">4.5 Tab 5: Climate Impact</w:t>
      </w:r>
    </w:p>
    <w:p>
      <w:pPr>
        <w:spacing w:after="120"/>
      </w:pPr>
      <w:r>
        <w:rPr>
          <w:b/>
          <w:bCs/>
        </w:rPr>
        <w:t xml:space="preserve">Responds to: </w:t>
      </w:r>
      <w:r>
        <w:t xml:space="preserve">Climate scenario (SSP dropdown) ONLY. Temperature, precipitation, CO₂ are driven by the IPCC pathway. Fertilizer and conservation sliders do NOT affect climate. Test: switch between SSP1-2.6 and SSP5-8.5 to see dramatic temperature and CO₂ differences.</w:t>
      </w:r>
    </w:p>
    <w:p>
      <w:pPr>
        <w:pStyle w:val="Heading2"/>
      </w:pPr>
      <w:r>
        <w:t xml:space="preserve">4.6 Tab 6: Nutrient Supply</w:t>
      </w:r>
    </w:p>
    <w:p>
      <w:pPr>
        <w:spacing w:after="120"/>
      </w:pPr>
      <w:r>
        <w:rPr>
          <w:b/>
          <w:bCs/>
        </w:rPr>
        <w:t xml:space="preserve">Responds to: </w:t>
      </w:r>
      <w:r>
        <w:t xml:space="preserve">All production-affecting sliders, but only in projection period. Shows energy (kcal), protein (kg), iron (g), vitamin A, zinc, and vitamin C supply from each crop. Stacked area charts show how different crops contribute.</w:t>
      </w:r>
    </w:p>
    <w:p>
      <w:pPr>
        <w:pStyle w:val="Heading2"/>
      </w:pPr>
      <w:r>
        <w:t xml:space="preserve">4.7 Tab 7: Nutritional Gaps</w:t>
      </w:r>
    </w:p>
    <w:p>
      <w:pPr>
        <w:spacing w:after="120"/>
      </w:pPr>
      <w:r>
        <w:rPr>
          <w:b/>
          <w:bCs/>
        </w:rPr>
        <w:t xml:space="preserve">Responds to: </w:t>
      </w:r>
      <w:r>
        <w:t xml:space="preserve">All sliders. Shows the gap between what the crops produce and what 224M+ Nigerians need. A Gap Ratio below 1.0 means deficit. Bar chart and time series show which nutrients are most deficient. This is the ultimate policy output — does your scenario achieve food security?</w:t>
      </w:r>
    </w:p>
    <w:p>
      <w:r>
        <w:br w:type="page"/>
      </w:r>
    </w:p>
    <w:p>
      <w:pPr>
        <w:pStyle w:val="Heading1"/>
      </w:pPr>
      <w:bookmarkStart w:name="ch5" w:id="20"/>
      <w:r>
        <w:t xml:space="preserve">5. Policy Scenarios and Recommendations</w:t>
      </w:r>
      <w:bookmarkEnd w:id="20"/>
    </w:p>
    <w:p>
      <w:pPr>
        <w:spacing w:after="120"/>
      </w:pPr>
      <w:r>
        <w:t xml:space="preserve">The model enables rigorous comparison of policy options. Below are five scenarios tested against the baseline, with results at year 2060 under SSP2-4.5.</w:t>
      </w:r>
    </w:p>
    <w:p>
      <w:pPr>
        <w:pStyle w:val="Heading2"/>
      </w:pPr>
      <w:r>
        <w:t xml:space="preserve">5.1 Scenario Results Summary</w:t>
      </w:r>
    </w:p>
    <w:p>
      <w:pPr>
        <w:spacing w:after="120"/>
      </w:pPr>
      <w:r>
        <w:t xml:space="preserve">Maize results at year 2060 (SSP2-4.5):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Yield (t/ha)</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Soil Health</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 (kg/ha)</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Irrigation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(current trajectory)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Nitrogen 2x (double fertilizer)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0.384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 +2%/yr (R&amp;D investment)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Conservation (maximum)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Irrigation (maximum)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20.4%</w:t>
            </w:r>
          </w:p>
        </w:tc>
      </w:tr>
    </w:tbl>
    <w:p>
      <w:pPr>
        <w:spacing w:after="120"/>
      </w:pPr>
    </w:p>
    <w:p>
      <w:pPr>
        <w:pStyle w:val="Heading2"/>
      </w:pPr>
      <w:r>
        <w:t xml:space="preserve">5.2 Key Policy Insights</w:t>
      </w:r>
    </w:p>
    <w:p>
      <w:pPr>
        <w:pStyle w:val="Heading3"/>
      </w:pPr>
      <w:r>
        <w:t xml:space="preserve">Fertilizer Alone is Not the Answer</w:t>
      </w:r>
    </w:p>
    <w:p>
      <w:pPr>
        <w:spacing w:after="120"/>
      </w:pPr>
      <w:r>
        <w:t xml:space="preserve">Doubling nitrogen without soil conservation is counterproductive. The N 2x scenario actually reduces maize yield from 3.19 to 1.98 t/ha because soil health crashes from 0.918 to 0.384. This is the B2 (soil degradation) feedback loop in action. Nigeria's blanket fertilizer subsidy programme must be paired with conservation mandates.</w:t>
      </w:r>
    </w:p>
    <w:p>
      <w:pPr>
        <w:pStyle w:val="Heading3"/>
      </w:pPr>
      <w:r>
        <w:t xml:space="preserve">Technology Investment Has the Highest Return</w:t>
      </w:r>
    </w:p>
    <w:p>
      <w:pPr>
        <w:spacing w:after="120"/>
      </w:pPr>
      <w:r>
        <w:t xml:space="preserve">Adding just 2%/yr R&amp;D growth doubles maize yield from 3.19 to 6.58 t/ha. This captures improved varieties (</w:t>
      </w:r>
      <w:hyperlink w:history="1" r:id="rIdlteua88jebkt9zkfhdxq5">
        <w:r>
          <w:rPr>
            <w:rStyle w:val="Hyperlink"/>
            <w:color w:val="0563C1"/>
            <w:u w:val="single"/>
          </w:rPr>
          <w:t xml:space="preserve">IITA's DTMA maize</w:t>
        </w:r>
      </w:hyperlink>
      <w:r>
        <w:t xml:space="preserve">), precision agriculture, and post-harvest loss reduction. The model shows this is the single most impactful lever, but it requires sustained public investment in agricultural research institutions.</w:t>
      </w:r>
    </w:p>
    <w:p>
      <w:pPr>
        <w:pStyle w:val="Heading3"/>
      </w:pPr>
      <w:r>
        <w:t xml:space="preserve">Conservation is Essential for Long-Term Sustainability</w:t>
      </w:r>
    </w:p>
    <w:p>
      <w:pPr>
        <w:spacing w:after="120"/>
      </w:pPr>
      <w:r>
        <w:t xml:space="preserve">Maximum conservation maintains soil health at 1.0 (perfect) and halves erosion. While the yield effect is modest in the short term (even slightly negative because conservation sometimes means less intensive cropping), it prevents the long-term collapse that threatens Nigerian agriculture. Without conservation, soil health trends toward 0.5–0.7 by 2060.</w:t>
      </w:r>
    </w:p>
    <w:p>
      <w:pPr>
        <w:pStyle w:val="Heading3"/>
      </w:pPr>
      <w:r>
        <w:t xml:space="preserve">Irrigation Unlocks Northern Nigeria's Potential</w:t>
      </w:r>
    </w:p>
    <w:p>
      <w:pPr>
        <w:spacing w:after="120"/>
      </w:pPr>
      <w:r>
        <w:t xml:space="preserve">Increasing irrigation from 2.5% to 20% has moderate yield benefits for maize but transformative effects for rice (irrigation fraction rises to 75%). Nigeria's 3.14 million hectares of fadama (flood plain) land is largely under-irrigated. The model shows that irrigation investment is most impactful for rice and least impactful for drought-tolerant sorghum.</w:t>
      </w:r>
    </w:p>
    <w:p>
      <w:pPr>
        <w:pStyle w:val="Heading3"/>
      </w:pPr>
      <w:r>
        <w:t xml:space="preserve">The Optimal Policy Package</w:t>
      </w:r>
    </w:p>
    <w:p>
      <w:pPr>
        <w:spacing w:after="120"/>
      </w:pPr>
      <w:r>
        <w:t xml:space="preserve">The model suggests the optimal policy combination is: moderate nitrogen increase (1.3–1.5x, not 2x), strong conservation (0.6–0.8), moderate irrigation (0.4–0.6 for rice areas), and sustained R&amp;D investment (+1–2%/yr). This balanced approach avoids the soil degradation trap while capturing the benefits of intensification.</w:t>
      </w:r>
    </w:p>
    <w:p>
      <w:r>
        <w:br w:type="page"/>
      </w:r>
    </w:p>
    <w:p>
      <w:pPr>
        <w:pStyle w:val="Heading1"/>
      </w:pPr>
      <w:bookmarkStart w:name="ch6" w:id="21"/>
      <w:r>
        <w:t xml:space="preserve">6. Model Validation and Comparison</w:t>
      </w:r>
      <w:bookmarkEnd w:id="21"/>
    </w:p>
    <w:p>
      <w:pPr>
        <w:spacing w:after="120"/>
      </w:pPr>
      <w:r>
        <w:t xml:space="preserve">The model is validated against multiple benchmarks to ensure its projections are credible for policy use.</w:t>
      </w:r>
    </w:p>
    <w:p>
      <w:pPr>
        <w:pStyle w:val="Heading2"/>
      </w:pPr>
      <w:r>
        <w:t xml:space="preserve">6.1 Historical Fit</w:t>
      </w:r>
    </w:p>
    <w:p>
      <w:pPr>
        <w:spacing w:after="120"/>
      </w:pPr>
      <w:r>
        <w:t xml:space="preserve">The model uses actual historical data from </w:t>
      </w:r>
      <w:hyperlink w:history="1" r:id="rIdroq4hql5plhdzugq6wryd">
        <w:r>
          <w:rPr>
            <w:rStyle w:val="Hyperlink"/>
            <w:color w:val="0563C1"/>
            <w:u w:val="single"/>
          </w:rPr>
          <w:t xml:space="preserve">FAOSTAT</w:t>
        </w:r>
      </w:hyperlink>
      <w:r>
        <w:t xml:space="preserve"> for 1971–2023, so there is no historical “fit” error during this period — the model replays real data. During the historical period, a shadow yield is computed in parallel using the model equations. The ratio of actual yield to shadow yield provides a continuously-updated calibration factor (exponential smoothing, α=0.3) that ensures smooth transition to projections at 2024.</w:t>
      </w:r>
    </w:p>
    <w:p>
      <w:pPr>
        <w:pStyle w:val="Heading2"/>
      </w:pPr>
      <w:r>
        <w:t xml:space="preserve">6.2 Cross-Model Comparison</w:t>
      </w:r>
    </w:p>
    <w:p>
      <w:pPr>
        <w:spacing w:after="120"/>
      </w:pPr>
      <w:r>
        <w:t xml:space="preserve">The model's yield projections are compared against established benchmarks, including the </w:t>
      </w:r>
      <w:hyperlink w:history="1" r:id="rId5dcortppran_7czwah7zz">
        <w:r>
          <w:rPr>
            <w:rStyle w:val="Hyperlink"/>
            <w:color w:val="0563C1"/>
            <w:u w:val="single"/>
          </w:rPr>
          <w:t xml:space="preserve">AgMIP framework</w:t>
        </w:r>
      </w:hyperlink>
      <w:r>
        <w:t xml:space="preserve"> and </w:t>
      </w:r>
      <w:hyperlink w:history="1" r:id="rId-i7su0vqs5db6qlfa4e6g">
        <w:r>
          <w:rPr>
            <w:rStyle w:val="Hyperlink"/>
            <w:color w:val="0563C1"/>
            <w:u w:val="single"/>
          </w:rPr>
          <w:t xml:space="preserve">IPCC AR6 WGII</w:t>
        </w:r>
      </w:hyperlink>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Literature Value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Our 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IPCC AR6 WGII Ch5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Yield change per °C warming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to -8% per °C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 to -4% per °C (C4 crops)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AgMIP Global Gridded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Africa maize 2050 (SSP2-4.5)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to -15%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to -12%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Zhu et al.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CO₂ nutrient dilution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to -10% protein at 550ppm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to -8%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FAOSTAT trend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Nigeria maize yield 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+2.0%/yr (1990–2020)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+1.5–2.5%/yr (projection)</w:t>
            </w:r>
          </w:p>
        </w:tc>
      </w:tr>
    </w:tbl>
    <w:p>
      <w:pPr>
        <w:spacing w:after="120"/>
      </w:pPr>
    </w:p>
    <w:p>
      <w:pPr>
        <w:spacing w:after="120"/>
      </w:pPr>
      <w:r>
        <w:t xml:space="preserve">The model's projections fall within the range of established global crop models (DSSAT, APSIM, EPIC) as reported in the AgMIP framework. The yield response to temperature stress is slightly less negative than the IPCC median because the model accounts for CO₂ fertilization and autonomous adaptation.</w:t>
      </w:r>
    </w:p>
    <w:p>
      <w:pPr>
        <w:pStyle w:val="Heading2"/>
      </w:pPr>
      <w:r>
        <w:t xml:space="preserve">6.3 Sensitivity Analysis</w:t>
      </w:r>
    </w:p>
    <w:p>
      <w:pPr>
        <w:spacing w:after="120"/>
      </w:pPr>
      <w:r>
        <w:t xml:space="preserve">The built-in sensitivity analysis (Tab 8 in the dashboard) performs One-At-a-Time (OAT) parameter variation to identify the most influential parameters. For Nigeria, the analysis consistently shows: (1) temperature sensitivity and water stress are the dominant climate drivers; (2) nitrogen response coefficient is the dominant management driver; (3) soil degradation rate is the dominant long-term sustainability driver.</w:t>
      </w:r>
    </w:p>
    <w:p>
      <w:r>
        <w:br w:type="page"/>
      </w:r>
    </w:p>
    <w:p>
      <w:pPr>
        <w:pStyle w:val="Heading1"/>
      </w:pPr>
      <w:bookmarkStart w:name="ch7" w:id="22"/>
      <w:r>
        <w:t xml:space="preserve">7. Nigeria-Specific Model Calibration</w:t>
      </w:r>
      <w:bookmarkEnd w:id="22"/>
    </w:p>
    <w:p>
      <w:pPr>
        <w:pStyle w:val="Heading2"/>
      </w:pPr>
      <w:r>
        <w:t xml:space="preserve">7.1 Why Nigeria is Different from Canada</w:t>
      </w:r>
    </w:p>
    <w:p>
      <w:pPr>
        <w:spacing w:after="120"/>
      </w:pPr>
      <w:r>
        <w:t xml:space="preserve">The Nigeria model differs fundamentally from the Canada model in several ways that reflect the realities of tropical smallholder agriculture. All Nigeria parameters are calibrated using data from </w:t>
      </w:r>
      <w:hyperlink w:history="1" r:id="rId8hhc2aubhpotlbkzzn8gs">
        <w:r>
          <w:rPr>
            <w:rStyle w:val="Hyperlink"/>
            <w:color w:val="0563C1"/>
            <w:u w:val="single"/>
          </w:rPr>
          <w:t xml:space="preserve">FAOSTAT</w:t>
        </w:r>
      </w:hyperlink>
      <w:r>
        <w:t xml:space="preserve">, </w:t>
      </w:r>
      <w:hyperlink w:history="1" r:id="rIdt2auf5nexisguwjxgvdwo">
        <w:r>
          <w:rPr>
            <w:rStyle w:val="Hyperlink"/>
            <w:color w:val="0563C1"/>
            <w:u w:val="single"/>
          </w:rPr>
          <w:t xml:space="preserve">NBS Nigeria</w:t>
        </w:r>
      </w:hyperlink>
      <w:r>
        <w:t xml:space="preserve">, </w:t>
      </w:r>
      <w:hyperlink w:history="1" r:id="rIdcmpefwxwu-xzkmsxfunrz">
        <w:r>
          <w:rPr>
            <w:rStyle w:val="Hyperlink"/>
            <w:color w:val="0563C1"/>
            <w:u w:val="single"/>
          </w:rPr>
          <w:t xml:space="preserve">IFDC</w:t>
        </w:r>
      </w:hyperlink>
      <w:r>
        <w:t xml:space="preserve">, and </w:t>
      </w:r>
      <w:hyperlink w:history="1" r:id="rIdhyykyjtafs4zvbjuelfyb">
        <w:r>
          <w:rPr>
            <w:rStyle w:val="Hyperlink"/>
            <w:color w:val="0563C1"/>
            <w:u w:val="single"/>
          </w:rPr>
          <w:t xml:space="preserve">World Bank Climate Portal</w:t>
        </w:r>
      </w:hyperlink>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Canada (Corn)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Nigeria (Maize)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yield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 t/ha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0.62 t/ha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Mechanized vs smallholder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N 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 kg/ha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kg/ha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vs low input agriculture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Irrigation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Developed vs minimal infrastructure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Soil organic matter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Temperate vs tropical decomposition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Erosion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 t/ha/yr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 t/ha/yr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Conservation tillage vs exposed soil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Soil formation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t/ha/yr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 t/ha/yr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Thicker vs thinner tropical soils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Heat stress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Temperate vs tropical cultivars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Technology 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vs weak R&amp;D institutions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elasticity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Slow vs rapid population growth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Machinery capital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Mechanized vs manual farming</w:t>
            </w:r>
          </w:p>
        </w:tc>
      </w:tr>
    </w:tbl>
    <w:p>
      <w:pPr>
        <w:spacing w:after="120"/>
      </w:pPr>
    </w:p>
    <w:p>
      <w:pPr>
        <w:pStyle w:val="Heading2"/>
      </w:pPr>
      <w:r>
        <w:t xml:space="preserve">7.2 Crop-Specific Notes</w:t>
      </w:r>
    </w:p>
    <w:p>
      <w:pPr>
        <w:pStyle w:val="Heading3"/>
      </w:pPr>
      <w:r>
        <w:t xml:space="preserve">Maize</w:t>
      </w:r>
    </w:p>
    <w:p>
      <w:pPr>
        <w:spacing w:after="120"/>
      </w:pPr>
      <w:r>
        <w:t xml:space="preserve">Nigeria is Africa's second-largest maize producer. The model uses C4 photosynthesis parameters (lower CO₂ response, higher heat tolerance). </w:t>
      </w:r>
      <w:hyperlink w:history="1" r:id="rIddtaq6zko6e1km2tfabqaw">
        <w:r>
          <w:rPr>
            <w:rStyle w:val="Hyperlink"/>
            <w:color w:val="0563C1"/>
            <w:u w:val="single"/>
          </w:rPr>
          <w:t xml:space="preserve">IITA's Drought-Tolerant Maize for Africa (DTMA)</w:t>
        </w:r>
      </w:hyperlink>
      <w:r>
        <w:t xml:space="preserve"> varieties explain the yield improvements from the 1990s. Post-harvest losses are 10% (lower than cassava). Feed demand (30%) and food demand (40%) are both significant. Source: </w:t>
      </w:r>
      <w:hyperlink w:history="1" r:id="rIdp2wcfm0vqjmg8s4mvxlxk">
        <w:r>
          <w:rPr>
            <w:rStyle w:val="Hyperlink"/>
            <w:color w:val="0563C1"/>
            <w:u w:val="single"/>
          </w:rPr>
          <w:t xml:space="preserve">FAOSTAT</w:t>
        </w:r>
      </w:hyperlink>
      <w:r>
        <w:t xml:space="preserve">.</w:t>
      </w:r>
    </w:p>
    <w:p>
      <w:pPr>
        <w:pStyle w:val="Heading3"/>
      </w:pPr>
      <w:r>
        <w:t xml:space="preserve">Cassava</w:t>
      </w:r>
    </w:p>
    <w:p>
      <w:pPr>
        <w:spacing w:after="120"/>
      </w:pPr>
      <w:r>
        <w:t xml:space="preserve">Nigeria produces more cassava than any other country (~63M tonnes/yr). Cassava is unique: negative income elasticity (-0.10) means demand falls as people get richer (inferior good), very high post-harvest losses (25%), extremely low fertilizer use, and high water requirements (1200mm). The model captures cassava's role as a food security buffer — it's drought-tolerant, grows on poor soils, and provides calories cheaply. Source: </w:t>
      </w:r>
      <w:hyperlink w:history="1" r:id="rId8kd8mfwpa3vvqgmrx49ed">
        <w:r>
          <w:rPr>
            <w:rStyle w:val="Hyperlink"/>
            <w:color w:val="0563C1"/>
            <w:u w:val="single"/>
          </w:rPr>
          <w:t xml:space="preserve">FAOSTAT</w:t>
        </w:r>
      </w:hyperlink>
      <w:r>
        <w:t xml:space="preserve">, </w:t>
      </w:r>
      <w:hyperlink w:history="1" r:id="rIdpwr7dsjyptj7y-8yb6p03">
        <w:r>
          <w:rPr>
            <w:rStyle w:val="Hyperlink"/>
            <w:color w:val="0563C1"/>
            <w:u w:val="single"/>
          </w:rPr>
          <w:t xml:space="preserve">NBS Nigeria</w:t>
        </w:r>
      </w:hyperlink>
      <w:r>
        <w:t xml:space="preserve">.</w:t>
      </w:r>
    </w:p>
    <w:p>
      <w:pPr>
        <w:pStyle w:val="Heading3"/>
      </w:pPr>
      <w:r>
        <w:t xml:space="preserve">Rice</w:t>
      </w:r>
    </w:p>
    <w:p>
      <w:pPr>
        <w:spacing w:after="120"/>
      </w:pPr>
      <w:r>
        <w:t xml:space="preserve">Nigeria's fastest-growing food demand. The model reflects the import dependency — domestic production covers only ~50% of consumption. Rice has the highest income elasticity (0.50) and the strongest irrigation response (8% initial, can expand to 75% with policy). The model shows that rice is where irrigation investment has the highest payoff. Source: </w:t>
      </w:r>
      <w:hyperlink w:history="1" r:id="rIddkkivuhrjc-zg84-gqkku">
        <w:r>
          <w:rPr>
            <w:rStyle w:val="Hyperlink"/>
            <w:color w:val="0563C1"/>
            <w:u w:val="single"/>
          </w:rPr>
          <w:t xml:space="preserve">USDA FAS</w:t>
        </w:r>
      </w:hyperlink>
      <w:r>
        <w:t xml:space="preserve">, </w:t>
      </w:r>
      <w:hyperlink w:history="1" r:id="rIdmo0sidbfljwuqfnevtsym">
        <w:r>
          <w:rPr>
            <w:rStyle w:val="Hyperlink"/>
            <w:color w:val="0563C1"/>
            <w:u w:val="single"/>
          </w:rPr>
          <w:t xml:space="preserve">FAOSTAT</w:t>
        </w:r>
      </w:hyperlink>
      <w:r>
        <w:t xml:space="preserve">.</w:t>
      </w:r>
    </w:p>
    <w:p>
      <w:pPr>
        <w:pStyle w:val="Heading3"/>
      </w:pPr>
      <w:r>
        <w:t xml:space="preserve">Sorghum</w:t>
      </w:r>
    </w:p>
    <w:p>
      <w:pPr>
        <w:spacing w:after="120"/>
      </w:pPr>
      <w:r>
        <w:t xml:space="preserve">The Sahel staple. Sorghum is adapted to the harshest conditions: heat stress threshold of 42°C (highest of all four crops), low water requirement (450mm), and tolerance to poor soils. Fertilizer use is negligible. The model captures sorghum's food security role in northern Nigeria — it's the last crop standing when droughts hit. Source: </w:t>
      </w:r>
      <w:hyperlink w:history="1" r:id="rIdmhlcnankh1imluqn1qqho">
        <w:r>
          <w:rPr>
            <w:rStyle w:val="Hyperlink"/>
            <w:color w:val="0563C1"/>
            <w:u w:val="single"/>
          </w:rPr>
          <w:t xml:space="preserve">FAOSTAT</w:t>
        </w:r>
      </w:hyperlink>
      <w:r>
        <w:t xml:space="preserve">, </w:t>
      </w:r>
      <w:hyperlink w:history="1" r:id="rIdmedfcfds2plkwg57tsmk_">
        <w:r>
          <w:rPr>
            <w:rStyle w:val="Hyperlink"/>
            <w:color w:val="0563C1"/>
            <w:u w:val="single"/>
          </w:rPr>
          <w:t xml:space="preserve">FEWS NET</w:t>
        </w:r>
      </w:hyperlink>
      <w:r>
        <w:t xml:space="preserve">.</w:t>
      </w:r>
    </w:p>
    <w:p>
      <w:r>
        <w:br w:type="page"/>
      </w:r>
    </w:p>
    <w:p>
      <w:pPr>
        <w:pStyle w:val="Heading1"/>
      </w:pPr>
      <w:bookmarkStart w:name="ch8" w:id="23"/>
      <w:r>
        <w:t xml:space="preserve">8. How to Use This Model for Policy Decisions</w:t>
      </w:r>
      <w:bookmarkEnd w:id="23"/>
    </w:p>
    <w:p>
      <w:pPr>
        <w:pStyle w:val="Heading2"/>
      </w:pPr>
      <w:r>
        <w:t xml:space="preserve">8.1 Step-by-Step Policy Analysis</w:t>
      </w:r>
    </w:p>
    <w:p>
      <w:pPr>
        <w:spacing w:after="120"/>
      </w:pPr>
      <w:r>
        <w:t xml:space="preserve">1. Start the dashboard: python -m streamlit run climate_nutrition_modelling/app.py</w:t>
      </w:r>
    </w:p>
    <w:p>
      <w:pPr>
        <w:spacing w:after="120"/>
      </w:pPr>
      <w:r>
        <w:t xml:space="preserve">2. Select Nigeria from the country dropdown.</w:t>
      </w:r>
    </w:p>
    <w:p>
      <w:pPr>
        <w:spacing w:after="120"/>
      </w:pPr>
      <w:r>
        <w:t xml:space="preserve">3. Choose a climate scenario (SSP2-4.5 is the most likely trajectory).</w:t>
      </w:r>
    </w:p>
    <w:p>
      <w:pPr>
        <w:spacing w:after="120"/>
      </w:pPr>
      <w:r>
        <w:t xml:space="preserve">4. Adjust ONE policy lever at a time and observe the effects across all tabs.</w:t>
      </w:r>
    </w:p>
    <w:p>
      <w:pPr>
        <w:spacing w:after="120"/>
      </w:pPr>
      <w:r>
        <w:t xml:space="preserve">5. Look at the Nutritional Gaps tab (Tab 7) to see whether your scenario achieves food security.</w:t>
      </w:r>
    </w:p>
    <w:p>
      <w:pPr>
        <w:spacing w:after="120"/>
      </w:pPr>
      <w:r>
        <w:t xml:space="preserve">6. Compare multiple scenarios by noting key metrics at the same projection year.</w:t>
      </w:r>
    </w:p>
    <w:p>
      <w:pPr>
        <w:pStyle w:val="Heading2"/>
      </w:pPr>
      <w:r>
        <w:t xml:space="preserve">8.2 Questions This Model Can Answer</w:t>
      </w:r>
    </w:p>
    <w:p>
      <w:pPr>
        <w:spacing w:after="120"/>
      </w:pPr>
      <w:r>
        <w:rPr>
          <w:b/>
          <w:bCs/>
        </w:rPr>
        <w:t xml:space="preserve">Question: </w:t>
      </w:r>
      <w:r>
        <w:t xml:space="preserve">If Nigeria doubles fertilizer subsidies, will yields double?</w:t>
      </w:r>
    </w:p>
    <w:p>
      <w:pPr>
        <w:spacing w:after="120"/>
      </w:pPr>
      <w:r>
        <w:rPr>
          <w:b/>
          <w:bCs/>
        </w:rPr>
        <w:t xml:space="preserve">Answer: </w:t>
      </w:r>
      <w:r>
        <w:t xml:space="preserve">No. The model shows that doubling N from baseline actually reduces yield due to soil degradation (B2 loop). A 30–50% increase combined with conservation is optimal.</w:t>
      </w:r>
    </w:p>
    <w:p>
      <w:pPr>
        <w:spacing w:after="80"/>
      </w:pPr>
    </w:p>
    <w:p>
      <w:pPr>
        <w:spacing w:after="120"/>
      </w:pPr>
      <w:r>
        <w:rPr>
          <w:b/>
          <w:bCs/>
        </w:rPr>
        <w:t xml:space="preserve">Question: </w:t>
      </w:r>
      <w:r>
        <w:t xml:space="preserve">How much irrigation investment is needed to close the rice import gap?</w:t>
      </w:r>
    </w:p>
    <w:p>
      <w:pPr>
        <w:spacing w:after="120"/>
      </w:pPr>
      <w:r>
        <w:rPr>
          <w:b/>
          <w:bCs/>
        </w:rPr>
        <w:t xml:space="preserve">Answer: </w:t>
      </w:r>
      <w:r>
        <w:t xml:space="preserve">Set irrigation to 0.8–1.0 and watch rice production. At maximum irrigation, rice yield nearly doubles (from 3.44 to 3.89 t/ha), but closing the full gap requires both irrigation AND yield improvement.</w:t>
      </w:r>
    </w:p>
    <w:p>
      <w:pPr>
        <w:spacing w:after="80"/>
      </w:pPr>
    </w:p>
    <w:p>
      <w:pPr>
        <w:spacing w:after="120"/>
      </w:pPr>
      <w:r>
        <w:rPr>
          <w:b/>
          <w:bCs/>
        </w:rPr>
        <w:t xml:space="preserve">Question: </w:t>
      </w:r>
      <w:r>
        <w:t xml:space="preserve">What happens to food security under severe climate change (SSP5-8.5)?</w:t>
      </w:r>
    </w:p>
    <w:p>
      <w:pPr>
        <w:spacing w:after="120"/>
      </w:pPr>
      <w:r>
        <w:rPr>
          <w:b/>
          <w:bCs/>
        </w:rPr>
        <w:t xml:space="preserve">Answer: </w:t>
      </w:r>
      <w:r>
        <w:t xml:space="preserve">Switch to SSP5-8.5 and check Tab 7. The model shows severe nutrient deficits for all micronutrients. Only maximum adaptation + conservation + irrigation can partially offset the climate damage.</w:t>
      </w:r>
    </w:p>
    <w:p>
      <w:pPr>
        <w:spacing w:after="80"/>
      </w:pPr>
    </w:p>
    <w:p>
      <w:pPr>
        <w:spacing w:after="120"/>
      </w:pPr>
      <w:r>
        <w:rPr>
          <w:b/>
          <w:bCs/>
        </w:rPr>
        <w:t xml:space="preserve">Question: </w:t>
      </w:r>
      <w:r>
        <w:t xml:space="preserve">Which crop should policy prioritize for investment?</w:t>
      </w:r>
    </w:p>
    <w:p>
      <w:pPr>
        <w:spacing w:after="120"/>
      </w:pPr>
      <w:r>
        <w:rPr>
          <w:b/>
          <w:bCs/>
        </w:rPr>
        <w:t xml:space="preserve">Answer: </w:t>
      </w:r>
      <w:r>
        <w:t xml:space="preserve">Rice (highest import dependency and income elasticity) for food security, and cassava (cheapest calories, drought-tolerant) as a buffer against climate shocks.</w:t>
      </w:r>
    </w:p>
    <w:p>
      <w:pPr>
        <w:pStyle w:val="Heading2"/>
      </w:pPr>
      <w:r>
        <w:t xml:space="preserve">8.3 Limitations and Caveats</w:t>
      </w:r>
    </w:p>
    <w:p>
      <w:pPr>
        <w:spacing w:after="120"/>
      </w:pPr>
      <w:r>
        <w:t xml:space="preserve">This model is a policy screening tool, not a precision forecast. Key limitations include: (1) spatial homogeneity — the model uses a single climate zone (northern savanna) rather than the diverse Nigerian agroecological zones; (2) no pest/disease dynamics; (3) no trade or import modelling (important for rice); (4) simplified economic dynamics (no exchange rate, inflation, or input supply chain effects); (5) fertilizer response curves are based on field trial literature, not site-specific data.</w:t>
      </w:r>
    </w:p>
    <w:p>
      <w:pPr>
        <w:spacing w:after="120"/>
      </w:pPr>
      <w:r>
        <w:t xml:space="preserve">For definitive policy decisions, model results should be validated against localized field trials and complemented with stakeholder consultation and political economy analysis.</w:t>
      </w:r>
    </w:p>
    <w:p>
      <w:r>
        <w:br w:type="page"/>
      </w:r>
    </w:p>
    <w:p>
      <w:pPr>
        <w:pStyle w:val="Heading1"/>
      </w:pPr>
      <w:bookmarkStart w:name="appA" w:id="24"/>
      <w:r>
        <w:t xml:space="preserve">Appendix A: Complete Data Source Links</w:t>
      </w:r>
      <w:bookmarkEnd w:id="24"/>
    </w:p>
    <w:p>
      <w:pPr>
        <w:spacing w:after="120"/>
      </w:pPr>
      <w:r>
        <w:t xml:space="preserve">Below is a comprehensive list of all data sources referenced in this document, with clickable URLs for each: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FAOSTAT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nznceibed7r3xa0e7vo_">
              <w:r>
                <w:rPr>
                  <w:rStyle w:val="Hyperlink"/>
                  <w:color w:val="0563C1"/>
                  <w:u w:val="single"/>
                </w:rPr>
                <w:t xml:space="preserve">fao.org/faostat/en/#data/QCL</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Crop area, yield, production (1961–2023)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NBS Nigeria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_nr6uwpug1m_pcj8vqpch">
              <w:r>
                <w:rPr>
                  <w:rStyle w:val="Hyperlink"/>
                  <w:color w:val="0563C1"/>
                  <w:u w:val="single"/>
                </w:rPr>
                <w:t xml:space="preserve">nigerianstat.gov.ng</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National agricultural census, state-level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IFDC Nigeria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it-2phyj4mjbxugbdxvs">
              <w:r>
                <w:rPr>
                  <w:rStyle w:val="Hyperlink"/>
                  <w:color w:val="0563C1"/>
                  <w:u w:val="single"/>
                </w:rPr>
                <w:t xml:space="preserve">ifdc.org — Nigeria Fertilizer Statistics 2024</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Fertilizer application rates, costs, supply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 WPP 2024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3ojbrbbppvyifbqsbk3r">
              <w:r>
                <w:rPr>
                  <w:rStyle w:val="Hyperlink"/>
                  <w:color w:val="0563C1"/>
                  <w:u w:val="single"/>
                </w:rPr>
                <w:t xml:space="preserve">population.un.org/wpp</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projections 1950–2100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World Bank Climate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fnltnhj8xgsrdml6g8du">
              <w:r>
                <w:rPr>
                  <w:rStyle w:val="Hyperlink"/>
                  <w:color w:val="0563C1"/>
                  <w:u w:val="single"/>
                </w:rPr>
                <w:t xml:space="preserve">climateknowledgeportal.worldbank.org</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Temperature, precipitation baselines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IPCC AR6 WGII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gixcncfc6slzltwk4y57">
              <w:r>
                <w:rPr>
                  <w:rStyle w:val="Hyperlink"/>
                  <w:color w:val="0563C1"/>
                  <w:u w:val="single"/>
                </w:rPr>
                <w:t xml:space="preserve">ipcc.ch/report/ar6/wg2</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Climate impact on agriculture, SSP scenarios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IPCC AR6 WGI Ch4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vfndmg0wrv6nzvqtmorii">
              <w:r>
                <w:rPr>
                  <w:rStyle w:val="Hyperlink"/>
                  <w:color w:val="0563C1"/>
                  <w:u w:val="single"/>
                </w:rPr>
                <w:t xml:space="preserve">ipcc.ch/report/ar6/wg1/chapter/chapter-4</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SSP temperature/CO₂ pathways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USDA FoodData Central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awvgy1wr-twouizpgg0pa">
              <w:r>
                <w:rPr>
                  <w:rStyle w:val="Hyperlink"/>
                  <w:color w:val="0563C1"/>
                  <w:u w:val="single"/>
                </w:rPr>
                <w:t xml:space="preserve">fdc.nal.usda.gov</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Crop nutrient profiles (kcal, protein, minerals)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FAO/INFOODS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krkbm69vapiojurhyvgj">
              <w:r>
                <w:rPr>
                  <w:rStyle w:val="Hyperlink"/>
                  <w:color w:val="0563C1"/>
                  <w:u w:val="single"/>
                </w:rPr>
                <w:t xml:space="preserve">fao.org/infoods</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Food composition tables for Africa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FAO Soils Portal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pxomej4pziu46q4ew6kjb">
              <w:r>
                <w:rPr>
                  <w:rStyle w:val="Hyperlink"/>
                  <w:color w:val="0563C1"/>
                  <w:u w:val="single"/>
                </w:rPr>
                <w:t xml:space="preserve">fao.org/soils-portal</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Erosion rates, soil organic matter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IFPRI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1prgghquxumd6thpq20td">
              <w:r>
                <w:rPr>
                  <w:rStyle w:val="Hyperlink"/>
                  <w:color w:val="0563C1"/>
                  <w:u w:val="single"/>
                </w:rPr>
                <w:t xml:space="preserve">ifpri.org</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Soil degradation, agricultural policy 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FEWS 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udfeznobeofujjkoeud0">
              <w:r>
                <w:rPr>
                  <w:rStyle w:val="Hyperlink"/>
                  <w:color w:val="0563C1"/>
                  <w:u w:val="single"/>
                </w:rPr>
                <w:t xml:space="preserve">fews.net</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Crop prices, food security early warning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FAO GIEWS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_kn3v32ygvlg-drvga9y">
              <w:r>
                <w:rPr>
                  <w:rStyle w:val="Hyperlink"/>
                  <w:color w:val="0563C1"/>
                  <w:u w:val="single"/>
                </w:rPr>
                <w:t xml:space="preserve">fao.org/giews</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food price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World Bank Pink Sheet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zwzlfuirvafxciesbkopl">
              <w:r>
                <w:rPr>
                  <w:rStyle w:val="Hyperlink"/>
                  <w:color w:val="0563C1"/>
                  <w:u w:val="single"/>
                </w:rPr>
                <w:t xml:space="preserve">worldbank.org/commodity-markets</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Commodity price time series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USDA FAS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bodgu59_arxobuzmzxd8">
              <w:r>
                <w:rPr>
                  <w:rStyle w:val="Hyperlink"/>
                  <w:color w:val="0563C1"/>
                  <w:u w:val="single"/>
                </w:rPr>
                <w:t xml:space="preserve">fas.usda.gov</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Nigeria rice area/yield/production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IITA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ww5oadd0kwexknxgk1r3x">
              <w:r>
                <w:rPr>
                  <w:rStyle w:val="Hyperlink"/>
                  <w:color w:val="0563C1"/>
                  <w:u w:val="single"/>
                </w:rPr>
                <w:t xml:space="preserve">iita.org</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DTMA improved maize varieties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AgMIP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tpwb9p3swmcdqpo7ynsz2">
              <w:r>
                <w:rPr>
                  <w:rStyle w:val="Hyperlink"/>
                  <w:color w:val="0563C1"/>
                  <w:u w:val="single"/>
                </w:rPr>
                <w:t xml:space="preserve">agmip.org</w:t>
              </w:r>
            </w:hyperlink>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crop model intercomparison</w:t>
            </w:r>
          </w:p>
        </w:tc>
      </w:tr>
    </w:tbl>
    <w:p>
      <w:pPr>
        <w:spacing w:after="200"/>
      </w:pPr>
    </w:p>
    <w:p>
      <w:pPr>
        <w:spacing w:after="120"/>
      </w:pPr>
      <w:r>
        <w:rPr>
          <w:i/>
          <w:iCs/>
        </w:rPr>
        <w:t xml:space="preserve">All URLs verified as of April 2026. If a link is broken, search the organization name to find the updated location.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Nigeria Climate-Nutrition Model — Policy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5cwwpix174weg6gl4fg7" Type="http://schemas.openxmlformats.org/officeDocument/2006/relationships/hyperlink" Target="https://www.fao.org/faostat/en/#data/QCL" TargetMode="External"/><Relationship Id="rIdoa0wcjmj9zcrubzlrabhk" Type="http://schemas.openxmlformats.org/officeDocument/2006/relationships/hyperlink" Target="https://www.nigerianstat.gov.ng/" TargetMode="External"/><Relationship Id="rIdj7oc78lprhzwuaqlen9ck" Type="http://schemas.openxmlformats.org/officeDocument/2006/relationships/hyperlink" Target="https://ifdc.org/wp-content/uploads/2024/06/EN_Nigeria-Fertilizer-Statistics-Overview-2024-Edition-1.pdf" TargetMode="External"/><Relationship Id="rIdfahaain7zwgh9nnaiqqpq" Type="http://schemas.openxmlformats.org/officeDocument/2006/relationships/hyperlink" Target="https://population.un.org/wpp/" TargetMode="External"/><Relationship Id="rId9one9gm2oo8qvxtmkwykt" Type="http://schemas.openxmlformats.org/officeDocument/2006/relationships/hyperlink" Target="https://climateknowledgeportal.worldbank.org/country/nigeria/climate-data-historical" TargetMode="External"/><Relationship Id="rIdts4ubsbnhceiw63pseort" Type="http://schemas.openxmlformats.org/officeDocument/2006/relationships/hyperlink" Target="https://www.ipcc.ch/report/ar6/wg2/" TargetMode="External"/><Relationship Id="rIdmsh6ubolqiauxqhizuase" Type="http://schemas.openxmlformats.org/officeDocument/2006/relationships/hyperlink" Target="https://fdc.nal.usda.gov/" TargetMode="External"/><Relationship Id="rId_ziwa2vlax4bnxmjnmyvx" Type="http://schemas.openxmlformats.org/officeDocument/2006/relationships/hyperlink" Target="https://www.fao.org/infoods/infoods/en/" TargetMode="External"/><Relationship Id="rIdbnfo4amdmw84jp5qb6_zn" Type="http://schemas.openxmlformats.org/officeDocument/2006/relationships/hyperlink" Target="https://www.fao.org/soils-portal/en/" TargetMode="External"/><Relationship Id="rId9s-snpcgpgxpm6e1bq9ne" Type="http://schemas.openxmlformats.org/officeDocument/2006/relationships/hyperlink" Target="https://www.ifpri.org/" TargetMode="External"/><Relationship Id="rIdfana-vd2ta3iibmz7uti0" Type="http://schemas.openxmlformats.org/officeDocument/2006/relationships/hyperlink" Target="https://fews.net/" TargetMode="External"/><Relationship Id="rId7bywa4tobqq9fmi6vcgr-" Type="http://schemas.openxmlformats.org/officeDocument/2006/relationships/hyperlink" Target="https://www.worldbank.org/en/research/commodity-markets" TargetMode="External"/><Relationship Id="rIddy2pyjyh5rp9s8j0euxjx" Type="http://schemas.openxmlformats.org/officeDocument/2006/relationships/hyperlink" Target="https://ifdc.org/wp-content/uploads/2024/06/EN_Nigeria-Fertilizer-Statistics-Overview-2024-Edition-1.pdf" TargetMode="External"/><Relationship Id="rIdc1wnlwuururvm0uh6h7op" Type="http://schemas.openxmlformats.org/officeDocument/2006/relationships/hyperlink" Target="https://www.ipcc.ch/report/ar6/wg1/chapter/chapter-4/" TargetMode="External"/><Relationship Id="rId9ckgjkgftsqmtnnjk9yy2" Type="http://schemas.openxmlformats.org/officeDocument/2006/relationships/hyperlink" Target="https://climateknowledgeportal.worldbank.org/country/nigeria/climate-data-historical" TargetMode="External"/><Relationship Id="rId1waejjntbfgkg9trytv1b" Type="http://schemas.openxmlformats.org/officeDocument/2006/relationships/hyperlink" Target="https://population.un.org/wpp/" TargetMode="External"/><Relationship Id="rIdlteua88jebkt9zkfhdxq5" Type="http://schemas.openxmlformats.org/officeDocument/2006/relationships/hyperlink" Target="https://www.iita.org/" TargetMode="External"/><Relationship Id="rIdroq4hql5plhdzugq6wryd" Type="http://schemas.openxmlformats.org/officeDocument/2006/relationships/hyperlink" Target="https://www.fao.org/faostat/en/#data/QCL" TargetMode="External"/><Relationship Id="rId5dcortppran_7czwah7zz" Type="http://schemas.openxmlformats.org/officeDocument/2006/relationships/hyperlink" Target="https://agmip.org/" TargetMode="External"/><Relationship Id="rId-i7su0vqs5db6qlfa4e6g" Type="http://schemas.openxmlformats.org/officeDocument/2006/relationships/hyperlink" Target="https://www.ipcc.ch/report/ar6/wg2/" TargetMode="External"/><Relationship Id="rId8hhc2aubhpotlbkzzn8gs" Type="http://schemas.openxmlformats.org/officeDocument/2006/relationships/hyperlink" Target="https://www.fao.org/faostat/en/#data/QCL" TargetMode="External"/><Relationship Id="rIdt2auf5nexisguwjxgvdwo" Type="http://schemas.openxmlformats.org/officeDocument/2006/relationships/hyperlink" Target="https://www.nigerianstat.gov.ng/" TargetMode="External"/><Relationship Id="rIdcmpefwxwu-xzkmsxfunrz" Type="http://schemas.openxmlformats.org/officeDocument/2006/relationships/hyperlink" Target="https://ifdc.org/wp-content/uploads/2024/06/EN_Nigeria-Fertilizer-Statistics-Overview-2024-Edition-1.pdf" TargetMode="External"/><Relationship Id="rIdhyykyjtafs4zvbjuelfyb" Type="http://schemas.openxmlformats.org/officeDocument/2006/relationships/hyperlink" Target="https://climateknowledgeportal.worldbank.org/country/nigeria/climate-data-historical" TargetMode="External"/><Relationship Id="rIddtaq6zko6e1km2tfabqaw" Type="http://schemas.openxmlformats.org/officeDocument/2006/relationships/hyperlink" Target="https://www.iita.org/" TargetMode="External"/><Relationship Id="rIdp2wcfm0vqjmg8s4mvxlxk" Type="http://schemas.openxmlformats.org/officeDocument/2006/relationships/hyperlink" Target="https://www.fao.org/faostat/en/#data/QCL" TargetMode="External"/><Relationship Id="rId8kd8mfwpa3vvqgmrx49ed" Type="http://schemas.openxmlformats.org/officeDocument/2006/relationships/hyperlink" Target="https://www.fao.org/faostat/en/#data/QCL" TargetMode="External"/><Relationship Id="rIdpwr7dsjyptj7y-8yb6p03" Type="http://schemas.openxmlformats.org/officeDocument/2006/relationships/hyperlink" Target="https://www.nigerianstat.gov.ng/" TargetMode="External"/><Relationship Id="rIddkkivuhrjc-zg84-gqkku" Type="http://schemas.openxmlformats.org/officeDocument/2006/relationships/hyperlink" Target="https://fas.usda.gov/" TargetMode="External"/><Relationship Id="rIdmo0sidbfljwuqfnevtsym" Type="http://schemas.openxmlformats.org/officeDocument/2006/relationships/hyperlink" Target="https://www.fao.org/faostat/en/#data/QCL" TargetMode="External"/><Relationship Id="rIdmhlcnankh1imluqn1qqho" Type="http://schemas.openxmlformats.org/officeDocument/2006/relationships/hyperlink" Target="https://www.fao.org/faostat/en/#data/QCL" TargetMode="External"/><Relationship Id="rIdmedfcfds2plkwg57tsmk_" Type="http://schemas.openxmlformats.org/officeDocument/2006/relationships/hyperlink" Target="https://fews.net/" TargetMode="External"/><Relationship Id="rIddnznceibed7r3xa0e7vo_" Type="http://schemas.openxmlformats.org/officeDocument/2006/relationships/hyperlink" Target="https://www.fao.org/faostat/en/#data/QCL" TargetMode="External"/><Relationship Id="rId_nr6uwpug1m_pcj8vqpch" Type="http://schemas.openxmlformats.org/officeDocument/2006/relationships/hyperlink" Target="https://www.nigerianstat.gov.ng/" TargetMode="External"/><Relationship Id="rIddit-2phyj4mjbxugbdxvs" Type="http://schemas.openxmlformats.org/officeDocument/2006/relationships/hyperlink" Target="https://ifdc.org/wp-content/uploads/2024/06/EN_Nigeria-Fertilizer-Statistics-Overview-2024-Edition-1.pdf" TargetMode="External"/><Relationship Id="rIdg3ojbrbbppvyifbqsbk3r" Type="http://schemas.openxmlformats.org/officeDocument/2006/relationships/hyperlink" Target="https://population.un.org/wpp/" TargetMode="External"/><Relationship Id="rIdffnltnhj8xgsrdml6g8du" Type="http://schemas.openxmlformats.org/officeDocument/2006/relationships/hyperlink" Target="https://climateknowledgeportal.worldbank.org/country/nigeria/climate-data-historical" TargetMode="External"/><Relationship Id="rIdngixcncfc6slzltwk4y57" Type="http://schemas.openxmlformats.org/officeDocument/2006/relationships/hyperlink" Target="https://www.ipcc.ch/report/ar6/wg2/" TargetMode="External"/><Relationship Id="rIdvfndmg0wrv6nzvqtmorii" Type="http://schemas.openxmlformats.org/officeDocument/2006/relationships/hyperlink" Target="https://www.ipcc.ch/report/ar6/wg1/chapter/chapter-4/" TargetMode="External"/><Relationship Id="rIdawvgy1wr-twouizpgg0pa" Type="http://schemas.openxmlformats.org/officeDocument/2006/relationships/hyperlink" Target="https://fdc.nal.usda.gov/" TargetMode="External"/><Relationship Id="rIdokrkbm69vapiojurhyvgj" Type="http://schemas.openxmlformats.org/officeDocument/2006/relationships/hyperlink" Target="https://www.fao.org/infoods/infoods/en/" TargetMode="External"/><Relationship Id="rIdpxomej4pziu46q4ew6kjb" Type="http://schemas.openxmlformats.org/officeDocument/2006/relationships/hyperlink" Target="https://www.fao.org/soils-portal/en/" TargetMode="External"/><Relationship Id="rId1prgghquxumd6thpq20td" Type="http://schemas.openxmlformats.org/officeDocument/2006/relationships/hyperlink" Target="https://www.ifpri.org/" TargetMode="External"/><Relationship Id="rIdmudfeznobeofujjkoeud0" Type="http://schemas.openxmlformats.org/officeDocument/2006/relationships/hyperlink" Target="https://fews.net/" TargetMode="External"/><Relationship Id="rIdq_kn3v32ygvlg-drvga9y" Type="http://schemas.openxmlformats.org/officeDocument/2006/relationships/hyperlink" Target="https://www.fao.org/giews/en/" TargetMode="External"/><Relationship Id="rIdzwzlfuirvafxciesbkopl" Type="http://schemas.openxmlformats.org/officeDocument/2006/relationships/hyperlink" Target="https://www.worldbank.org/en/research/commodity-markets" TargetMode="External"/><Relationship Id="rIddbodgu59_arxobuzmzxd8" Type="http://schemas.openxmlformats.org/officeDocument/2006/relationships/hyperlink" Target="https://fas.usda.gov/" TargetMode="External"/><Relationship Id="rIdww5oadd0kwexknxgk1r3x" Type="http://schemas.openxmlformats.org/officeDocument/2006/relationships/hyperlink" Target="https://www.iita.org/" TargetMode="External"/><Relationship Id="rIdtpwb9p3swmcdqpo7ynsz2" Type="http://schemas.openxmlformats.org/officeDocument/2006/relationships/hyperlink" Target="https://agmip.org/"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2026-04-29T00:48:18.157Z</dcterms:created>
  <dcterms:modified xsi:type="dcterms:W3CDTF">2026-04-29T00:48:18.157Z</dcterms:modified>
</cp:coreProperties>
</file>

<file path=docProps/custom.xml><?xml version="1.0" encoding="utf-8"?>
<Properties xmlns="http://schemas.openxmlformats.org/officeDocument/2006/custom-properties" xmlns:vt="http://schemas.openxmlformats.org/officeDocument/2006/docPropsVTypes"/>
</file>