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36"/>
        </w:rPr>
        <w:t>Design Document — Clinical Agentic AI</w:t>
      </w:r>
    </w:p>
    <w:p>
      <w:pPr>
        <w:spacing w:after="120"/>
        <w:jc w:val="both"/>
      </w:pPr>
      <w:r>
        <w:rPr>
          <w:rFonts w:ascii="Calibri" w:hAnsi="Calibri"/>
          <w:b/>
          <w:color w:val="000000"/>
        </w:rPr>
        <w:t>Author:</w:t>
      </w:r>
      <w:r>
        <w:rPr>
          <w:rFonts w:ascii="Calibri" w:hAnsi="Calibri"/>
          <w:color w:val="000000"/>
        </w:rPr>
        <w:t xml:space="preserve"> Manan Anand</w:t>
      </w:r>
    </w:p>
    <w:p>
      <w:pPr>
        <w:spacing w:after="120"/>
        <w:jc w:val="both"/>
      </w:pPr>
      <w:r>
        <w:rPr>
          <w:rFonts w:ascii="Calibri" w:hAnsi="Calibri"/>
          <w:b/>
          <w:color w:val="000000"/>
        </w:rPr>
        <w:t>Subject:</w:t>
      </w:r>
      <w:r>
        <w:rPr>
          <w:rFonts w:ascii="Calibri" w:hAnsi="Calibri"/>
          <w:color w:val="000000"/>
        </w:rPr>
        <w:t xml:space="preserve"> A multi-agent system that turns a clinical dataset and a derivation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specification into an analysis-ready table with a full audit trail, suitable for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regulated clinical work.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1. Problem framing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Clinical data workflows take structured input datasets and transform them into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analysis-ready outputs that drive reporting, regulatory submission, and clinical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decision-making. The work has to balance four pressures that are often in tension:</w:t>
      </w:r>
    </w:p>
    <w:p>
      <w:pPr>
        <w:pStyle w:val="ListBullet"/>
      </w:pPr>
      <w:r>
        <w:rPr>
          <w:rFonts w:ascii="Calibri" w:hAnsi="Calibri"/>
          <w:b/>
          <w:color w:val="000000"/>
        </w:rPr>
        <w:t>Automation.</w:t>
      </w:r>
      <w:r>
        <w:rPr>
          <w:rFonts w:ascii="Calibri" w:hAnsi="Calibri"/>
          <w:color w:val="000000"/>
        </w:rPr>
        <w:t xml:space="preserve"> A study can have hundreds of derived variables; manual coding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does not scale.</w:t>
      </w:r>
    </w:p>
    <w:p>
      <w:pPr>
        <w:pStyle w:val="ListBullet"/>
      </w:pPr>
      <w:r>
        <w:rPr>
          <w:rFonts w:ascii="Calibri" w:hAnsi="Calibri"/>
          <w:b/>
          <w:color w:val="000000"/>
        </w:rPr>
        <w:t>Correctness.</w:t>
      </w:r>
      <w:r>
        <w:rPr>
          <w:rFonts w:ascii="Calibri" w:hAnsi="Calibri"/>
          <w:color w:val="000000"/>
        </w:rPr>
        <w:t xml:space="preserve"> Each cell must be defensible against an auditor.</w:t>
      </w:r>
    </w:p>
    <w:p>
      <w:pPr>
        <w:pStyle w:val="ListBullet"/>
      </w:pPr>
      <w:r>
        <w:rPr>
          <w:rFonts w:ascii="Calibri" w:hAnsi="Calibri"/>
          <w:b/>
          <w:color w:val="000000"/>
        </w:rPr>
        <w:t>Auditability.</w:t>
      </w:r>
      <w:r>
        <w:rPr>
          <w:rFonts w:ascii="Calibri" w:hAnsi="Calibri"/>
          <w:color w:val="000000"/>
        </w:rPr>
        <w:t xml:space="preserve"> Reproducing any output value from its inputs is non-negotiable.</w:t>
      </w:r>
    </w:p>
    <w:p>
      <w:pPr>
        <w:pStyle w:val="ListBullet"/>
      </w:pPr>
      <w:r>
        <w:rPr>
          <w:rFonts w:ascii="Calibri" w:hAnsi="Calibri"/>
          <w:b/>
          <w:color w:val="000000"/>
        </w:rPr>
        <w:t>Human oversight.</w:t>
      </w:r>
      <w:r>
        <w:rPr>
          <w:rFonts w:ascii="Calibri" w:hAnsi="Calibri"/>
          <w:color w:val="000000"/>
        </w:rPr>
        <w:t xml:space="preserve"> Where the system is uncertain or the rule is high-stakes,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 domain expert has to remain in the loop.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A naive solution — "ask an LLM to write the code" — fails on at least three of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those pressures. The system I built is the alternative: a deterministic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orchestrator drives a fixed sequence of typed agents, each of which has </w:t>
      </w:r>
      <w:r>
        <w:rPr>
          <w:rFonts w:ascii="Calibri" w:hAnsi="Calibri"/>
          <w:i/>
          <w:color w:val="000000"/>
        </w:rPr>
        <w:t>bounded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autonomy. The LLM is a worker, not the controller. That is the central design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choice everything else falls out of.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2. Architecture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2.1 Pipeline shape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orchestrator advances through twelve phases. Three of them are explicit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human-in-the-loop gates; the rest run automatically with safety guards.</w:t>
      </w:r>
    </w:p>
    <w:p>
      <w:pPr>
        <w:spacing w:after="120"/>
        <w:ind w:left="360"/>
      </w:pPr>
      <w:r>
        <w:rPr>
          <w:rFonts w:ascii="Consolas" w:hAnsi="Consolas"/>
          <w:color w:val="000000"/>
          <w:sz w:val="18"/>
        </w:rPr>
        <w:t>INPUT: clinical CSV + derivation spec (YAML, JSON, or CSV)</w:t>
        <w:br/>
        <w:br/>
        <w:t xml:space="preserve">  1. Input Guardrails    : PII scan, schema check, type coercibility</w:t>
        <w:br/>
        <w:t xml:space="preserve">  2. Spec Reviewer       : detect ambiguities; HITL gate G1 on hits</w:t>
        <w:br/>
        <w:t xml:space="preserve">  3. DAG Builder         : Kahn topological sort + cycle detection</w:t>
        <w:br/>
        <w:t xml:space="preserve">  4. Planner             : per-derivation policy (risk class, gates)</w:t>
        <w:br/>
        <w:t xml:space="preserve">  5. Code Generator      : LTM hit -&gt; reuse; else LLM with strict JSON contract</w:t>
        <w:br/>
        <w:t xml:space="preserve">  6. Code Preapproval    : HITL gate G2 (regulatory_critical OR low-confidence)</w:t>
        <w:br/>
        <w:t xml:space="preserve">  7. Static Validator    : AST whitelist on generated code</w:t>
        <w:br/>
        <w:t xml:space="preserve">  8. Test Runner         : declared (input, expected) cases must pass</w:t>
        <w:br/>
        <w:t xml:space="preserve">  9. Executor            : sandboxed per-row evaluation in topological order</w:t>
        <w:br/>
        <w:t xml:space="preserve"> 10. Verifier            : type / allowed_values / null rate / custom invariants</w:t>
        <w:br/>
        <w:t xml:space="preserve"> 11. Refiner             : bounded retries; HITL gate G3 on exhaustion</w:t>
        <w:br/>
        <w:t xml:space="preserve"> 12. Auditor             : audit.json + audit.md, full hash chain</w:t>
        <w:br/>
        <w:br/>
        <w:t>OUTPUT: analysis-ready table + audit trail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2.2 Why I hand-rolled the orchestrator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I chose a deterministic finite-state machine instead of a graph framework like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LangGraph, CrewAI, or AutoGen. The reasoning:</w:t>
      </w:r>
    </w:p>
    <w:p>
      <w:pPr>
        <w:pStyle w:val="ListBullet"/>
      </w:pPr>
      <w:r>
        <w:rPr>
          <w:rFonts w:ascii="Calibri" w:hAnsi="Calibri"/>
          <w:b/>
          <w:color w:val="000000"/>
        </w:rPr>
        <w:t>Transparency.</w:t>
      </w:r>
      <w:r>
        <w:rPr>
          <w:rFonts w:ascii="Calibri" w:hAnsi="Calibri"/>
          <w:color w:val="000000"/>
        </w:rPr>
        <w:t xml:space="preserve"> An auditor or reviewer reads one Python file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(</w:t>
      </w:r>
      <w:r>
        <w:rPr>
          <w:rFonts w:ascii="Consolas" w:hAnsi="Consolas"/>
          <w:color w:val="000000"/>
          <w:sz w:val="20"/>
        </w:rPr>
        <w:t>backend/core/orchestrator.py</w:t>
      </w:r>
      <w:r>
        <w:rPr>
          <w:rFonts w:ascii="Calibri" w:hAnsi="Calibri"/>
          <w:color w:val="000000"/>
        </w:rPr>
        <w:t>) and understands the full control flow. A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graph framework would add implicit semantics the audit defence has to learn.</w:t>
      </w:r>
    </w:p>
    <w:p>
      <w:pPr>
        <w:pStyle w:val="ListBullet"/>
      </w:pPr>
      <w:r>
        <w:rPr>
          <w:rFonts w:ascii="Calibri" w:hAnsi="Calibri"/>
          <w:b/>
          <w:color w:val="000000"/>
        </w:rPr>
        <w:t>First-class HITL pause.</w:t>
      </w:r>
      <w:r>
        <w:rPr>
          <w:rFonts w:ascii="Calibri" w:hAnsi="Calibri"/>
          <w:color w:val="000000"/>
        </w:rPr>
        <w:t xml:space="preserve"> The orchestrator can halt mid-pipeline, persist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state to disk, and re-enter from any checkpoint after an arbitrary delay.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Frameworks that treat human input as just another node make this harder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to reason about and harder to certify.</w:t>
      </w:r>
    </w:p>
    <w:p>
      <w:pPr>
        <w:pStyle w:val="ListBullet"/>
      </w:pPr>
      <w:r>
        <w:rPr>
          <w:rFonts w:ascii="Calibri" w:hAnsi="Calibri"/>
          <w:b/>
          <w:color w:val="000000"/>
        </w:rPr>
        <w:t>Bounded agentic behaviour.</w:t>
      </w:r>
      <w:r>
        <w:rPr>
          <w:rFonts w:ascii="Calibri" w:hAnsi="Calibri"/>
          <w:color w:val="000000"/>
        </w:rPr>
        <w:t xml:space="preserve"> Agents have autonomy </w:t>
      </w:r>
      <w:r>
        <w:rPr>
          <w:rFonts w:ascii="Calibri" w:hAnsi="Calibri"/>
          <w:i/>
          <w:color w:val="000000"/>
        </w:rPr>
        <w:t>inside</w:t>
      </w:r>
      <w:r>
        <w:rPr>
          <w:rFonts w:ascii="Calibri" w:hAnsi="Calibri"/>
          <w:color w:val="000000"/>
        </w:rPr>
        <w:t xml:space="preserve"> their step (LLM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call, memory lookup, retry, escalation) but not over </w:t>
      </w:r>
      <w:r>
        <w:rPr>
          <w:rFonts w:ascii="Calibri" w:hAnsi="Calibri"/>
          <w:i/>
          <w:color w:val="000000"/>
        </w:rPr>
        <w:t>which</w:t>
      </w:r>
      <w:r>
        <w:rPr>
          <w:rFonts w:ascii="Calibri" w:hAnsi="Calibri"/>
          <w:color w:val="000000"/>
        </w:rPr>
        <w:t xml:space="preserve"> step runs next.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The combination gives audit-friendly determinism at the seam level and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intelligent worker behaviour at the leaf level.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2.3 Agents and their responsibilities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Each agent is a typed class with one public method (</w:t>
      </w:r>
      <w:r>
        <w:rPr>
          <w:rFonts w:ascii="Consolas" w:hAnsi="Consolas"/>
          <w:color w:val="000000"/>
          <w:sz w:val="20"/>
        </w:rPr>
        <w:t>run(state) -&gt; state</w:t>
      </w:r>
      <w:r>
        <w:rPr>
          <w:rFonts w:ascii="Calibri" w:hAnsi="Calibri"/>
          <w:color w:val="000000"/>
        </w:rPr>
        <w:t>) and a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single job: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Agent</w:t>
            </w:r>
          </w:p>
        </w:tc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Decides</w:t>
            </w:r>
          </w:p>
        </w:tc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Hard contract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Spec Reviewer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Is this rule unambiguous?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Surface clarifications, never guess silently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DAG Builder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What is the execution order?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Reject cycles or unknown columns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Planner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How critical is each derivation?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Per-derivation policy with hash; may only escalate risk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Code Generator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Memory hit, LLM call, or escalation?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Code must pass static check; reasoning captured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Code Preapproval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Does this batch need a human?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Bundle into a single HITL request with dry-run previews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Static Validator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Is this code safe to run?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AST whitelist; no imports, IO, dunders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Test Runner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Does this code pass declared examples?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Block before full execution if any case fails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Executor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Run the code on the dataset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Per-row error capture; never crashes the run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Verifier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Does the output respect the contract?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Block on out-of-domain or egregious null rate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Refiner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Can the failure be fixed automatically?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Bounded retries (default 3), then escalate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Auditor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Can a regulator reconstruct this run?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Produce hash-chained audit.json + audit.md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000000"/>
          <w:sz w:val="28"/>
        </w:rPr>
        <w:t>3. Dependency handling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Derived variables can consume raw columns and other derived columns. The DAG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Builder constructs a directed graph from </w:t>
      </w:r>
      <w:r>
        <w:rPr>
          <w:rFonts w:ascii="Consolas" w:hAnsi="Consolas"/>
          <w:color w:val="000000"/>
          <w:sz w:val="20"/>
        </w:rPr>
        <w:t>sources</w:t>
      </w:r>
      <w:r>
        <w:rPr>
          <w:rFonts w:ascii="Calibri" w:hAnsi="Calibri"/>
          <w:color w:val="000000"/>
        </w:rPr>
        <w:t xml:space="preserve"> references, runs Kahn's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algorithm with alphabetical tiebreak (deterministic order), and rejects cycles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or references to columns the spec did not declare and that are not another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derivation.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Executor walks targets in topological order, materialising each derived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column into a shared DataFrame so subsequent functions see upstream outputs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through the same </w:t>
      </w:r>
      <w:r>
        <w:rPr>
          <w:rFonts w:ascii="Consolas" w:hAnsi="Consolas"/>
          <w:color w:val="000000"/>
          <w:sz w:val="20"/>
        </w:rPr>
        <w:t>row["name"]</w:t>
      </w:r>
      <w:r>
        <w:rPr>
          <w:rFonts w:ascii="Calibri" w:hAnsi="Calibri"/>
          <w:color w:val="000000"/>
        </w:rPr>
        <w:t xml:space="preserve"> interface as raw inputs. The Code Generator's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prompt explicitly annotates each source as RAW (raw input column with declared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type) or DERIVED (produced by an earlier derivation in this spec, with its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upstream rule shown) so the LLM picks the correct coercion (</w:t>
      </w:r>
      <w:r>
        <w:rPr>
          <w:rFonts w:ascii="Consolas" w:hAnsi="Consolas"/>
          <w:color w:val="000000"/>
          <w:sz w:val="20"/>
        </w:rPr>
        <w:t>to_int</w:t>
      </w:r>
      <w:r>
        <w:rPr>
          <w:rFonts w:ascii="Calibri" w:hAnsi="Calibri"/>
          <w:color w:val="000000"/>
        </w:rPr>
        <w:t>,</w:t>
      </w:r>
    </w:p>
    <w:p>
      <w:pPr>
        <w:spacing w:after="120"/>
        <w:jc w:val="both"/>
      </w:pPr>
      <w:r>
        <w:rPr>
          <w:rFonts w:ascii="Consolas" w:hAnsi="Consolas"/>
          <w:color w:val="000000"/>
          <w:sz w:val="20"/>
        </w:rPr>
        <w:t>to_float</w:t>
      </w:r>
      <w:r>
        <w:rPr>
          <w:rFonts w:ascii="Calibri" w:hAnsi="Calibri"/>
          <w:color w:val="000000"/>
        </w:rPr>
        <w:t>) for derived values.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Multi-level dependency is exercised by the bundled sample spec:</w:t>
      </w:r>
    </w:p>
    <w:p>
      <w:pPr>
        <w:spacing w:after="120"/>
        <w:jc w:val="both"/>
      </w:pPr>
      <w:r>
        <w:rPr>
          <w:rFonts w:ascii="Consolas" w:hAnsi="Consolas"/>
          <w:color w:val="000000"/>
          <w:sz w:val="20"/>
        </w:rPr>
        <w:t>ANALYSIS_POP_FLAG</w:t>
      </w:r>
      <w:r>
        <w:rPr>
          <w:rFonts w:ascii="Calibri" w:hAnsi="Calibri"/>
          <w:color w:val="000000"/>
        </w:rPr>
        <w:t xml:space="preserve"> depends on </w:t>
      </w:r>
      <w:r>
        <w:rPr>
          <w:rFonts w:ascii="Consolas" w:hAnsi="Consolas"/>
          <w:color w:val="000000"/>
          <w:sz w:val="20"/>
        </w:rPr>
        <w:t>TREATMENT_DURATION</w:t>
      </w:r>
      <w:r>
        <w:rPr>
          <w:rFonts w:ascii="Calibri" w:hAnsi="Calibri"/>
          <w:color w:val="000000"/>
        </w:rPr>
        <w:t xml:space="preserve">; </w:t>
      </w:r>
      <w:r>
        <w:rPr>
          <w:rFonts w:ascii="Consolas" w:hAnsi="Consolas"/>
          <w:color w:val="000000"/>
          <w:sz w:val="20"/>
        </w:rPr>
        <w:t>COMPOSITE_RISK_TIER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depends on three Level-2 derivations.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4. Human-in-the-Loop design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4.1 Three gates, each purpose-built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Gate</w:t>
            </w:r>
          </w:p>
        </w:tc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Trigger</w:t>
            </w:r>
          </w:p>
        </w:tc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Reviewer interaction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</w:rPr>
              <w:t>G1 Spec clarifications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Spec Reviewer flags ambiguity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 xml:space="preserve">Per-question text fields; each answer is folded into the corresponding </w:t>
            </w:r>
            <w:r>
              <w:rPr>
                <w:rFonts w:ascii="Consolas" w:hAnsi="Consolas"/>
                <w:color w:val="000000"/>
                <w:sz w:val="18"/>
              </w:rPr>
              <w:t>rule</w:t>
            </w:r>
            <w:r>
              <w:rPr>
                <w:rFonts w:ascii="Calibri" w:hAnsi="Calibri"/>
                <w:color w:val="000000"/>
              </w:rPr>
              <w:t xml:space="preserve"> text before code generation; a new </w:t>
            </w:r>
            <w:r>
              <w:rPr>
                <w:rFonts w:ascii="Consolas" w:hAnsi="Consolas"/>
                <w:color w:val="000000"/>
                <w:sz w:val="18"/>
              </w:rPr>
              <w:t>resolved_spec_hash</w:t>
            </w:r>
            <w:r>
              <w:rPr>
                <w:rFonts w:ascii="Calibri" w:hAnsi="Calibri"/>
                <w:color w:val="000000"/>
              </w:rPr>
              <w:t xml:space="preserve"> is recorded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</w:rPr>
              <w:t>G2 Code preapproval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Planner forced (regulatory_critical) or LLM confidence below threshold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Per-derivation card with rule, reasoning, dry-run preview on first 3 rows; sub-actions approve / edit / regenerate-with-hint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00000"/>
              </w:rPr>
              <w:t>G3 Refiner escalation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Verifier blocks and Refiner exhausts retry budget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Failure context with code + recent findings; an admin reviewer edits Python directly, a domain reviewer describes the fix in plain English</w:t>
            </w:r>
          </w:p>
        </w:tc>
      </w:tr>
    </w:tbl>
    <w:p>
      <w:pPr>
        <w:pStyle w:val="Heading2"/>
      </w:pPr>
      <w:r>
        <w:rPr>
          <w:rFonts w:ascii="Calibri" w:hAnsi="Calibri"/>
          <w:b/>
          <w:color w:val="000000"/>
          <w:sz w:val="24"/>
        </w:rPr>
        <w:t>4.2 Capture model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Every decision becomes an immutable row in </w:t>
      </w:r>
      <w:r>
        <w:rPr>
          <w:rFonts w:ascii="Consolas" w:hAnsi="Consolas"/>
          <w:color w:val="000000"/>
          <w:sz w:val="20"/>
        </w:rPr>
        <w:t>hitl_decisions</w:t>
      </w:r>
      <w:r>
        <w:rPr>
          <w:rFonts w:ascii="Calibri" w:hAnsi="Calibri"/>
          <w:color w:val="000000"/>
        </w:rPr>
        <w:t>: reviewer, action,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structured payload (</w:t>
      </w:r>
      <w:r>
        <w:rPr>
          <w:rFonts w:ascii="Consolas" w:hAnsi="Consolas"/>
          <w:color w:val="000000"/>
          <w:sz w:val="20"/>
        </w:rPr>
        <w:t>clarification_answers</w:t>
      </w:r>
      <w:r>
        <w:rPr>
          <w:rFonts w:ascii="Calibri" w:hAnsi="Calibri"/>
          <w:color w:val="000000"/>
        </w:rPr>
        <w:t xml:space="preserve"> map or </w:t>
      </w:r>
      <w:r>
        <w:rPr>
          <w:rFonts w:ascii="Consolas" w:hAnsi="Consolas"/>
          <w:color w:val="000000"/>
          <w:sz w:val="20"/>
        </w:rPr>
        <w:t>derivation_overrides</w:t>
      </w:r>
      <w:r>
        <w:rPr>
          <w:rFonts w:ascii="Calibri" w:hAnsi="Calibri"/>
          <w:color w:val="000000"/>
        </w:rPr>
        <w:t xml:space="preserve"> map),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timestamp. A parallel row in </w:t>
      </w:r>
      <w:r>
        <w:rPr>
          <w:rFonts w:ascii="Consolas" w:hAnsi="Consolas"/>
          <w:color w:val="000000"/>
          <w:sz w:val="20"/>
        </w:rPr>
        <w:t>audit_entries</w:t>
      </w:r>
      <w:r>
        <w:rPr>
          <w:rFonts w:ascii="Calibri" w:hAnsi="Calibri"/>
          <w:color w:val="000000"/>
        </w:rPr>
        <w:t xml:space="preserve"> records the actor, action, and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run-state hash at decision time. Both tables are append-only — corrections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create new rows, never updates.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4.3 Feedback loops</w:t>
      </w:r>
    </w:p>
    <w:p>
      <w:pPr>
        <w:pStyle w:val="ListBullet"/>
      </w:pPr>
      <w:r>
        <w:rPr>
          <w:rFonts w:ascii="Calibri" w:hAnsi="Calibri"/>
          <w:b/>
          <w:color w:val="000000"/>
        </w:rPr>
        <w:t>Within-run:</w:t>
      </w:r>
      <w:r>
        <w:rPr>
          <w:rFonts w:ascii="Calibri" w:hAnsi="Calibri"/>
          <w:color w:val="000000"/>
        </w:rPr>
        <w:t xml:space="preserve"> clarification answers fold into the rule; the Code Generator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reads the updated rule on the next phase. Per-derivation overrides at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preapproval gate either approve, replace the code, or trigger a regeneration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with the reviewer's plain-English hint woven into the next LLM prompt.</w:t>
      </w:r>
    </w:p>
    <w:p>
      <w:pPr>
        <w:pStyle w:val="ListBullet"/>
      </w:pPr>
      <w:r>
        <w:rPr>
          <w:rFonts w:ascii="Calibri" w:hAnsi="Calibri"/>
          <w:b/>
          <w:color w:val="000000"/>
        </w:rPr>
        <w:t>Cross-run:</w:t>
      </w:r>
      <w:r>
        <w:rPr>
          <w:rFonts w:ascii="Calibri" w:hAnsi="Calibri"/>
          <w:color w:val="000000"/>
        </w:rPr>
        <w:t xml:space="preserve"> answered clarifications are written to </w:t>
      </w:r>
      <w:r>
        <w:rPr>
          <w:rFonts w:ascii="Consolas" w:hAnsi="Consolas"/>
          <w:color w:val="000000"/>
          <w:sz w:val="20"/>
        </w:rPr>
        <w:t>clarification_memory</w:t>
      </w:r>
      <w:r>
        <w:rPr>
          <w:rFonts w:ascii="Calibri" w:hAnsi="Calibri"/>
          <w:color w:val="000000"/>
        </w:rPr>
        <w:t>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keyed by </w:t>
      </w:r>
      <w:r>
        <w:rPr>
          <w:rFonts w:ascii="Consolas" w:hAnsi="Consolas"/>
          <w:color w:val="000000"/>
          <w:sz w:val="20"/>
        </w:rPr>
        <w:t>(target, issue)</w:t>
      </w:r>
      <w:r>
        <w:rPr>
          <w:rFonts w:ascii="Calibri" w:hAnsi="Calibri"/>
          <w:color w:val="000000"/>
        </w:rPr>
        <w:t xml:space="preserve"> signature. The next run that raises a similar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ambiguity sees the previous answer pre-filled.</w:t>
      </w:r>
    </w:p>
    <w:p>
      <w:pPr>
        <w:pStyle w:val="ListBullet"/>
      </w:pPr>
      <w:r>
        <w:rPr>
          <w:rFonts w:ascii="Calibri" w:hAnsi="Calibri"/>
          <w:b/>
          <w:color w:val="000000"/>
        </w:rPr>
        <w:t>System level:</w:t>
      </w:r>
      <w:r>
        <w:rPr>
          <w:rFonts w:ascii="Calibri" w:hAnsi="Calibri"/>
          <w:color w:val="000000"/>
        </w:rPr>
        <w:t xml:space="preserve"> the HITL Quality dashboard surfaces intervention rate,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false-alert rate, memory reuse rate, and decision latency so the review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process itself can be measured and tuned over time.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4.4 Role-gated UI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Domain reviewers see only safe choices: approve, request changes in plain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English, reject. Statistical programmers and senior reviewers (admin) also see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raw code editor. The same backend route handles both — the difference is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purely UI. In production the equivalent server-side check is enforced behind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a </w:t>
      </w:r>
      <w:r>
        <w:rPr>
          <w:rFonts w:ascii="Consolas" w:hAnsi="Consolas"/>
          <w:color w:val="000000"/>
          <w:sz w:val="20"/>
        </w:rPr>
        <w:t>require_admin</w:t>
      </w:r>
      <w:r>
        <w:rPr>
          <w:rFonts w:ascii="Calibri" w:hAnsi="Calibri"/>
          <w:color w:val="000000"/>
        </w:rPr>
        <w:t xml:space="preserve"> dependency on every admin endpoint.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5. Traceability and reproducibility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The audit substrate is six append-only tables: </w:t>
      </w:r>
      <w:r>
        <w:rPr>
          <w:rFonts w:ascii="Consolas" w:hAnsi="Consolas"/>
          <w:color w:val="000000"/>
          <w:sz w:val="20"/>
        </w:rPr>
        <w:t>runs</w:t>
      </w:r>
      <w:r>
        <w:rPr>
          <w:rFonts w:ascii="Calibri" w:hAnsi="Calibri"/>
          <w:color w:val="000000"/>
        </w:rPr>
        <w:t xml:space="preserve">, </w:t>
      </w:r>
      <w:r>
        <w:rPr>
          <w:rFonts w:ascii="Consolas" w:hAnsi="Consolas"/>
          <w:color w:val="000000"/>
          <w:sz w:val="20"/>
        </w:rPr>
        <w:t>agent_events</w:t>
      </w:r>
      <w:r>
        <w:rPr>
          <w:rFonts w:ascii="Calibri" w:hAnsi="Calibri"/>
          <w:color w:val="000000"/>
        </w:rPr>
        <w:t>,</w:t>
      </w:r>
    </w:p>
    <w:p>
      <w:pPr>
        <w:spacing w:after="120"/>
        <w:jc w:val="both"/>
      </w:pPr>
      <w:r>
        <w:rPr>
          <w:rFonts w:ascii="Consolas" w:hAnsi="Consolas"/>
          <w:color w:val="000000"/>
          <w:sz w:val="20"/>
        </w:rPr>
        <w:t>derivations</w:t>
      </w:r>
      <w:r>
        <w:rPr>
          <w:rFonts w:ascii="Calibri" w:hAnsi="Calibri"/>
          <w:color w:val="000000"/>
        </w:rPr>
        <w:t xml:space="preserve">, </w:t>
      </w:r>
      <w:r>
        <w:rPr>
          <w:rFonts w:ascii="Consolas" w:hAnsi="Consolas"/>
          <w:color w:val="000000"/>
          <w:sz w:val="20"/>
        </w:rPr>
        <w:t>validations</w:t>
      </w:r>
      <w:r>
        <w:rPr>
          <w:rFonts w:ascii="Calibri" w:hAnsi="Calibri"/>
          <w:color w:val="000000"/>
        </w:rPr>
        <w:t xml:space="preserve">, </w:t>
      </w:r>
      <w:r>
        <w:rPr>
          <w:rFonts w:ascii="Consolas" w:hAnsi="Consolas"/>
          <w:color w:val="000000"/>
          <w:sz w:val="20"/>
        </w:rPr>
        <w:t>hitl_decisions</w:t>
      </w:r>
      <w:r>
        <w:rPr>
          <w:rFonts w:ascii="Calibri" w:hAnsi="Calibri"/>
          <w:color w:val="000000"/>
        </w:rPr>
        <w:t xml:space="preserve">, </w:t>
      </w:r>
      <w:r>
        <w:rPr>
          <w:rFonts w:ascii="Consolas" w:hAnsi="Consolas"/>
          <w:color w:val="000000"/>
          <w:sz w:val="20"/>
        </w:rPr>
        <w:t>audit_entries</w:t>
      </w:r>
      <w:r>
        <w:rPr>
          <w:rFonts w:ascii="Calibri" w:hAnsi="Calibri"/>
          <w:color w:val="000000"/>
        </w:rPr>
        <w:t>, plus two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long-term memory tables (</w:t>
      </w:r>
      <w:r>
        <w:rPr>
          <w:rFonts w:ascii="Consolas" w:hAnsi="Consolas"/>
          <w:color w:val="000000"/>
          <w:sz w:val="20"/>
        </w:rPr>
        <w:t>memory_patterns</w:t>
      </w:r>
      <w:r>
        <w:rPr>
          <w:rFonts w:ascii="Calibri" w:hAnsi="Calibri"/>
          <w:color w:val="000000"/>
        </w:rPr>
        <w:t xml:space="preserve">, </w:t>
      </w:r>
      <w:r>
        <w:rPr>
          <w:rFonts w:ascii="Consolas" w:hAnsi="Consolas"/>
          <w:color w:val="000000"/>
          <w:sz w:val="20"/>
        </w:rPr>
        <w:t>clarification_memory</w:t>
      </w:r>
      <w:r>
        <w:rPr>
          <w:rFonts w:ascii="Calibri" w:hAnsi="Calibri"/>
          <w:color w:val="000000"/>
        </w:rPr>
        <w:t>). Every row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points back at its inputs through stable hashes.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full hash chain:</w:t>
      </w:r>
    </w:p>
    <w:p>
      <w:pPr>
        <w:spacing w:after="120"/>
        <w:ind w:left="360"/>
      </w:pPr>
      <w:r>
        <w:rPr>
          <w:rFonts w:ascii="Consolas" w:hAnsi="Consolas"/>
          <w:color w:val="000000"/>
          <w:sz w:val="18"/>
        </w:rPr>
        <w:t>spec_hash  -&gt;  resolved_spec_hash  -&gt;  plan_hash  -&gt;  code_hash[per target]  -&gt;  output_hash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Given any output value, an auditor can:</w:t>
      </w:r>
    </w:p>
    <w:p>
      <w:pPr>
        <w:pStyle w:val="ListNumber"/>
      </w:pPr>
      <w:r>
        <w:rPr>
          <w:rFonts w:ascii="Calibri" w:hAnsi="Calibri"/>
          <w:color w:val="000000"/>
        </w:rPr>
        <w:t xml:space="preserve">Find the row in </w:t>
      </w:r>
      <w:r>
        <w:rPr>
          <w:rFonts w:ascii="Consolas" w:hAnsi="Consolas"/>
          <w:color w:val="000000"/>
          <w:sz w:val="20"/>
        </w:rPr>
        <w:t>derivations</w:t>
      </w:r>
      <w:r>
        <w:rPr>
          <w:rFonts w:ascii="Calibri" w:hAnsi="Calibri"/>
          <w:color w:val="000000"/>
        </w:rPr>
        <w:t xml:space="preserve"> and read its </w:t>
      </w:r>
      <w:r>
        <w:rPr>
          <w:rFonts w:ascii="Consolas" w:hAnsi="Consolas"/>
          <w:color w:val="000000"/>
          <w:sz w:val="20"/>
        </w:rPr>
        <w:t>code_hash</w:t>
      </w:r>
      <w:r>
        <w:rPr>
          <w:rFonts w:ascii="Calibri" w:hAnsi="Calibri"/>
          <w:color w:val="000000"/>
        </w:rPr>
        <w:t>.</w:t>
      </w:r>
    </w:p>
    <w:p>
      <w:pPr>
        <w:pStyle w:val="ListNumber"/>
      </w:pPr>
      <w:r>
        <w:rPr>
          <w:rFonts w:ascii="Calibri" w:hAnsi="Calibri"/>
          <w:color w:val="000000"/>
        </w:rPr>
        <w:t>Read the verbatim code (stored on the row).</w:t>
      </w:r>
    </w:p>
    <w:p>
      <w:pPr>
        <w:pStyle w:val="ListNumber"/>
      </w:pPr>
      <w:r>
        <w:rPr>
          <w:rFonts w:ascii="Calibri" w:hAnsi="Calibri"/>
          <w:color w:val="000000"/>
        </w:rPr>
        <w:t xml:space="preserve">Read the validator outcomes for that target from </w:t>
      </w:r>
      <w:r>
        <w:rPr>
          <w:rFonts w:ascii="Consolas" w:hAnsi="Consolas"/>
          <w:color w:val="000000"/>
          <w:sz w:val="20"/>
        </w:rPr>
        <w:t>validations</w:t>
      </w:r>
      <w:r>
        <w:rPr>
          <w:rFonts w:ascii="Calibri" w:hAnsi="Calibri"/>
          <w:color w:val="000000"/>
        </w:rPr>
        <w:t>.</w:t>
      </w:r>
    </w:p>
    <w:p>
      <w:pPr>
        <w:pStyle w:val="ListNumber"/>
      </w:pPr>
      <w:r>
        <w:rPr>
          <w:rFonts w:ascii="Calibri" w:hAnsi="Calibri"/>
          <w:color w:val="000000"/>
        </w:rPr>
        <w:t xml:space="preserve">Read any human decisions for that target from </w:t>
      </w:r>
      <w:r>
        <w:rPr>
          <w:rFonts w:ascii="Consolas" w:hAnsi="Consolas"/>
          <w:color w:val="000000"/>
          <w:sz w:val="20"/>
        </w:rPr>
        <w:t>hitl_decisions</w:t>
      </w:r>
      <w:r>
        <w:rPr>
          <w:rFonts w:ascii="Calibri" w:hAnsi="Calibri"/>
          <w:color w:val="000000"/>
        </w:rPr>
        <w:t>.</w:t>
      </w:r>
    </w:p>
    <w:p>
      <w:pPr>
        <w:pStyle w:val="ListNumber"/>
      </w:pPr>
      <w:r>
        <w:rPr>
          <w:rFonts w:ascii="Calibri" w:hAnsi="Calibri"/>
          <w:color w:val="000000"/>
        </w:rPr>
        <w:t xml:space="preserve">Reconstruct the spec version from </w:t>
      </w:r>
      <w:r>
        <w:rPr>
          <w:rFonts w:ascii="Consolas" w:hAnsi="Consolas"/>
          <w:color w:val="000000"/>
          <w:sz w:val="20"/>
        </w:rPr>
        <w:t>resolved_spec_hash</w:t>
      </w:r>
      <w:r>
        <w:rPr>
          <w:rFonts w:ascii="Calibri" w:hAnsi="Calibri"/>
          <w:color w:val="000000"/>
        </w:rPr>
        <w:t>.</w:t>
      </w:r>
    </w:p>
    <w:p>
      <w:pPr>
        <w:pStyle w:val="ListNumber"/>
      </w:pPr>
      <w:r>
        <w:rPr>
          <w:rFonts w:ascii="Calibri" w:hAnsi="Calibri"/>
          <w:color w:val="000000"/>
        </w:rPr>
        <w:t xml:space="preserve">Replay the run from the JSON checkpoints in </w:t>
      </w:r>
      <w:r>
        <w:rPr>
          <w:rFonts w:ascii="Consolas" w:hAnsi="Consolas"/>
          <w:color w:val="000000"/>
          <w:sz w:val="20"/>
        </w:rPr>
        <w:t>storage/checkpoints/&lt;run_id&gt;/</w:t>
      </w:r>
      <w:r>
        <w:rPr>
          <w:rFonts w:ascii="Calibri" w:hAnsi="Calibri"/>
          <w:color w:val="000000"/>
        </w:rPr>
        <w:t>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Two artefact files are produced at the end of every run: a machine-readable</w:t>
      </w:r>
    </w:p>
    <w:p>
      <w:pPr>
        <w:spacing w:after="120"/>
        <w:jc w:val="both"/>
      </w:pPr>
      <w:r>
        <w:rPr>
          <w:rFonts w:ascii="Consolas" w:hAnsi="Consolas"/>
          <w:color w:val="000000"/>
          <w:sz w:val="20"/>
        </w:rPr>
        <w:t>audit.json</w:t>
      </w:r>
      <w:r>
        <w:rPr>
          <w:rFonts w:ascii="Calibri" w:hAnsi="Calibri"/>
          <w:color w:val="000000"/>
        </w:rPr>
        <w:t xml:space="preserve"> (for downstream tooling) and a human-readable </w:t>
      </w:r>
      <w:r>
        <w:rPr>
          <w:rFonts w:ascii="Consolas" w:hAnsi="Consolas"/>
          <w:color w:val="000000"/>
          <w:sz w:val="20"/>
        </w:rPr>
        <w:t>audit.md</w:t>
      </w:r>
      <w:r>
        <w:rPr>
          <w:rFonts w:ascii="Calibri" w:hAnsi="Calibri"/>
          <w:color w:val="000000"/>
        </w:rPr>
        <w:t xml:space="preserve"> (for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regulator's eyes). Both are downloadable from the UI.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6. Memory and reusability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6.1 Short-term — workflow state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The </w:t>
      </w:r>
      <w:r>
        <w:rPr>
          <w:rFonts w:ascii="Consolas" w:hAnsi="Consolas"/>
          <w:color w:val="000000"/>
          <w:sz w:val="20"/>
        </w:rPr>
        <w:t>WorkflowState</w:t>
      </w:r>
      <w:r>
        <w:rPr>
          <w:rFonts w:ascii="Calibri" w:hAnsi="Calibri"/>
          <w:color w:val="000000"/>
        </w:rPr>
        <w:t xml:space="preserve"> dataclass flows through every agent. Every field is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JSON-serialisable; the orchestrator checkpoints state to disk after each phase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so a crash or HITL pause is recoverable. The same state is mirrored into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audit DB for human inspection. Short-term memory is discardable after a run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completes; only long-term memory persists.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6.2 Long-term — two stores</w:t>
      </w:r>
    </w:p>
    <w:p>
      <w:pPr>
        <w:spacing w:after="120"/>
        <w:jc w:val="both"/>
      </w:pPr>
      <w:r>
        <w:rPr>
          <w:rFonts w:ascii="Calibri" w:hAnsi="Calibri"/>
          <w:b/>
          <w:color w:val="000000"/>
        </w:rPr>
        <w:t>Pattern memory</w:t>
      </w:r>
      <w:r>
        <w:rPr>
          <w:rFonts w:ascii="Calibri" w:hAnsi="Calibri"/>
          <w:color w:val="000000"/>
        </w:rPr>
        <w:t xml:space="preserve"> caches validated </w:t>
      </w:r>
      <w:r>
        <w:rPr>
          <w:rFonts w:ascii="Consolas" w:hAnsi="Consolas"/>
          <w:color w:val="000000"/>
          <w:sz w:val="20"/>
        </w:rPr>
        <w:t>derive(row)</w:t>
      </w:r>
      <w:r>
        <w:rPr>
          <w:rFonts w:ascii="Calibri" w:hAnsi="Calibri"/>
          <w:color w:val="000000"/>
        </w:rPr>
        <w:t xml:space="preserve"> functions keyed on</w:t>
      </w:r>
    </w:p>
    <w:p>
      <w:pPr>
        <w:spacing w:after="120"/>
        <w:jc w:val="both"/>
      </w:pPr>
      <w:r>
        <w:rPr>
          <w:rFonts w:ascii="Consolas" w:hAnsi="Consolas"/>
          <w:color w:val="000000"/>
          <w:sz w:val="20"/>
        </w:rPr>
        <w:t>(target_name, sorted(sources), tokenised(rule), prompt_version)</w:t>
      </w:r>
      <w:r>
        <w:rPr>
          <w:rFonts w:ascii="Calibri" w:hAnsi="Calibri"/>
          <w:color w:val="000000"/>
        </w:rPr>
        <w:t>. Including</w:t>
      </w:r>
    </w:p>
    <w:p>
      <w:pPr>
        <w:spacing w:after="120"/>
        <w:jc w:val="both"/>
      </w:pPr>
      <w:r>
        <w:rPr>
          <w:rFonts w:ascii="Consolas" w:hAnsi="Consolas"/>
          <w:color w:val="000000"/>
          <w:sz w:val="20"/>
        </w:rPr>
        <w:t>prompt_version</w:t>
      </w:r>
      <w:r>
        <w:rPr>
          <w:rFonts w:ascii="Calibri" w:hAnsi="Calibri"/>
          <w:color w:val="000000"/>
        </w:rPr>
        <w:t xml:space="preserve"> invalidates cached patterns automatically when the Code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Generator's prompt is upgraded — this prevents prompt regressions from being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hidden by stale memory hits.</w:t>
      </w:r>
    </w:p>
    <w:p>
      <w:pPr>
        <w:spacing w:after="120"/>
        <w:jc w:val="both"/>
      </w:pPr>
      <w:r>
        <w:rPr>
          <w:rFonts w:ascii="Calibri" w:hAnsi="Calibri"/>
          <w:b/>
          <w:color w:val="000000"/>
        </w:rPr>
        <w:t>Clarification memory</w:t>
      </w:r>
      <w:r>
        <w:rPr>
          <w:rFonts w:ascii="Calibri" w:hAnsi="Calibri"/>
          <w:color w:val="000000"/>
        </w:rPr>
        <w:t xml:space="preserve"> caches reviewer answers keyed on</w:t>
      </w:r>
    </w:p>
    <w:p>
      <w:pPr>
        <w:spacing w:after="120"/>
        <w:jc w:val="both"/>
      </w:pPr>
      <w:r>
        <w:rPr>
          <w:rFonts w:ascii="Consolas" w:hAnsi="Consolas"/>
          <w:color w:val="000000"/>
          <w:sz w:val="20"/>
        </w:rPr>
        <w:t>(target_name, tokenised(issue))</w:t>
      </w:r>
      <w:r>
        <w:rPr>
          <w:rFonts w:ascii="Calibri" w:hAnsi="Calibri"/>
          <w:color w:val="000000"/>
        </w:rPr>
        <w:t>. When a future run raises a similar ambiguity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Spec Reviewer pre-fills the form with the stored answer, which the reviewer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can one-click accept or override.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6.3 What the cache earns the system</w:t>
      </w:r>
    </w:p>
    <w:p>
      <w:pPr>
        <w:pStyle w:val="ListBullet"/>
      </w:pPr>
      <w:r>
        <w:rPr>
          <w:rFonts w:ascii="Calibri" w:hAnsi="Calibri"/>
          <w:b/>
          <w:color w:val="000000"/>
        </w:rPr>
        <w:t>Cost.</w:t>
      </w:r>
      <w:r>
        <w:rPr>
          <w:rFonts w:ascii="Calibri" w:hAnsi="Calibri"/>
          <w:color w:val="000000"/>
        </w:rPr>
        <w:t xml:space="preserve"> Memory hits skip the LLM call entirely.</w:t>
      </w:r>
    </w:p>
    <w:p>
      <w:pPr>
        <w:pStyle w:val="ListBullet"/>
      </w:pPr>
      <w:r>
        <w:rPr>
          <w:rFonts w:ascii="Calibri" w:hAnsi="Calibri"/>
          <w:b/>
          <w:color w:val="000000"/>
        </w:rPr>
        <w:t>Determinism.</w:t>
      </w:r>
      <w:r>
        <w:rPr>
          <w:rFonts w:ascii="Calibri" w:hAnsi="Calibri"/>
          <w:color w:val="000000"/>
        </w:rPr>
        <w:t xml:space="preserve"> A reviewer-edited code snippet becomes the canonical version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across all subsequent studies.</w:t>
      </w:r>
    </w:p>
    <w:p>
      <w:pPr>
        <w:pStyle w:val="ListBullet"/>
      </w:pPr>
      <w:r>
        <w:rPr>
          <w:rFonts w:ascii="Calibri" w:hAnsi="Calibri"/>
          <w:b/>
          <w:color w:val="000000"/>
        </w:rPr>
        <w:t>Consistency.</w:t>
      </w:r>
      <w:r>
        <w:rPr>
          <w:rFonts w:ascii="Calibri" w:hAnsi="Calibri"/>
          <w:color w:val="000000"/>
        </w:rPr>
        <w:t xml:space="preserve"> The same rule across two studies produces identical code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(with the same hash), which is a non-trivial regulatory property.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7. Verification and reliability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Five defensive layers, applied in order: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Layer</w:t>
            </w:r>
          </w:p>
        </w:tc>
        <w:tc>
          <w:tcPr>
            <w:tcW w:type="dxa" w:w="4824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Catches</w:t>
            </w:r>
          </w:p>
        </w:tc>
      </w:tr>
      <w:tr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Input Guardrails</w:t>
            </w:r>
          </w:p>
        </w:tc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Missing columns, PII columns, unparseable types</w:t>
            </w:r>
          </w:p>
        </w:tc>
      </w:tr>
      <w:tr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Static Validator</w:t>
            </w:r>
          </w:p>
        </w:tc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 xml:space="preserve">Imports, IO, dunders, attribute access on </w:t>
            </w:r>
            <w:r>
              <w:rPr>
                <w:rFonts w:ascii="Consolas" w:hAnsi="Consolas"/>
                <w:color w:val="000000"/>
                <w:sz w:val="18"/>
              </w:rPr>
              <w:t>row</w:t>
            </w:r>
            <w:r>
              <w:rPr>
                <w:rFonts w:ascii="Calibri" w:hAnsi="Calibri"/>
                <w:color w:val="000000"/>
              </w:rPr>
              <w:t>, syntax errors</w:t>
            </w:r>
          </w:p>
        </w:tc>
      </w:tr>
      <w:tr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Test Runner</w:t>
            </w:r>
          </w:p>
        </w:tc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Deterministic bugs detectable from spec-declared examples</w:t>
            </w:r>
          </w:p>
        </w:tc>
      </w:tr>
      <w:tr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Verifier</w:t>
            </w:r>
          </w:p>
        </w:tc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Wrong type, out-of-domain category, egregious null rate, unmapped source values, custom invariant failure</w:t>
            </w:r>
          </w:p>
        </w:tc>
      </w:tr>
      <w:tr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Refiner</w:t>
            </w:r>
          </w:p>
        </w:tc>
        <w:tc>
          <w:tcPr>
            <w:tcW w:type="dxa" w:w="4824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Failures the LLM can plausibly self-repair; escalates otherwise</w:t>
            </w:r>
          </w:p>
        </w:tc>
      </w:tr>
    </w:tbl>
    <w:p>
      <w:pPr>
        <w:spacing w:after="120"/>
        <w:jc w:val="both"/>
      </w:pPr>
      <w:r>
        <w:rPr>
          <w:rFonts w:ascii="Calibri" w:hAnsi="Calibri"/>
          <w:color w:val="000000"/>
        </w:rPr>
        <w:t xml:space="preserve">A null rate more than 1.5x the declared </w:t>
      </w:r>
      <w:r>
        <w:rPr>
          <w:rFonts w:ascii="Consolas" w:hAnsi="Consolas"/>
          <w:color w:val="000000"/>
          <w:sz w:val="20"/>
        </w:rPr>
        <w:t>max_null_rate</w:t>
      </w:r>
      <w:r>
        <w:rPr>
          <w:rFonts w:ascii="Calibri" w:hAnsi="Calibri"/>
          <w:color w:val="000000"/>
        </w:rPr>
        <w:t xml:space="preserve"> (or any null when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cap is zero) is treated as an egregious overshoot and </w:t>
      </w:r>
      <w:r>
        <w:rPr>
          <w:rFonts w:ascii="Calibri" w:hAnsi="Calibri"/>
          <w:b/>
          <w:color w:val="000000"/>
        </w:rPr>
        <w:t>blocks</w:t>
      </w:r>
      <w:r>
        <w:rPr>
          <w:rFonts w:ascii="Calibri" w:hAnsi="Calibri"/>
          <w:color w:val="000000"/>
        </w:rPr>
        <w:t xml:space="preserve"> rather than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warns, forcing the Refiner to attempt a fix. The Verifier also sets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derivation's status to </w:t>
      </w:r>
      <w:r>
        <w:rPr>
          <w:rFonts w:ascii="Consolas" w:hAnsi="Consolas"/>
          <w:color w:val="000000"/>
          <w:sz w:val="20"/>
        </w:rPr>
        <w:t>failed</w:t>
      </w:r>
      <w:r>
        <w:rPr>
          <w:rFonts w:ascii="Calibri" w:hAnsi="Calibri"/>
          <w:color w:val="000000"/>
        </w:rPr>
        <w:t xml:space="preserve"> when it blocks, so the Refiner picks it up on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next loop iteration. Stale validations are cleared at the top of each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Verifier pass so the loop sees only the latest findings.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I added a sixth check on top of the standard contract checks: the</w:t>
      </w:r>
    </w:p>
    <w:p>
      <w:pPr>
        <w:spacing w:after="120"/>
        <w:jc w:val="both"/>
      </w:pPr>
      <w:r>
        <w:rPr>
          <w:rFonts w:ascii="Calibri" w:hAnsi="Calibri"/>
          <w:b/>
          <w:color w:val="000000"/>
        </w:rPr>
        <w:t>unmapped-source detector</w:t>
      </w:r>
      <w:r>
        <w:rPr>
          <w:rFonts w:ascii="Calibri" w:hAnsi="Calibri"/>
          <w:color w:val="000000"/>
        </w:rPr>
        <w:t xml:space="preserve"> flags any row where the declared source columns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were fully populated but the derived output is null. That catches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"LLM-invented enum" failure mode where the generated code has no branch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matching a value that actually exists in the data — a class of error that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slips past type checks, allowed-values checks, and even modest null-rate caps.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7.1 LLM resilience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LLM client now runs against two providers: Anthropic Claude as primary and OpenAI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GPT-4o as secondary. Every call is attempted against Anthropic first with a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retry-with-backoff (3 attempts, exponential up to 8 seconds) covering transient 5xx,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429 rate-limit, and network errors. If retries are exhausted, the primary circuit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breaker opens (2 consecutive failures, 60-second cooldown, probing half-open) and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client retries automatically against OpenAI before propagating the failure. Each provider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carries its own independent breaker so a sustained Anthropic outage does not hammer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secondary on every call. Every structured log line records which backend answered.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path is exercised in the prototype by swapping in an invalid Anthropic key; the log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sequence llm.primary_failed_trying_fallback → llm.using_fallback backend=openai confirms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handoff before the pipeline continues normally.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Beyond the provider-level failover, every LLM-using agent has its own escape path: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Planner falls back to spec-declared risk classes, the Code Generator falls back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to long-term memory and ultimately to a manual code-entry HITL gate, the Spec Reviewer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falls back to heuristic ambiguity detection. The combined effect is that a total outage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of both providers cannot kill a run — it cascades through the fallbacks into a human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gate where a programmer can complete the work manually, with the audit trail recording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exactly which path was taken.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8. Trade-offs I would defend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Decision</w:t>
            </w:r>
          </w:p>
        </w:tc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Alternative I considered</w:t>
            </w:r>
          </w:p>
        </w:tc>
        <w:tc>
          <w:tcPr>
            <w:tcW w:type="dxa" w:w="3216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Calibri" w:hAnsi="Calibri"/>
                <w:b/>
                <w:color w:val="000000"/>
              </w:rPr>
              <w:t>Why I chose this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Hand-rolled FSM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LangGraph / CrewAI / AutoGen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One Python file, fully transparent to an auditor. No implicit framework semantics to certify.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LLM mandatory, no hardcoded rule library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 generic rule library for common shapes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 hardcoded library masquerading as a fallback gives false confidence on rules it was never written for. "LLM or human, never silent guess" is the honest contract.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Per-question HITL form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Single approve / reject button with freeform comment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Answers become structured data — queryable, prefillable from memory, replayable. A comment string would not be.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Test-case gate before full execute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Verifier only, post-execute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Catches errors in milliseconds on three rows instead of seconds on N rows. Author-written test cases are the most valuable form of validation in this domain.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Append-only audit DB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Mutable state with UPDATEs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Tamper evidence and reproducibility. The slight storage overhead is irrelevant compared to the audit gain.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Signature-based LTM (exact rule tokens)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Vector-embedded semantic similarity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Deterministic, explainable, no embedding-model dependency in the retrieval path. Vector recall is a v2 enhancement behind the same interface.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Three HITL gates, not five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 gate after every phase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Maximises information density per interruption. Reviewer fatigue is a real failure mode in regulated workflows; cheap clicks are worse than no clicks.</w:t>
            </w:r>
          </w:p>
        </w:tc>
      </w:tr>
      <w:tr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Per-derivation grounding from observed values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A generic "be careful with strings" prompt</w:t>
            </w:r>
          </w:p>
        </w:tc>
        <w:tc>
          <w:tcPr>
            <w:tcW w:type="dxa" w:w="3216"/>
          </w:tcPr>
          <w:p>
            <w:pPr>
              <w:jc w:val="left"/>
            </w:pPr>
            <w:r/>
            <w:r>
              <w:rPr>
                <w:rFonts w:ascii="Calibri" w:hAnsi="Calibri"/>
                <w:color w:val="000000"/>
              </w:rPr>
              <w:t>The Code Generator now sees the actual distinct values present in the dataset for each source column. This prevents the LLM from inventing branches that don't exist in the data — a class of error that no downstream check could catch automatically.</w:t>
            </w:r>
          </w:p>
        </w:tc>
      </w:tr>
    </w:tbl>
    <w:p>
      <w:pPr>
        <w:pStyle w:val="Heading1"/>
      </w:pPr>
      <w:r>
        <w:rPr>
          <w:rFonts w:ascii="Calibri" w:hAnsi="Calibri"/>
          <w:b/>
          <w:color w:val="000000"/>
          <w:sz w:val="28"/>
        </w:rPr>
        <w:t>9. Production deployment plan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prototype runs as two local processes (FastAPI + Streamlit) against a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SQLite file. The production deployment target is Microsoft Azure, with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following shape: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9.1 Compute and storage</w:t>
      </w:r>
    </w:p>
    <w:p>
      <w:pPr>
        <w:pStyle w:val="ListBullet"/>
      </w:pPr>
      <w:r>
        <w:rPr>
          <w:rFonts w:ascii="Calibri" w:hAnsi="Calibri"/>
          <w:b/>
          <w:color w:val="000000"/>
        </w:rPr>
        <w:t>Azure Container Apps</w:t>
      </w:r>
      <w:r>
        <w:rPr>
          <w:rFonts w:ascii="Calibri" w:hAnsi="Calibri"/>
          <w:color w:val="000000"/>
        </w:rPr>
        <w:t xml:space="preserve"> for the FastAPI backend and Streamlit frontend.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Each as its own container image, autoscaled on request load. Container Apps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gives us the managed Kubernetes layer without operating it directly.</w:t>
      </w:r>
    </w:p>
    <w:p>
      <w:pPr>
        <w:pStyle w:val="ListBullet"/>
      </w:pPr>
      <w:r>
        <w:rPr>
          <w:rFonts w:ascii="Calibri" w:hAnsi="Calibri"/>
          <w:b/>
          <w:color w:val="000000"/>
        </w:rPr>
        <w:t>Azure Database for PostgreSQL Flexible Server</w:t>
      </w:r>
      <w:r>
        <w:rPr>
          <w:rFonts w:ascii="Calibri" w:hAnsi="Calibri"/>
          <w:color w:val="000000"/>
        </w:rPr>
        <w:t xml:space="preserve"> replaces SQLite. The audit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schema is the same; only the DSN changes. Flexible Server gives us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point-in-time restore and read replicas for analytics workloads.</w:t>
      </w:r>
    </w:p>
    <w:p>
      <w:pPr>
        <w:pStyle w:val="ListBullet"/>
      </w:pPr>
      <w:r>
        <w:rPr>
          <w:rFonts w:ascii="Calibri" w:hAnsi="Calibri"/>
          <w:b/>
          <w:color w:val="000000"/>
        </w:rPr>
        <w:t>Azure Blob Storage</w:t>
      </w:r>
      <w:r>
        <w:rPr>
          <w:rFonts w:ascii="Calibri" w:hAnsi="Calibri"/>
          <w:color w:val="000000"/>
        </w:rPr>
        <w:t xml:space="preserve"> for run artefacts (output Parquet, audit.json,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audit.md, checkpoint JSONs). Versioning enabled on the bucket so any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artefact can be retrieved at the hash recorded in the audit trail.</w:t>
      </w:r>
    </w:p>
    <w:p>
      <w:pPr>
        <w:pStyle w:val="ListBullet"/>
      </w:pPr>
      <w:r>
        <w:rPr>
          <w:rFonts w:ascii="Calibri" w:hAnsi="Calibri"/>
          <w:b/>
          <w:color w:val="000000"/>
        </w:rPr>
        <w:t>Azure Key Vault</w:t>
      </w:r>
      <w:r>
        <w:rPr>
          <w:rFonts w:ascii="Calibri" w:hAnsi="Calibri"/>
          <w:color w:val="000000"/>
        </w:rPr>
        <w:t xml:space="preserve"> for secrets (Anthropic API key, database credentials,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third-party integration tokens). The backend reads via managed identity, so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no secrets sit on a filesystem or in environment variables.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9.2 Security and access</w:t>
      </w:r>
    </w:p>
    <w:p>
      <w:pPr>
        <w:pStyle w:val="ListBullet"/>
      </w:pPr>
      <w:r>
        <w:rPr>
          <w:rFonts w:ascii="Calibri" w:hAnsi="Calibri"/>
          <w:b/>
          <w:color w:val="000000"/>
        </w:rPr>
        <w:t>Entra ID (Azure AD) single sign-on</w:t>
      </w:r>
      <w:r>
        <w:rPr>
          <w:rFonts w:ascii="Calibri" w:hAnsi="Calibri"/>
          <w:color w:val="000000"/>
        </w:rPr>
        <w:t xml:space="preserve"> is the only authentication path.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reverse proxy in front of Container Apps terminates SSO and injects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</w:t>
      </w:r>
      <w:r>
        <w:rPr>
          <w:rFonts w:ascii="Consolas" w:hAnsi="Consolas"/>
          <w:color w:val="000000"/>
          <w:sz w:val="20"/>
        </w:rPr>
        <w:t>X-User-Email</w:t>
      </w:r>
      <w:r>
        <w:rPr>
          <w:rFonts w:ascii="Calibri" w:hAnsi="Calibri"/>
          <w:color w:val="000000"/>
        </w:rPr>
        <w:t xml:space="preserve"> and </w:t>
      </w:r>
      <w:r>
        <w:rPr>
          <w:rFonts w:ascii="Consolas" w:hAnsi="Consolas"/>
          <w:color w:val="000000"/>
          <w:sz w:val="20"/>
        </w:rPr>
        <w:t>X-User-Roles</w:t>
      </w:r>
      <w:r>
        <w:rPr>
          <w:rFonts w:ascii="Calibri" w:hAnsi="Calibri"/>
          <w:color w:val="000000"/>
        </w:rPr>
        <w:t xml:space="preserve"> headers. The middleware I have stubbed in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the prototype reads these and populates the request-scoped user. The frontend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reads its identity via </w:t>
      </w:r>
      <w:r>
        <w:rPr>
          <w:rFonts w:ascii="Consolas" w:hAnsi="Consolas"/>
          <w:color w:val="000000"/>
          <w:sz w:val="20"/>
        </w:rPr>
        <w:t>/me</w:t>
      </w:r>
      <w:r>
        <w:rPr>
          <w:rFonts w:ascii="Calibri" w:hAnsi="Calibri"/>
          <w:color w:val="000000"/>
        </w:rPr>
        <w:t>, so the role-gated UI works the same as in dev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without code changes — only the source of identity moves from env vars to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SSO headers.</w:t>
      </w:r>
    </w:p>
    <w:p>
      <w:pPr>
        <w:pStyle w:val="ListBullet"/>
      </w:pPr>
      <w:r>
        <w:rPr>
          <w:rFonts w:ascii="Calibri" w:hAnsi="Calibri"/>
          <w:b/>
          <w:color w:val="000000"/>
        </w:rPr>
        <w:t>Role mapping</w:t>
      </w:r>
      <w:r>
        <w:rPr>
          <w:rFonts w:ascii="Calibri" w:hAnsi="Calibri"/>
          <w:color w:val="000000"/>
        </w:rPr>
        <w:t xml:space="preserve"> is held in Entra: </w:t>
      </w:r>
      <w:r>
        <w:rPr>
          <w:rFonts w:ascii="Consolas" w:hAnsi="Consolas"/>
          <w:color w:val="000000"/>
          <w:sz w:val="20"/>
        </w:rPr>
        <w:t>clinical_agentic_admin</w:t>
      </w:r>
      <w:r>
        <w:rPr>
          <w:rFonts w:ascii="Calibri" w:hAnsi="Calibri"/>
          <w:color w:val="000000"/>
        </w:rPr>
        <w:t xml:space="preserve"> and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</w:t>
      </w:r>
      <w:r>
        <w:rPr>
          <w:rFonts w:ascii="Consolas" w:hAnsi="Consolas"/>
          <w:color w:val="000000"/>
          <w:sz w:val="20"/>
        </w:rPr>
        <w:t>clinical_agentic_reviewer</w:t>
      </w:r>
      <w:r>
        <w:rPr>
          <w:rFonts w:ascii="Calibri" w:hAnsi="Calibri"/>
          <w:color w:val="000000"/>
        </w:rPr>
        <w:t xml:space="preserve"> groups map to the </w:t>
      </w:r>
      <w:r>
        <w:rPr>
          <w:rFonts w:ascii="Consolas" w:hAnsi="Consolas"/>
          <w:color w:val="000000"/>
          <w:sz w:val="20"/>
        </w:rPr>
        <w:t>admin</w:t>
      </w:r>
      <w:r>
        <w:rPr>
          <w:rFonts w:ascii="Calibri" w:hAnsi="Calibri"/>
          <w:color w:val="000000"/>
        </w:rPr>
        <w:t xml:space="preserve"> and </w:t>
      </w:r>
      <w:r>
        <w:rPr>
          <w:rFonts w:ascii="Consolas" w:hAnsi="Consolas"/>
          <w:color w:val="000000"/>
          <w:sz w:val="20"/>
        </w:rPr>
        <w:t>user</w:t>
      </w:r>
      <w:r>
        <w:rPr>
          <w:rFonts w:ascii="Calibri" w:hAnsi="Calibri"/>
          <w:color w:val="000000"/>
        </w:rPr>
        <w:t xml:space="preserve"> roles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code already knows about. Adding or removing reviewers is an IT operation,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not a code change.</w:t>
      </w:r>
    </w:p>
    <w:p>
      <w:pPr>
        <w:pStyle w:val="ListBullet"/>
      </w:pPr>
      <w:r>
        <w:rPr>
          <w:rFonts w:ascii="Calibri" w:hAnsi="Calibri"/>
          <w:b/>
          <w:color w:val="000000"/>
        </w:rPr>
        <w:t>Network isolation.</w:t>
      </w:r>
      <w:r>
        <w:rPr>
          <w:rFonts w:ascii="Calibri" w:hAnsi="Calibri"/>
          <w:color w:val="000000"/>
        </w:rPr>
        <w:t xml:space="preserve"> Container Apps run inside a VNet with private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endpoints to Postgres and Blob. Outbound LLM traffic exits through an Azure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API Management gateway that enforces per-tenant rate limits and logs every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call for cost attribution.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9.3 Observability</w:t>
      </w:r>
    </w:p>
    <w:p>
      <w:pPr>
        <w:pStyle w:val="ListBullet"/>
      </w:pPr>
      <w:r>
        <w:rPr>
          <w:rFonts w:ascii="Calibri" w:hAnsi="Calibri"/>
          <w:b/>
          <w:color w:val="000000"/>
        </w:rPr>
        <w:t>Application Insights</w:t>
      </w:r>
      <w:r>
        <w:rPr>
          <w:rFonts w:ascii="Calibri" w:hAnsi="Calibri"/>
          <w:color w:val="000000"/>
        </w:rPr>
        <w:t xml:space="preserve"> receives the structlog stream; the existing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per-phase log lines surface in Azure Monitor with no additional code.</w:t>
      </w:r>
    </w:p>
    <w:p>
      <w:pPr>
        <w:pStyle w:val="ListBullet"/>
      </w:pPr>
      <w:r>
        <w:rPr>
          <w:rFonts w:ascii="Calibri" w:hAnsi="Calibri"/>
          <w:b/>
          <w:color w:val="000000"/>
        </w:rPr>
        <w:t>Prometheus-style metrics</w:t>
      </w:r>
      <w:r>
        <w:rPr>
          <w:rFonts w:ascii="Calibri" w:hAnsi="Calibri"/>
          <w:color w:val="000000"/>
        </w:rPr>
        <w:t xml:space="preserve"> (request latency, phase duration, LLM call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count, HITL pause duration, refiner retry count) are emitted from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backend and scraped into the same Azure Monitor workspace.</w:t>
      </w:r>
    </w:p>
    <w:p>
      <w:pPr>
        <w:pStyle w:val="ListBullet"/>
      </w:pPr>
      <w:r>
        <w:rPr>
          <w:rFonts w:ascii="Calibri" w:hAnsi="Calibri"/>
          <w:b/>
          <w:color w:val="000000"/>
        </w:rPr>
        <w:t>Alerts</w:t>
      </w:r>
      <w:r>
        <w:rPr>
          <w:rFonts w:ascii="Calibri" w:hAnsi="Calibri"/>
          <w:color w:val="000000"/>
        </w:rPr>
        <w:t xml:space="preserve"> fire on: any run in </w:t>
      </w:r>
      <w:r>
        <w:rPr>
          <w:rFonts w:ascii="Consolas" w:hAnsi="Consolas"/>
          <w:color w:val="000000"/>
          <w:sz w:val="20"/>
        </w:rPr>
        <w:t>failed</w:t>
      </w:r>
      <w:r>
        <w:rPr>
          <w:rFonts w:ascii="Calibri" w:hAnsi="Calibri"/>
          <w:color w:val="000000"/>
        </w:rPr>
        <w:t xml:space="preserve"> status more than 10 minutes,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Anthropic 5xx rate above 10% over a 5-minute window, HITL queue depth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above a configurable threshold per role.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9.4 Reliability and scale</w:t>
      </w:r>
    </w:p>
    <w:p>
      <w:pPr>
        <w:pStyle w:val="ListBullet"/>
      </w:pPr>
      <w:r>
        <w:rPr>
          <w:rFonts w:ascii="Calibri" w:hAnsi="Calibri"/>
          <w:b/>
          <w:color w:val="000000"/>
        </w:rPr>
        <w:t>Background work moves from daemon threads to a queue.</w:t>
      </w:r>
      <w:r>
        <w:rPr>
          <w:rFonts w:ascii="Calibri" w:hAnsi="Calibri"/>
          <w:color w:val="000000"/>
        </w:rPr>
        <w:t xml:space="preserve"> Either Celery on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Azure Service Bus or a managed Azure Durable Function. The orchestrator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becomes a workflow definition that survives container restarts.</w:t>
      </w:r>
    </w:p>
    <w:p>
      <w:pPr>
        <w:pStyle w:val="ListBullet"/>
      </w:pPr>
      <w:r>
        <w:rPr>
          <w:rFonts w:ascii="Calibri" w:hAnsi="Calibri"/>
          <w:b/>
          <w:color w:val="000000"/>
        </w:rPr>
        <w:t>Circuit-breaker state moves from process-global to Redis.</w:t>
      </w:r>
      <w:r>
        <w:rPr>
          <w:rFonts w:ascii="Calibri" w:hAnsi="Calibri"/>
          <w:color w:val="000000"/>
        </w:rPr>
        <w:t xml:space="preserve"> A short-TTL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key keyed on the LLM endpoint lets all replicas share breaker state.</w:t>
      </w:r>
    </w:p>
    <w:p>
      <w:pPr>
        <w:pStyle w:val="ListBullet"/>
      </w:pPr>
      <w:r>
        <w:rPr>
          <w:rFonts w:ascii="Calibri" w:hAnsi="Calibri"/>
          <w:b/>
          <w:color w:val="000000"/>
        </w:rPr>
        <w:t>Multiple LLM providers.</w:t>
      </w:r>
      <w:r>
        <w:rPr>
          <w:rFonts w:ascii="Calibri" w:hAnsi="Calibri"/>
          <w:color w:val="000000"/>
        </w:rPr>
        <w:t xml:space="preserve"> Already implemented in the prototype: Anthropic Claude is the primary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backend and OpenAI GPT-4o is the secondary; the breaker-failover path described in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section 7.1 is active in the current codebase. In production the chain extends to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Azure OpenAI with a per-call provider tag in the audit log for cost attribution.</w:t>
      </w:r>
    </w:p>
    <w:p>
      <w:pPr>
        <w:pStyle w:val="Heading2"/>
      </w:pPr>
      <w:r>
        <w:rPr>
          <w:rFonts w:ascii="Calibri" w:hAnsi="Calibri"/>
          <w:b/>
          <w:color w:val="000000"/>
          <w:sz w:val="24"/>
        </w:rPr>
        <w:t>9.5 Deployment pipeline</w:t>
      </w:r>
    </w:p>
    <w:p>
      <w:pPr>
        <w:pStyle w:val="ListBullet"/>
      </w:pPr>
      <w:r>
        <w:rPr>
          <w:rFonts w:ascii="Calibri" w:hAnsi="Calibri"/>
          <w:b/>
          <w:color w:val="000000"/>
        </w:rPr>
        <w:t>GitHub Actions CI</w:t>
      </w:r>
      <w:r>
        <w:rPr>
          <w:rFonts w:ascii="Calibri" w:hAnsi="Calibri"/>
          <w:color w:val="000000"/>
        </w:rPr>
        <w:t xml:space="preserve"> (already wired in the prototype) runs the pytest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suite on every PR and blocks merge on failure.</w:t>
      </w:r>
    </w:p>
    <w:p>
      <w:pPr>
        <w:pStyle w:val="ListBullet"/>
      </w:pPr>
      <w:r>
        <w:rPr>
          <w:rFonts w:ascii="Calibri" w:hAnsi="Calibri"/>
          <w:b/>
          <w:color w:val="000000"/>
        </w:rPr>
        <w:t>Bicep / Terraform</w:t>
      </w:r>
      <w:r>
        <w:rPr>
          <w:rFonts w:ascii="Calibri" w:hAnsi="Calibri"/>
          <w:color w:val="000000"/>
        </w:rPr>
        <w:t xml:space="preserve"> describes the Azure resources. Promotion from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staging to production is a tagged release that triggers a templated deploy.</w:t>
      </w:r>
    </w:p>
    <w:p>
      <w:pPr>
        <w:pStyle w:val="ListBullet"/>
      </w:pPr>
      <w:r>
        <w:rPr>
          <w:rFonts w:ascii="Calibri" w:hAnsi="Calibri"/>
          <w:b/>
          <w:color w:val="000000"/>
        </w:rPr>
        <w:t>Migrations</w:t>
      </w:r>
      <w:r>
        <w:rPr>
          <w:rFonts w:ascii="Calibri" w:hAnsi="Calibri"/>
          <w:color w:val="000000"/>
        </w:rPr>
        <w:t xml:space="preserve"> with Alembic, included in the CI gate; the production DB is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 xml:space="preserve">  never modified by hand.</w:t>
      </w:r>
    </w:p>
    <w:p>
      <w:pPr>
        <w:pStyle w:val="Heading1"/>
      </w:pPr>
      <w:r>
        <w:rPr>
          <w:rFonts w:ascii="Calibri" w:hAnsi="Calibri"/>
          <w:b/>
          <w:color w:val="000000"/>
          <w:sz w:val="28"/>
        </w:rPr>
        <w:t>10. Summary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system is intentionally conservative where it matters and intentionally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intelligent where that pays off. Determinism lives in the orchestrator,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audit substrate, the DAG, and the static validator. LLM autonomy is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confined to leaf decisions — code generation and rule interpretation — and is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always wrapped in a verifier, a sandbox, and a human gate.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What I would tell a regulator: every cell of the output can be reconstructed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from the audit trail alone. What I would tell a reviewer: every interruption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is structured, queryable, and re-uses your past answers. What I would tell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the operations team: when the LLM is down, the pipeline does not die — it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asks for help, and the audit trail records exactly when, why, and how the</w:t>
      </w:r>
    </w:p>
    <w:p>
      <w:pPr>
        <w:spacing w:after="120"/>
        <w:jc w:val="both"/>
      </w:pPr>
      <w:r>
        <w:rPr>
          <w:rFonts w:ascii="Calibri" w:hAnsi="Calibri"/>
          <w:color w:val="000000"/>
        </w:rPr>
        <w:t>help was given.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