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drawing>
          <wp:anchor allowOverlap="1" behindDoc="1" distB="0" distL="0" distR="0" distT="0" layoutInCell="1" locked="0" relativeHeight="0" simplePos="0">
            <wp:simplePos x="0" y="0"/>
            <wp:positionH relativeFrom="character">
              <wp:posOffset>0</wp:posOffset>
            </wp:positionH>
            <wp:positionV relativeFrom="line">
              <wp:posOffset>0</wp:posOffset>
            </wp:positionV>
            <wp:extent cx="1453515" cy="110426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453515" cy="1104265"/>
                    </a:xfrm>
                    <a:prstGeom prst="rect">
                      <a:avLst/>
                    </a:prstGeom>
                    <a:noFill/>
                    <a:ln w="9525">
                      <a:noFill/>
                      <a:miter lim="800000"/>
                      <a:headEnd/>
                      <a:tailEnd/>
                    </a:ln>
                  </pic:spPr>
                </pic:pic>
              </a:graphicData>
            </a:graphic>
          </wp:anchor>
        </w:drawing>
      </w:r>
    </w:p>
    <w:tbl>
      <w:tblPr>
        <w:jc w:val="left"/>
        <w:tblBorders/>
        <w:tblInd w:type="dxa" w:w="-108"/>
      </w:tblPr>
      <w:tblGrid>
        <w:gridCol w:w="10235"/>
      </w:tblGrid>
      <w:tr>
        <w:trPr>
          <w:trHeight w:hRule="atLeast" w:val="825"/>
          <w:cantSplit w:val="false"/>
        </w:trPr>
        <w:tc>
          <w:tcPr>
            <w:tcW w:type="dxa" w:w="10235"/>
            <w:tcBorders/>
            <w:shd w:fill="auto" w:val="clear"/>
            <w:tcMar>
              <w:top w:type="dxa" w:w="0"/>
              <w:left w:type="dxa" w:w="108"/>
              <w:bottom w:type="dxa" w:w="0"/>
              <w:right w:type="dxa" w:w="108"/>
            </w:tcMar>
          </w:tcPr>
          <w:p>
            <w:pPr>
              <w:pStyle w:val="style0"/>
              <w:spacing w:after="0" w:before="0" w:line="100" w:lineRule="atLeast"/>
              <w:jc w:val="right"/>
            </w:pPr>
            <w:r>
              <w:rPr/>
              <w:t>[Frederick Sandalo]</w:t>
            </w:r>
          </w:p>
          <w:p>
            <w:pPr>
              <w:pStyle w:val="style0"/>
              <w:spacing w:after="0" w:before="0" w:line="100" w:lineRule="atLeast"/>
              <w:jc w:val="right"/>
            </w:pPr>
            <w:r>
              <w:rPr/>
              <w:t>E-List Weekly Report</w:t>
            </w:r>
          </w:p>
          <w:p>
            <w:pPr>
              <w:pStyle w:val="style0"/>
              <w:spacing w:after="0" w:before="0" w:line="100" w:lineRule="atLeast"/>
              <w:jc w:val="right"/>
            </w:pPr>
            <w:r>
              <w:rPr/>
              <w:t>[07/15 – 07/19]</w:t>
            </w:r>
          </w:p>
        </w:tc>
      </w:tr>
      <w:tr>
        <w:trPr>
          <w:trHeight w:hRule="atLeast" w:val="269"/>
          <w:cantSplit w:val="false"/>
        </w:trPr>
        <w:tc>
          <w:tcPr>
            <w:tcW w:type="dxa" w:w="10235"/>
            <w:tcBorders>
              <w:bottom w:color="00000A" w:space="0" w:sz="4" w:val="single"/>
            </w:tcBorders>
            <w:shd w:fill="auto" w:val="clear"/>
            <w:tcMar>
              <w:top w:type="dxa" w:w="0"/>
              <w:left w:type="dxa" w:w="108"/>
              <w:bottom w:type="dxa" w:w="0"/>
              <w:right w:type="dxa" w:w="108"/>
            </w:tcMar>
          </w:tcPr>
          <w:p>
            <w:pPr>
              <w:pStyle w:val="style0"/>
              <w:spacing w:after="0" w:before="0" w:line="100" w:lineRule="atLeast"/>
            </w:pPr>
            <w:r>
              <w:rPr/>
            </w:r>
          </w:p>
        </w:tc>
      </w:tr>
      <w:tr>
        <w:trPr>
          <w:trHeight w:hRule="atLeast" w:val="269"/>
          <w:cantSplit w:val="false"/>
        </w:trPr>
        <w:tc>
          <w:tcPr>
            <w:tcW w:type="dxa" w:w="10235"/>
            <w:tcBorders>
              <w:top w:color="00000A" w:space="0" w:sz="4" w:val="single"/>
              <w:left w:color="00000A" w:space="0" w:sz="4" w:val="single"/>
              <w:bottom w:color="00000A" w:space="0" w:sz="4" w:val="single"/>
              <w:right w:color="00000A" w:space="0" w:sz="4" w:val="single"/>
            </w:tcBorders>
            <w:shd w:fill="808080" w:val="clear"/>
            <w:tcMar>
              <w:top w:type="dxa" w:w="0"/>
              <w:left w:type="dxa" w:w="108"/>
              <w:bottom w:type="dxa" w:w="0"/>
              <w:right w:type="dxa" w:w="108"/>
            </w:tcMar>
          </w:tcPr>
          <w:p>
            <w:pPr>
              <w:pStyle w:val="style0"/>
              <w:spacing w:after="0" w:before="0" w:line="100" w:lineRule="atLeast"/>
              <w:jc w:val="center"/>
            </w:pPr>
            <w:r>
              <w:rPr>
                <w:b/>
                <w:color w:val="FFFFFF"/>
              </w:rPr>
              <w:t>Summary</w:t>
            </w:r>
          </w:p>
        </w:tc>
      </w:tr>
      <w:tr>
        <w:trPr>
          <w:trHeight w:hRule="exact" w:val="6130"/>
          <w:cantSplit w:val="false"/>
        </w:trPr>
        <w:tc>
          <w:tcPr>
            <w:tcW w:type="dxa" w:w="10235"/>
            <w:tcBorders>
              <w:top w:color="00000A" w:space="0" w:sz="4" w:val="single"/>
              <w:bottom w:color="00000A" w:space="0" w:sz="4" w:val="single"/>
            </w:tcBorders>
            <w:shd w:fill="auto" w:val="clear"/>
            <w:tcMar>
              <w:top w:type="dxa" w:w="0"/>
              <w:left w:type="dxa" w:w="108"/>
              <w:bottom w:type="dxa" w:w="0"/>
              <w:right w:type="dxa" w:w="108"/>
            </w:tcMar>
          </w:tcPr>
          <w:p>
            <w:pPr>
              <w:pStyle w:val="style0"/>
              <w:spacing w:after="0" w:before="0" w:line="100" w:lineRule="atLeast"/>
            </w:pPr>
            <w:r>
              <w:rPr>
                <w:sz w:val="21"/>
                <w:szCs w:val="21"/>
              </w:rPr>
            </w:r>
          </w:p>
          <w:p>
            <w:pPr>
              <w:pStyle w:val="style0"/>
              <w:spacing w:after="0" w:before="0" w:line="100" w:lineRule="atLeast"/>
            </w:pPr>
            <w:r>
              <w:rPr>
                <w:sz w:val="21"/>
                <w:szCs w:val="21"/>
              </w:rPr>
            </w:r>
          </w:p>
          <w:p>
            <w:pPr>
              <w:pStyle w:val="style0"/>
              <w:spacing w:after="0" w:before="0" w:line="100" w:lineRule="atLeast"/>
            </w:pPr>
            <w:r>
              <w:rPr>
                <w:sz w:val="21"/>
                <w:szCs w:val="21"/>
              </w:rPr>
              <w:t>For ID-565: I have learned about Basic-authentication (</w:t>
            </w:r>
            <w:hyperlink r:id="rId3">
              <w:r>
                <w:rPr>
                  <w:rStyle w:val="style18"/>
                  <w:sz w:val="21"/>
                  <w:szCs w:val="21"/>
                </w:rPr>
                <w:t>http://en.wikipedia.org/wiki/Basic_access_authentication</w:t>
              </w:r>
            </w:hyperlink>
            <w:r>
              <w:rPr>
                <w:sz w:val="21"/>
                <w:szCs w:val="21"/>
              </w:rPr>
              <w:t>,</w:t>
            </w:r>
          </w:p>
          <w:p>
            <w:pPr>
              <w:pStyle w:val="style0"/>
              <w:spacing w:after="0" w:before="0" w:line="100" w:lineRule="atLeast"/>
            </w:pPr>
            <w:r>
              <w:rPr>
                <w:sz w:val="21"/>
                <w:szCs w:val="21"/>
              </w:rPr>
              <w:t>http://stackoverflow.com/questions/13654892/php-curl-basic-authentication-alternatives-for-curlopt-httpheader-curlopt-user</w:t>
            </w:r>
          </w:p>
          <w:p>
            <w:pPr>
              <w:pStyle w:val="style0"/>
              <w:spacing w:after="0" w:before="0" w:line="100" w:lineRule="atLeast"/>
            </w:pPr>
            <w:r>
              <w:rPr>
                <w:sz w:val="21"/>
                <w:szCs w:val="21"/>
              </w:rPr>
              <w:t>)  This is yet the hardest ticket for me to date, recently, as of this week, information exchange is fast, daily basis.  However I need time to react to it because I need to use/test every new information sent and the responses from their servers to me against the claims of their existing documentations.</w:t>
            </w:r>
          </w:p>
          <w:p>
            <w:pPr>
              <w:pStyle w:val="style0"/>
              <w:spacing w:after="0" w:before="0" w:line="100" w:lineRule="atLeast"/>
            </w:pPr>
            <w:r>
              <w:rPr>
                <w:sz w:val="21"/>
                <w:szCs w:val="21"/>
              </w:rPr>
            </w:r>
          </w:p>
          <w:p>
            <w:pPr>
              <w:pStyle w:val="style0"/>
              <w:spacing w:after="0" w:before="0" w:line="100" w:lineRule="atLeast"/>
            </w:pPr>
            <w:r>
              <w:rPr>
                <w:sz w:val="21"/>
                <w:szCs w:val="21"/>
              </w:rPr>
              <w:t>For ID-604: Reading Excel files using PHP is new to me, I've had to research on it but limited myself to topics that would suffice for my task.</w:t>
            </w:r>
          </w:p>
        </w:tc>
      </w:tr>
      <w:tr>
        <w:trPr>
          <w:trHeight w:hRule="atLeast" w:val="269"/>
          <w:cantSplit w:val="false"/>
        </w:trPr>
        <w:tc>
          <w:tcPr>
            <w:tcW w:type="dxa" w:w="10235"/>
            <w:tcBorders>
              <w:top w:color="00000A" w:space="0" w:sz="4" w:val="single"/>
              <w:left w:color="00000A" w:space="0" w:sz="4" w:val="single"/>
              <w:bottom w:color="00000A" w:space="0" w:sz="4" w:val="single"/>
              <w:right w:color="00000A" w:space="0" w:sz="4" w:val="single"/>
            </w:tcBorders>
            <w:shd w:fill="808080" w:val="clear"/>
            <w:tcMar>
              <w:top w:type="dxa" w:w="0"/>
              <w:left w:type="dxa" w:w="108"/>
              <w:bottom w:type="dxa" w:w="0"/>
              <w:right w:type="dxa" w:w="108"/>
            </w:tcMar>
          </w:tcPr>
          <w:p>
            <w:pPr>
              <w:pStyle w:val="style0"/>
              <w:spacing w:after="0" w:before="0" w:line="100" w:lineRule="atLeast"/>
              <w:jc w:val="center"/>
            </w:pPr>
            <w:r>
              <w:rPr>
                <w:b/>
                <w:color w:val="FFFFFF"/>
                <w:sz w:val="21"/>
                <w:szCs w:val="21"/>
              </w:rPr>
              <w:t>Accomplishments</w:t>
            </w:r>
          </w:p>
        </w:tc>
      </w:tr>
      <w:tr>
        <w:trPr>
          <w:trHeight w:hRule="atLeast" w:val="1934"/>
          <w:cantSplit w:val="false"/>
        </w:trPr>
        <w:tc>
          <w:tcPr>
            <w:tcW w:type="dxa" w:w="10235"/>
            <w:tcBorders>
              <w:top w:color="00000A" w:space="0" w:sz="4" w:val="single"/>
              <w:bottom w:color="00000A" w:space="0" w:sz="4" w:val="single"/>
            </w:tcBorders>
            <w:shd w:fill="auto" w:val="clear"/>
            <w:tcMar>
              <w:top w:type="dxa" w:w="0"/>
              <w:left w:type="dxa" w:w="108"/>
              <w:bottom w:type="dxa" w:w="0"/>
              <w:right w:type="dxa" w:w="108"/>
            </w:tcMar>
          </w:tcPr>
          <w:p>
            <w:pPr>
              <w:pStyle w:val="style0"/>
              <w:spacing w:after="0" w:before="0" w:line="100" w:lineRule="atLeast"/>
            </w:pPr>
            <w:r>
              <w:rPr>
                <w:sz w:val="21"/>
                <w:szCs w:val="21"/>
              </w:rPr>
            </w:r>
          </w:p>
          <w:p>
            <w:pPr>
              <w:pStyle w:val="style24"/>
              <w:numPr>
                <w:ilvl w:val="0"/>
                <w:numId w:val="1"/>
              </w:numPr>
              <w:spacing w:after="0" w:before="0" w:line="100" w:lineRule="atLeast"/>
            </w:pPr>
            <w:r>
              <w:rPr>
                <w:sz w:val="21"/>
                <w:szCs w:val="21"/>
              </w:rPr>
              <w:t>ID-565: Connect Insurance Auto Inetgration</w:t>
            </w:r>
          </w:p>
          <w:p>
            <w:pPr>
              <w:pStyle w:val="style24"/>
              <w:numPr>
                <w:ilvl w:val="0"/>
                <w:numId w:val="1"/>
              </w:numPr>
              <w:spacing w:after="0" w:before="0" w:line="100" w:lineRule="atLeast"/>
            </w:pPr>
            <w:r>
              <w:rPr>
                <w:sz w:val="21"/>
                <w:szCs w:val="21"/>
              </w:rPr>
              <w:t>ID-561: American Family Auto Insurance NEW Integration --- they (Jovel and Keola) have  reached out to the client LeadAmp, and the meeting was concluded that LeadAmp developers had to do something and did something on their end so that they (Jovel and Keola) can POST data successfully.  Bottomline, this is now fixed.</w:t>
            </w:r>
          </w:p>
          <w:p>
            <w:pPr>
              <w:pStyle w:val="style24"/>
              <w:numPr>
                <w:ilvl w:val="0"/>
                <w:numId w:val="1"/>
              </w:numPr>
              <w:spacing w:after="0" w:before="0" w:line="100" w:lineRule="atLeast"/>
            </w:pPr>
            <w:r>
              <w:rPr>
                <w:sz w:val="21"/>
                <w:szCs w:val="21"/>
              </w:rPr>
              <w:t>ID-578: Mark Cornett (Allstate), Semcat Integration --- "[7:52:35 AM] Jovel Lacson: Megan is out of office right now.. there is no update on ID-578, i believe they have an API or web service but it will require a service fee which we are not agreeing with.."</w:t>
            </w:r>
          </w:p>
          <w:p>
            <w:pPr>
              <w:pStyle w:val="style24"/>
              <w:numPr>
                <w:ilvl w:val="0"/>
                <w:numId w:val="1"/>
              </w:numPr>
              <w:spacing w:after="0" w:before="0" w:line="100" w:lineRule="atLeast"/>
            </w:pPr>
            <w:r>
              <w:rPr>
                <w:sz w:val="21"/>
                <w:szCs w:val="21"/>
              </w:rPr>
              <w:t>Old Tickets update: [7:55:15 AM] rcfrederick rcsandalo: ok [7:57:47 AM] rcfrederick rcsandalo: how about ID-382, ID-385, ID-387 and ID-404 its been quite some time since these are assigned to me.  I have already done them. [8:02:28 AM] Jovel Lacson: right.. i will assign these to Megan.. [8:04:10 AM] Jovel Lacson: i wish there are more of those so I could fill up your queue..</w:t>
            </w:r>
          </w:p>
          <w:p>
            <w:pPr>
              <w:pStyle w:val="style24"/>
              <w:numPr>
                <w:ilvl w:val="0"/>
                <w:numId w:val="1"/>
              </w:numPr>
              <w:spacing w:after="0" w:before="0" w:line="100" w:lineRule="atLeast"/>
            </w:pPr>
            <w:r>
              <w:rPr>
                <w:sz w:val="21"/>
                <w:szCs w:val="21"/>
              </w:rPr>
              <w:t>ID-604: Automate update script --- done, in review</w:t>
            </w:r>
          </w:p>
        </w:tc>
      </w:tr>
      <w:tr>
        <w:trPr>
          <w:trHeight w:hRule="atLeast" w:val="174"/>
          <w:cantSplit w:val="false"/>
        </w:trPr>
        <w:tc>
          <w:tcPr>
            <w:tcW w:type="dxa" w:w="10235"/>
            <w:tcBorders>
              <w:top w:color="00000A" w:space="0" w:sz="4" w:val="single"/>
              <w:left w:color="00000A" w:space="0" w:sz="4" w:val="single"/>
              <w:bottom w:color="00000A" w:space="0" w:sz="4" w:val="single"/>
              <w:right w:color="00000A" w:space="0" w:sz="4" w:val="single"/>
            </w:tcBorders>
            <w:shd w:fill="808080" w:val="clear"/>
            <w:tcMar>
              <w:top w:type="dxa" w:w="0"/>
              <w:left w:type="dxa" w:w="108"/>
              <w:bottom w:type="dxa" w:w="0"/>
              <w:right w:type="dxa" w:w="108"/>
            </w:tcMar>
          </w:tcPr>
          <w:p>
            <w:pPr>
              <w:pStyle w:val="style0"/>
              <w:spacing w:after="0" w:before="0" w:line="100" w:lineRule="atLeast"/>
              <w:jc w:val="center"/>
            </w:pPr>
            <w:r>
              <w:rPr>
                <w:b/>
                <w:color w:val="FFFFFF"/>
                <w:sz w:val="21"/>
                <w:szCs w:val="21"/>
              </w:rPr>
              <w:t>Goals for next week</w:t>
            </w:r>
          </w:p>
        </w:tc>
      </w:tr>
      <w:tr>
        <w:trPr>
          <w:trHeight w:hRule="atLeast" w:val="1529"/>
          <w:cantSplit w:val="false"/>
        </w:trPr>
        <w:tc>
          <w:tcPr>
            <w:tcW w:type="dxa" w:w="10235"/>
            <w:tcBorders>
              <w:top w:color="00000A" w:space="0" w:sz="4" w:val="single"/>
            </w:tcBorders>
            <w:shd w:fill="FFFFFF" w:val="clear"/>
            <w:tcMar>
              <w:top w:type="dxa" w:w="0"/>
              <w:left w:type="dxa" w:w="108"/>
              <w:bottom w:type="dxa" w:w="0"/>
              <w:right w:type="dxa" w:w="108"/>
            </w:tcMar>
          </w:tcPr>
          <w:p>
            <w:pPr>
              <w:pStyle w:val="style0"/>
              <w:spacing w:after="0" w:before="0" w:line="100" w:lineRule="atLeast"/>
            </w:pPr>
            <w:r>
              <w:rPr>
                <w:sz w:val="21"/>
                <w:szCs w:val="21"/>
              </w:rPr>
              <w:t>-completing the ticket for ID-565</w:t>
            </w:r>
          </w:p>
          <w:p>
            <w:pPr>
              <w:pStyle w:val="style0"/>
              <w:spacing w:after="0" w:before="0" w:line="100" w:lineRule="atLeast"/>
            </w:pPr>
            <w:r>
              <w:rPr>
                <w:sz w:val="21"/>
                <w:szCs w:val="21"/>
              </w:rPr>
              <w:t>-taking on more tasks to help automate some of the daily tasks</w:t>
            </w:r>
          </w:p>
          <w:p>
            <w:pPr>
              <w:pStyle w:val="style0"/>
              <w:spacing w:after="0" w:before="0" w:line="100" w:lineRule="atLeast"/>
            </w:pPr>
            <w:r>
              <w:rPr>
                <w:sz w:val="21"/>
                <w:szCs w:val="21"/>
              </w:rPr>
              <w:t>-Tickets that will be assigned to me</w:t>
            </w:r>
          </w:p>
        </w:tc>
      </w:tr>
    </w:tbl>
    <w:p>
      <w:pPr>
        <w:pStyle w:val="style0"/>
        <w:widowControl/>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80"/>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5"/>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Times New Roman" w:eastAsia="Calibri"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alibri" w:eastAsia="Calibri"/>
    </w:rPr>
  </w:style>
  <w:style w:styleId="style17" w:type="character">
    <w:name w:val="ListLabel 2"/>
    <w:next w:val="style17"/>
    <w:rPr>
      <w:rFonts w:cs="Courier New"/>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http://en.wikipedia.org/wiki/Basic_access_authentication"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2012-03-10T00:46:00.00Z</dcterms:created>
  <dc:creator>Lyndsay</dc:creator>
  <cp:lastModifiedBy>Jovel Lacson</cp:lastModifiedBy>
  <cp:lastPrinted>2011-02-11T19:55:00.00Z</cp:lastPrinted>
  <dcterms:modified xsi:type="dcterms:W3CDTF">2012-03-10T00:46:00.00Z</dcterms:modified>
  <cp:revision>2</cp:revision>
</cp:coreProperties>
</file>