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Frederick Sandalo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[07/22 – 07/26]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6130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ID-615: no problem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ID-618: ead staging URLs at the time of writing,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 xml:space="preserve">  quite a lot of documentations, I need to sort out information, I need to build the XML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schema based on a small sample and the XSD associated to it.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 xml:space="preserve">  thought about XSD and maybe it has tutorial, googled around and found lots of them,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picked one and based on it I can now determine how to XML payload will look like but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it will need verification, 1 either I get favorable results when the staging ping and post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urls are back online or I'm given the correct ones or 2. Vertical Life would be giving 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a sample payload that they are expecting.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 xml:space="preserve">  I think I can finish this tomorrow.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ID-565: we are still stuck with the request format may it be JSON or XML.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I just learned that BPMOnline has no programmers, and I think that its the problem, if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not, its a problem still.  Why? who would verify if indeed we are sending correctly or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why the server is reacting such and what we can/should do about it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193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ID-615: Done</w:t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ID-618: Almost done, only 5 hours consumed against the allotted 18  hours</w:t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ID-565: we can now get a response from their servers, however its not of any help to us nor is anything about it said in any of their documentations.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ID-565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Any other tasks that will be assigned to me.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