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— Novo Nordisk Discovery Call</w:t>
      </w:r>
    </w:p>
    <w:p>
      <w:r>
        <w:rPr>
          <w:b/>
        </w:rPr>
        <w:t xml:space="preserve">Date: </w:t>
      </w:r>
      <w:r>
        <w:t>2026-05-06</w:t>
        <w:br/>
      </w:r>
      <w:r>
        <w:rPr>
          <w:b/>
        </w:rPr>
        <w:t xml:space="preserve">Time: </w:t>
      </w:r>
      <w:r>
        <w:t>14:00–14:45 CEST</w:t>
        <w:br/>
      </w:r>
      <w:r>
        <w:rPr>
          <w:b/>
        </w:rPr>
        <w:t xml:space="preserve">Location: </w:t>
      </w:r>
      <w:r>
        <w:t>Beroe Zoom</w:t>
        <w:br/>
      </w:r>
      <w:r>
        <w:rPr>
          <w:b/>
        </w:rPr>
        <w:t xml:space="preserve">Beroe team: </w:t>
      </w:r>
      <w:r>
        <w:t>Anand Kaliappan, Harish Kumar (CSM), Purnima Iyer (Solutioning)</w:t>
        <w:br/>
      </w:r>
      <w:r>
        <w:rPr>
          <w:b/>
        </w:rPr>
        <w:t xml:space="preserve">Novo Nordisk: </w:t>
      </w:r>
      <w:r>
        <w:t>Lars Andersen (Global Category Director), Mette Hansen (CPO)</w:t>
      </w:r>
    </w:p>
    <w:p>
      <w:pPr>
        <w:pStyle w:val="Heading2"/>
      </w:pPr>
      <w:r>
        <w:t>1. Context</w:t>
      </w:r>
    </w:p>
    <w:p>
      <w:r>
        <w:t>Novo Nordisk is consolidating MRO and indirect-spend procurement across EMEA following the 2025 acquisition of three regional manufacturing sites. Annual addressable spend is approximately $480M with current category fragmentation across 12 country buying centres. Lars confirmed the executive sponsor is Mette Hansen and that the program has board-level visibility for Q3 2026.</w:t>
      </w:r>
    </w:p>
    <w:p>
      <w:pPr>
        <w:pStyle w:val="Heading2"/>
      </w:pPr>
      <w:r>
        <w:t>2. Engagement objective</w:t>
      </w:r>
    </w:p>
    <w:p>
      <w:r>
        <w:t>Reduce MRO procurement cost by 14% within 18 months while maintaining supplier OTIF above 96%. Build a single source of category intelligence covering laboratory consumables, packaging, and contract manufacturing. Success metric: $67M run-rate savings and a single benchmark dashboard by Q2 2027.</w:t>
      </w:r>
    </w:p>
    <w:p>
      <w:pPr>
        <w:pStyle w:val="Heading2"/>
      </w:pPr>
      <w:r>
        <w:t>3. Categories in scope</w:t>
      </w:r>
    </w:p>
    <w:p>
      <w:pPr>
        <w:pStyle w:val="ListBullet"/>
      </w:pPr>
      <w:r>
        <w:t>Laboratory consumables (highest priority — 32% of addressable)</w:t>
      </w:r>
    </w:p>
    <w:p>
      <w:pPr>
        <w:pStyle w:val="ListBullet"/>
      </w:pPr>
      <w:r>
        <w:t>Sterile packaging (mid-priority, dual-source mandate from compliance)</w:t>
      </w:r>
    </w:p>
    <w:p>
      <w:pPr>
        <w:pStyle w:val="ListBullet"/>
      </w:pPr>
      <w:r>
        <w:t>Contract manufacturing organisations (long lead times, requires deep market intel)</w:t>
      </w:r>
    </w:p>
    <w:p>
      <w:pPr>
        <w:pStyle w:val="ListBullet"/>
      </w:pPr>
      <w:r>
        <w:t>MRO indirect (lower priority, parked for Phase 2)</w:t>
      </w:r>
    </w:p>
    <w:p>
      <w:pPr>
        <w:pStyle w:val="Heading2"/>
      </w:pPr>
      <w:r>
        <w:t>4. Decisions taken</w:t>
      </w:r>
    </w:p>
    <w:p>
      <w:pPr>
        <w:pStyle w:val="ListBullet"/>
      </w:pPr>
      <w:r>
        <w:t>Beroe will deliver a baseline category benchmark for laboratory consumables by 2026-06-15.</w:t>
      </w:r>
    </w:p>
    <w:p>
      <w:pPr>
        <w:pStyle w:val="ListBullet"/>
      </w:pPr>
      <w:r>
        <w:t>Mette approved a paid pilot at $85K covering EMEA scope, contract starting 2026-05-20.</w:t>
      </w:r>
    </w:p>
    <w:p>
      <w:pPr>
        <w:pStyle w:val="ListBullet"/>
      </w:pPr>
      <w:r>
        <w:t>Single point of contact for the engagement: Lars Andersen.</w:t>
      </w:r>
    </w:p>
    <w:p>
      <w:pPr>
        <w:pStyle w:val="ListBullet"/>
      </w:pPr>
      <w:r>
        <w:t>Quarterly executive readouts; first one scheduled for 2026-08-30.</w:t>
      </w:r>
    </w:p>
    <w:p>
      <w:pPr>
        <w:pStyle w:val="Heading2"/>
      </w:pPr>
      <w:r>
        <w:t>5. Action items</w:t>
      </w:r>
    </w:p>
    <w:p>
      <w:pPr>
        <w:pStyle w:val="ListBullet"/>
      </w:pPr>
      <w:r>
        <w:t>Action: Anand to send mutual NDA + pilot SOW by 2026-05-09.</w:t>
      </w:r>
    </w:p>
    <w:p>
      <w:pPr>
        <w:pStyle w:val="ListBullet"/>
      </w:pPr>
      <w:r>
        <w:t>Action: Harish to set up weekly 30-min cadence with Lars starting 2026-05-13.</w:t>
      </w:r>
    </w:p>
    <w:p>
      <w:pPr>
        <w:pStyle w:val="ListBullet"/>
      </w:pPr>
      <w:r>
        <w:t>Action: Purnima to share the laboratory-consumables supplier benchmark template by 2026-05-16.</w:t>
      </w:r>
    </w:p>
    <w:p>
      <w:pPr>
        <w:pStyle w:val="ListBullet"/>
      </w:pPr>
      <w:r>
        <w:t>Action: Lars to share current spend cube and supplier list under NDA by 2026-05-12.</w:t>
      </w:r>
    </w:p>
    <w:p>
      <w:pPr>
        <w:pStyle w:val="ListBullet"/>
      </w:pPr>
      <w:r>
        <w:t>Action: Mette to confirm budget owner sign-off for Phase 2 (MRO indirect) by 2026-07-01.</w:t>
      </w:r>
    </w:p>
    <w:p>
      <w:pPr>
        <w:pStyle w:val="Heading2"/>
      </w:pPr>
      <w:r>
        <w:t>6. Risks &amp; open questions</w:t>
      </w:r>
    </w:p>
    <w:p>
      <w:pPr>
        <w:pStyle w:val="ListBullet"/>
      </w:pPr>
      <w:r>
        <w:t>Compliance has flagged a dual-source mandate for sterile packaging — may constrain savings ceiling.</w:t>
      </w:r>
    </w:p>
    <w:p>
      <w:pPr>
        <w:pStyle w:val="ListBullet"/>
      </w:pPr>
      <w:r>
        <w:t>Contract manufacturing market intel is sparse below the top 5 CMOs; may require custom primary research.</w:t>
      </w:r>
    </w:p>
    <w:p>
      <w:pPr>
        <w:pStyle w:val="ListBullet"/>
      </w:pPr>
      <w:r>
        <w:t>Open: does Novo's existing Coupa instance support the proposed dashboard, or is a separate workspace needed?</w:t>
      </w:r>
    </w:p>
    <w:p>
      <w:pPr>
        <w:pStyle w:val="Heading2"/>
      </w:pPr>
      <w:r>
        <w:t>7. Next meeting</w:t>
      </w:r>
    </w:p>
    <w:p>
      <w:r>
        <w:t>2026-05-13, 14:00 CEST — Beroe Zoom. Topic: NDA + SOW review with Lars and Mette.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