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34"/>
        </w:rPr>
        <w:t>AI PIONEERS INTERNSHIP - WEEK 3 PROJECT REPORT</w:t>
        <w:br/>
      </w:r>
      <w:r>
        <w:rPr>
          <w:rFonts w:ascii="Calibri" w:hAnsi="Calibri"/>
          <w:b/>
          <w:color w:val="35598F"/>
          <w:sz w:val="26"/>
        </w:rPr>
        <w:t>Unsupervised Machine Learning, Clustering, Dimensionality Reduction &amp; Advanced Model Evaluation</w:t>
        <w:br/>
      </w:r>
    </w:p>
    <w:tbl>
      <w:tblPr>
        <w:tblW w:type="auto" w:w="0"/>
        <w:jc w:val="center"/>
        <w:tblLayout w:type="fixed"/>
        <w:tblLook w:firstColumn="1" w:firstRow="1" w:lastColumn="0" w:lastRow="0" w:noHBand="0" w:noVBand="1" w:val="04A0"/>
      </w:tblPr>
      <w:tblGrid>
        <w:gridCol w:w="4896"/>
        <w:gridCol w:w="4896"/>
      </w:tblGrid>
      <w:tr>
        <w:tc>
          <w:tcPr>
            <w:tcW w:type="dxa" w:w="3168"/>
            <w:shd w:fill="F0F4F8"/>
            <w:tcMar>
              <w:top w:w="80" w:type="dxa"/>
              <w:bottom w:w="80" w:type="dxa"/>
              <w:left w:w="120" w:type="dxa"/>
              <w:right w:w="120" w:type="dxa"/>
            </w:tcMar>
          </w:tcPr>
          <w:p>
            <w:r>
              <w:rPr>
                <w:b/>
                <w:color w:val="102C57"/>
                <w:sz w:val="19"/>
              </w:rPr>
              <w:t>Internship Program:</w:t>
            </w:r>
          </w:p>
        </w:tc>
        <w:tc>
          <w:tcPr>
            <w:tcW w:type="dxa" w:w="6480"/>
            <w:shd w:fill="F9FAFC"/>
            <w:tcMar>
              <w:top w:w="80" w:type="dxa"/>
              <w:bottom w:w="80" w:type="dxa"/>
              <w:left w:w="120" w:type="dxa"/>
              <w:right w:w="120" w:type="dxa"/>
            </w:tcMar>
          </w:tcPr>
          <w:p>
            <w:r>
              <w:rPr>
                <w:color w:val="212529"/>
                <w:sz w:val="19"/>
              </w:rPr>
              <w:t>AI Pioneers Internship (Yuva Intern / NSDC)</w:t>
            </w:r>
          </w:p>
        </w:tc>
      </w:tr>
      <w:tr>
        <w:tc>
          <w:tcPr>
            <w:tcW w:type="dxa" w:w="3168"/>
            <w:shd w:fill="F0F4F8"/>
            <w:tcMar>
              <w:top w:w="80" w:type="dxa"/>
              <w:bottom w:w="80" w:type="dxa"/>
              <w:left w:w="120" w:type="dxa"/>
              <w:right w:w="120" w:type="dxa"/>
            </w:tcMar>
          </w:tcPr>
          <w:p>
            <w:r>
              <w:rPr>
                <w:b/>
                <w:color w:val="102C57"/>
                <w:sz w:val="19"/>
              </w:rPr>
              <w:t>Project Domain:</w:t>
            </w:r>
          </w:p>
        </w:tc>
        <w:tc>
          <w:tcPr>
            <w:tcW w:type="dxa" w:w="6480"/>
            <w:shd w:fill="F9FAFC"/>
            <w:tcMar>
              <w:top w:w="80" w:type="dxa"/>
              <w:bottom w:w="80" w:type="dxa"/>
              <w:left w:w="120" w:type="dxa"/>
              <w:right w:w="120" w:type="dxa"/>
            </w:tcMar>
          </w:tcPr>
          <w:p>
            <w:r>
              <w:rPr>
                <w:color w:val="212529"/>
                <w:sz w:val="19"/>
              </w:rPr>
              <w:t>Airport Operations &amp; Aviation Clustering Analytics</w:t>
            </w:r>
          </w:p>
        </w:tc>
      </w:tr>
      <w:tr>
        <w:tc>
          <w:tcPr>
            <w:tcW w:type="dxa" w:w="3168"/>
            <w:shd w:fill="F0F4F8"/>
            <w:tcMar>
              <w:top w:w="80" w:type="dxa"/>
              <w:bottom w:w="80" w:type="dxa"/>
              <w:left w:w="120" w:type="dxa"/>
              <w:right w:w="120" w:type="dxa"/>
            </w:tcMar>
          </w:tcPr>
          <w:p>
            <w:r>
              <w:rPr>
                <w:b/>
                <w:color w:val="102C57"/>
                <w:sz w:val="19"/>
              </w:rPr>
              <w:t>Module Deliverable:</w:t>
            </w:r>
          </w:p>
        </w:tc>
        <w:tc>
          <w:tcPr>
            <w:tcW w:type="dxa" w:w="6480"/>
            <w:shd w:fill="F9FAFC"/>
            <w:tcMar>
              <w:top w:w="80" w:type="dxa"/>
              <w:bottom w:w="80" w:type="dxa"/>
              <w:left w:w="120" w:type="dxa"/>
              <w:right w:w="120" w:type="dxa"/>
            </w:tcMar>
          </w:tcPr>
          <w:p>
            <w:r>
              <w:rPr>
                <w:color w:val="212529"/>
                <w:sz w:val="19"/>
              </w:rPr>
              <w:t>Week 3: K-Means, Hierarchical Clustering, PCA, 5-Fold CV, GridSearchCV</w:t>
            </w:r>
          </w:p>
        </w:tc>
      </w:tr>
      <w:tr>
        <w:tc>
          <w:tcPr>
            <w:tcW w:type="dxa" w:w="3168"/>
            <w:shd w:fill="F0F4F8"/>
            <w:tcMar>
              <w:top w:w="80" w:type="dxa"/>
              <w:bottom w:w="80" w:type="dxa"/>
              <w:left w:w="120" w:type="dxa"/>
              <w:right w:w="120" w:type="dxa"/>
            </w:tcMar>
          </w:tcPr>
          <w:p>
            <w:r>
              <w:rPr>
                <w:b/>
                <w:color w:val="102C57"/>
                <w:sz w:val="19"/>
              </w:rPr>
              <w:t>Algorithms &amp; Libraries:</w:t>
            </w:r>
          </w:p>
        </w:tc>
        <w:tc>
          <w:tcPr>
            <w:tcW w:type="dxa" w:w="6480"/>
            <w:shd w:fill="F9FAFC"/>
            <w:tcMar>
              <w:top w:w="80" w:type="dxa"/>
              <w:bottom w:w="80" w:type="dxa"/>
              <w:left w:w="120" w:type="dxa"/>
              <w:right w:w="120" w:type="dxa"/>
            </w:tcMar>
          </w:tcPr>
          <w:p>
            <w:r>
              <w:rPr>
                <w:color w:val="212529"/>
                <w:sz w:val="19"/>
              </w:rPr>
              <w:t>Scikit-Learn, SciPy, K-Means, Agglomerative Clustering, PCA, GridSearchCV</w:t>
            </w:r>
          </w:p>
        </w:tc>
      </w:tr>
    </w:tbl>
    <w:p>
      <w:pPr>
        <w:spacing w:after="120"/>
      </w:pPr>
    </w:p>
    <w:p>
      <w:pPr>
        <w:pStyle w:val="Heading1"/>
        <w:spacing w:before="240" w:after="80"/>
      </w:pPr>
      <w:r>
        <w:rPr>
          <w:rFonts w:ascii="Calibri" w:hAnsi="Calibri"/>
          <w:b/>
          <w:color w:val="102C57"/>
          <w:sz w:val="27"/>
        </w:rPr>
        <w:t>1. Executive Summary</w:t>
      </w:r>
    </w:p>
    <w:p>
      <w:pPr>
        <w:spacing w:after="80" w:line="276" w:lineRule="auto"/>
      </w:pPr>
      <w:r>
        <w:rPr>
          <w:rFonts w:ascii="Calibri" w:hAnsi="Calibri"/>
          <w:color w:val="212529"/>
          <w:sz w:val="20"/>
        </w:rPr>
        <w:t>This project fulfills the Week 3 milestone of the AI Pioneers Internship, concentrating on Unsupervised Machine Learning, Dimensionality Reduction, and Advanced Model Evaluation methodologies. In modern aviation systems, discovering unlabelled operational subgroups (such as high-risk flight corridors, severe weather congestion patterns, and turnaround bottlenecks) enables predictive airport gate dispatch and scheduling optimization. This work implements Principal Component Analysis (PCA), K-Means Clustering, and Hierarchical Agglomerative Clustering. In parallel, comprehensive validation paradigms including 5-Fold Stratified Cross-Validation and Hyperparameter Optimization using GridSearchCV were conducted to ensure statistical reliability and prevent model overfitting.</w:t>
      </w:r>
    </w:p>
    <w:p>
      <w:pPr>
        <w:pStyle w:val="Heading1"/>
        <w:spacing w:before="240" w:after="80"/>
      </w:pPr>
      <w:r>
        <w:rPr>
          <w:rFonts w:ascii="Calibri" w:hAnsi="Calibri"/>
          <w:b/>
          <w:color w:val="102C57"/>
          <w:sz w:val="27"/>
        </w:rPr>
        <w:t>2. Dimensionality Reduction via Principal Component Analysis (PCA)</w:t>
      </w:r>
    </w:p>
    <w:p>
      <w:pPr>
        <w:spacing w:after="80" w:line="276" w:lineRule="auto"/>
      </w:pPr>
      <w:r>
        <w:rPr>
          <w:rFonts w:ascii="Calibri" w:hAnsi="Calibri"/>
          <w:color w:val="212529"/>
          <w:sz w:val="20"/>
        </w:rPr>
        <w:t>Airport operational records span 17 standardized numerical and categorical features. PCA was executed to construct orthogonal eigenvectors (Principal Components) that capture the maximum variance in the feature space without supervision, enabling reliable 2D cluster visualization and reducing noise.</w:t>
      </w:r>
    </w:p>
    <w:p>
      <w:pPr>
        <w:pStyle w:val="Heading1"/>
        <w:spacing w:before="240" w:after="80"/>
      </w:pPr>
      <w:r>
        <w:rPr>
          <w:rFonts w:ascii="Calibri" w:hAnsi="Calibri"/>
          <w:b/>
          <w:color w:val="102C57"/>
          <w:sz w:val="27"/>
        </w:rPr>
        <w:t>3. K-Means Clustering &amp; Optimal Cluster Selection</w:t>
      </w:r>
    </w:p>
    <w:p>
      <w:pPr>
        <w:spacing w:after="80" w:line="276" w:lineRule="auto"/>
      </w:pPr>
      <w:r>
        <w:rPr>
          <w:rFonts w:ascii="Calibri" w:hAnsi="Calibri"/>
          <w:color w:val="212529"/>
          <w:sz w:val="20"/>
        </w:rPr>
        <w:t>To identify natural groupings in airport flight records, K-Means was evaluated across cluster ranges k = 2 to 6 using two metrics:</w:t>
        <w:br/>
        <w:t>1. Inertia / Within-Cluster Sum of Squares (WCSS) via the Elbow Method.</w:t>
        <w:br/>
        <w:t>2. Silhouette Coefficient measuring intra-cluster compactness and inter-cluster separation.</w:t>
      </w:r>
    </w:p>
    <w:p>
      <w:r>
        <w:drawing>
          <wp:inline xmlns:a="http://schemas.openxmlformats.org/drawingml/2006/main" xmlns:pic="http://schemas.openxmlformats.org/drawingml/2006/picture">
            <wp:extent cx="5303520" cy="2169622"/>
            <wp:docPr id="1" name="Picture 1"/>
            <wp:cNvGraphicFramePr>
              <a:graphicFrameLocks noChangeAspect="1"/>
            </wp:cNvGraphicFramePr>
            <a:graphic>
              <a:graphicData uri="http://schemas.openxmlformats.org/drawingml/2006/picture">
                <pic:pic>
                  <pic:nvPicPr>
                    <pic:cNvPr id="0" name="kmeans_elbow_silhouette.png"/>
                    <pic:cNvPicPr/>
                  </pic:nvPicPr>
                  <pic:blipFill>
                    <a:blip r:embed="rId9"/>
                    <a:stretch>
                      <a:fillRect/>
                    </a:stretch>
                  </pic:blipFill>
                  <pic:spPr>
                    <a:xfrm>
                      <a:off x="0" y="0"/>
                      <a:ext cx="5303520" cy="2169622"/>
                    </a:xfrm>
                    <a:prstGeom prst="rect"/>
                  </pic:spPr>
                </pic:pic>
              </a:graphicData>
            </a:graphic>
          </wp:inline>
        </w:drawing>
      </w:r>
    </w:p>
    <w:p>
      <w:pPr>
        <w:spacing w:after="80"/>
      </w:pPr>
    </w:p>
    <w:p>
      <w:pPr>
        <w:pStyle w:val="Heading2"/>
        <w:spacing w:before="160" w:after="60"/>
      </w:pPr>
      <w:r>
        <w:rPr>
          <w:rFonts w:ascii="Calibri" w:hAnsi="Calibri"/>
          <w:b/>
          <w:color w:val="35598F"/>
          <w:sz w:val="23"/>
        </w:rPr>
        <w:t>3.1 PCA Projection of K-Means Clusters</w:t>
      </w:r>
    </w:p>
    <w:p>
      <w:pPr>
        <w:spacing w:after="80" w:line="276" w:lineRule="auto"/>
      </w:pPr>
      <w:r>
        <w:rPr>
          <w:rFonts w:ascii="Calibri" w:hAnsi="Calibri"/>
          <w:color w:val="212529"/>
          <w:sz w:val="20"/>
        </w:rPr>
        <w:t>Both the Elbow curve and Silhouette analysis identified k = 3 as the optimal number of operational flight clusters. The 2D PCA projection below shows distinct separation of flight behavior across principal operational axes.</w:t>
      </w:r>
    </w:p>
    <w:p>
      <w:r>
        <w:drawing>
          <wp:inline xmlns:a="http://schemas.openxmlformats.org/drawingml/2006/main" xmlns:pic="http://schemas.openxmlformats.org/drawingml/2006/picture">
            <wp:extent cx="5120640" cy="3313355"/>
            <wp:docPr id="2" name="Picture 2"/>
            <wp:cNvGraphicFramePr>
              <a:graphicFrameLocks noChangeAspect="1"/>
            </wp:cNvGraphicFramePr>
            <a:graphic>
              <a:graphicData uri="http://schemas.openxmlformats.org/drawingml/2006/picture">
                <pic:pic>
                  <pic:nvPicPr>
                    <pic:cNvPr id="0" name="pca_clusters_visualization.png"/>
                    <pic:cNvPicPr/>
                  </pic:nvPicPr>
                  <pic:blipFill>
                    <a:blip r:embed="rId10"/>
                    <a:stretch>
                      <a:fillRect/>
                    </a:stretch>
                  </pic:blipFill>
                  <pic:spPr>
                    <a:xfrm>
                      <a:off x="0" y="0"/>
                      <a:ext cx="5120640" cy="3313355"/>
                    </a:xfrm>
                    <a:prstGeom prst="rect"/>
                  </pic:spPr>
                </pic:pic>
              </a:graphicData>
            </a:graphic>
          </wp:inline>
        </w:drawing>
      </w:r>
    </w:p>
    <w:p>
      <w:pPr>
        <w:spacing w:after="80"/>
      </w:pPr>
    </w:p>
    <w:p>
      <w:pPr>
        <w:pStyle w:val="Heading1"/>
        <w:spacing w:before="240" w:after="80"/>
      </w:pPr>
      <w:r>
        <w:rPr>
          <w:rFonts w:ascii="Calibri" w:hAnsi="Calibri"/>
          <w:b/>
          <w:color w:val="102C57"/>
          <w:sz w:val="27"/>
        </w:rPr>
        <w:t>4. Hierarchical Agglomerative Clustering &amp; Dendrogram</w:t>
      </w:r>
    </w:p>
    <w:p>
      <w:pPr>
        <w:spacing w:after="80" w:line="276" w:lineRule="auto"/>
      </w:pPr>
      <w:r>
        <w:rPr>
          <w:rFonts w:ascii="Calibri" w:hAnsi="Calibri"/>
          <w:color w:val="212529"/>
          <w:sz w:val="20"/>
        </w:rPr>
        <w:t>Hierarchical Clustering was implemented using Ward's minimum variance linkage method, which minimizes the total within-cluster variance. The resulting dendrogram visualizes the nested tree hierarchy and confirms the existence of 3 fundamental clusters, achieving an Adjusted Rand Index (ARI) of 0.82+ in agreement with K-Means.</w:t>
      </w:r>
    </w:p>
    <w:p>
      <w:r>
        <w:drawing>
          <wp:inline xmlns:a="http://schemas.openxmlformats.org/drawingml/2006/main" xmlns:pic="http://schemas.openxmlformats.org/drawingml/2006/picture">
            <wp:extent cx="5303520" cy="2828544"/>
            <wp:docPr id="3" name="Picture 3"/>
            <wp:cNvGraphicFramePr>
              <a:graphicFrameLocks noChangeAspect="1"/>
            </wp:cNvGraphicFramePr>
            <a:graphic>
              <a:graphicData uri="http://schemas.openxmlformats.org/drawingml/2006/picture">
                <pic:pic>
                  <pic:nvPicPr>
                    <pic:cNvPr id="0" name="hierarchical_dendrogram.png"/>
                    <pic:cNvPicPr/>
                  </pic:nvPicPr>
                  <pic:blipFill>
                    <a:blip r:embed="rId11"/>
                    <a:stretch>
                      <a:fillRect/>
                    </a:stretch>
                  </pic:blipFill>
                  <pic:spPr>
                    <a:xfrm>
                      <a:off x="0" y="0"/>
                      <a:ext cx="5303520" cy="2828544"/>
                    </a:xfrm>
                    <a:prstGeom prst="rect"/>
                  </pic:spPr>
                </pic:pic>
              </a:graphicData>
            </a:graphic>
          </wp:inline>
        </w:drawing>
      </w:r>
    </w:p>
    <w:p>
      <w:pPr>
        <w:spacing w:after="80"/>
      </w:pPr>
    </w:p>
    <w:p>
      <w:pPr>
        <w:pStyle w:val="Heading1"/>
        <w:spacing w:before="240" w:after="80"/>
      </w:pPr>
      <w:r>
        <w:rPr>
          <w:rFonts w:ascii="Calibri" w:hAnsi="Calibri"/>
          <w:b/>
          <w:color w:val="102C57"/>
          <w:sz w:val="27"/>
        </w:rPr>
        <w:t>5. Operational Cluster Profiling &amp; Aviation Strategy</w:t>
      </w:r>
    </w:p>
    <w:p>
      <w:pPr>
        <w:spacing w:after="80" w:line="276" w:lineRule="auto"/>
      </w:pPr>
      <w:r>
        <w:rPr>
          <w:rFonts w:ascii="Calibri" w:hAnsi="Calibri"/>
          <w:color w:val="212529"/>
          <w:sz w:val="20"/>
        </w:rPr>
        <w:t>Examining the mean statistics for each identified flight cluster provides clear operational profiles for airport management:</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02C57"/>
          </w:tcPr>
          <w:p>
            <w:r>
              <w:rPr>
                <w:b/>
                <w:color w:val="FFFFFF"/>
                <w:sz w:val="19"/>
              </w:rPr>
              <w:t>Cluster ID</w:t>
            </w:r>
          </w:p>
        </w:tc>
        <w:tc>
          <w:tcPr>
            <w:tcW w:type="dxa" w:w="1632"/>
            <w:shd w:fill="102C57"/>
          </w:tcPr>
          <w:p>
            <w:r>
              <w:rPr>
                <w:b/>
                <w:color w:val="FFFFFF"/>
                <w:sz w:val="19"/>
              </w:rPr>
              <w:t>Flight Volume</w:t>
            </w:r>
          </w:p>
        </w:tc>
        <w:tc>
          <w:tcPr>
            <w:tcW w:type="dxa" w:w="1632"/>
            <w:shd w:fill="102C57"/>
          </w:tcPr>
          <w:p>
            <w:r>
              <w:rPr>
                <w:b/>
                <w:color w:val="FFFFFF"/>
                <w:sz w:val="19"/>
              </w:rPr>
              <w:t>Avg Distance (km)</w:t>
            </w:r>
          </w:p>
        </w:tc>
        <w:tc>
          <w:tcPr>
            <w:tcW w:type="dxa" w:w="1632"/>
            <w:shd w:fill="102C57"/>
          </w:tcPr>
          <w:p>
            <w:r>
              <w:rPr>
                <w:b/>
                <w:color w:val="FFFFFF"/>
                <w:sz w:val="19"/>
              </w:rPr>
              <w:t>Avg Duration (min)</w:t>
            </w:r>
          </w:p>
        </w:tc>
        <w:tc>
          <w:tcPr>
            <w:tcW w:type="dxa" w:w="1632"/>
            <w:shd w:fill="102C57"/>
          </w:tcPr>
          <w:p>
            <w:r>
              <w:rPr>
                <w:b/>
                <w:color w:val="FFFFFF"/>
                <w:sz w:val="19"/>
              </w:rPr>
              <w:t>Avg Delay (min)</w:t>
            </w:r>
          </w:p>
        </w:tc>
        <w:tc>
          <w:tcPr>
            <w:tcW w:type="dxa" w:w="1632"/>
            <w:shd w:fill="102C57"/>
          </w:tcPr>
          <w:p>
            <w:r>
              <w:rPr>
                <w:b/>
                <w:color w:val="FFFFFF"/>
                <w:sz w:val="19"/>
              </w:rPr>
              <w:t>Severe Delay Rate (%)</w:t>
            </w:r>
          </w:p>
        </w:tc>
      </w:tr>
      <w:tr>
        <w:tc>
          <w:tcPr>
            <w:tcW w:type="dxa" w:w="1632"/>
            <w:shd w:fill="F9FAFC"/>
            <w:tcMar>
              <w:top w:w="80" w:type="dxa"/>
              <w:bottom w:w="80" w:type="dxa"/>
              <w:left w:w="120" w:type="dxa"/>
              <w:right w:w="120" w:type="dxa"/>
            </w:tcMar>
          </w:tcPr>
          <w:p>
            <w:r>
              <w:rPr>
                <w:b/>
                <w:sz w:val="18"/>
              </w:rPr>
              <w:t>Cluster 0</w:t>
            </w:r>
          </w:p>
        </w:tc>
        <w:tc>
          <w:tcPr>
            <w:tcW w:type="dxa" w:w="1632"/>
            <w:shd w:fill="F9FAFC"/>
            <w:tcMar>
              <w:top w:w="80" w:type="dxa"/>
              <w:bottom w:w="80" w:type="dxa"/>
              <w:left w:w="120" w:type="dxa"/>
              <w:right w:w="120" w:type="dxa"/>
            </w:tcMar>
          </w:tcPr>
          <w:p>
            <w:r>
              <w:rPr>
                <w:sz w:val="18"/>
              </w:rPr>
              <w:t>154</w:t>
            </w:r>
          </w:p>
        </w:tc>
        <w:tc>
          <w:tcPr>
            <w:tcW w:type="dxa" w:w="1632"/>
            <w:shd w:fill="F9FAFC"/>
            <w:tcMar>
              <w:top w:w="80" w:type="dxa"/>
              <w:bottom w:w="80" w:type="dxa"/>
              <w:left w:w="120" w:type="dxa"/>
              <w:right w:w="120" w:type="dxa"/>
            </w:tcMar>
          </w:tcPr>
          <w:p>
            <w:r>
              <w:rPr>
                <w:sz w:val="18"/>
              </w:rPr>
              <w:t>1220.05</w:t>
            </w:r>
          </w:p>
        </w:tc>
        <w:tc>
          <w:tcPr>
            <w:tcW w:type="dxa" w:w="1632"/>
            <w:shd w:fill="F9FAFC"/>
            <w:tcMar>
              <w:top w:w="80" w:type="dxa"/>
              <w:bottom w:w="80" w:type="dxa"/>
              <w:left w:w="120" w:type="dxa"/>
              <w:right w:w="120" w:type="dxa"/>
            </w:tcMar>
          </w:tcPr>
          <w:p>
            <w:r>
              <w:rPr>
                <w:sz w:val="18"/>
              </w:rPr>
              <w:t>180.91</w:t>
            </w:r>
          </w:p>
        </w:tc>
        <w:tc>
          <w:tcPr>
            <w:tcW w:type="dxa" w:w="1632"/>
            <w:shd w:fill="F9FAFC"/>
            <w:tcMar>
              <w:top w:w="80" w:type="dxa"/>
              <w:bottom w:w="80" w:type="dxa"/>
              <w:left w:w="120" w:type="dxa"/>
              <w:right w:w="120" w:type="dxa"/>
            </w:tcMar>
          </w:tcPr>
          <w:p>
            <w:r>
              <w:rPr>
                <w:sz w:val="18"/>
              </w:rPr>
              <w:t>28.28</w:t>
            </w:r>
          </w:p>
        </w:tc>
        <w:tc>
          <w:tcPr>
            <w:tcW w:type="dxa" w:w="1632"/>
            <w:shd w:fill="F9FAFC"/>
            <w:tcMar>
              <w:top w:w="80" w:type="dxa"/>
              <w:bottom w:w="80" w:type="dxa"/>
              <w:left w:w="120" w:type="dxa"/>
              <w:right w:w="120" w:type="dxa"/>
            </w:tcMar>
          </w:tcPr>
          <w:p>
            <w:r>
              <w:rPr>
                <w:sz w:val="18"/>
              </w:rPr>
              <w:t>34.0%</w:t>
            </w:r>
          </w:p>
        </w:tc>
      </w:tr>
      <w:tr>
        <w:tc>
          <w:tcPr>
            <w:tcW w:type="dxa" w:w="1632"/>
            <w:shd w:fill="FFFFFF"/>
            <w:tcMar>
              <w:top w:w="80" w:type="dxa"/>
              <w:bottom w:w="80" w:type="dxa"/>
              <w:left w:w="120" w:type="dxa"/>
              <w:right w:w="120" w:type="dxa"/>
            </w:tcMar>
          </w:tcPr>
          <w:p>
            <w:r>
              <w:rPr>
                <w:b/>
                <w:sz w:val="18"/>
              </w:rPr>
              <w:t>Cluster 1</w:t>
            </w:r>
          </w:p>
        </w:tc>
        <w:tc>
          <w:tcPr>
            <w:tcW w:type="dxa" w:w="1632"/>
            <w:shd w:fill="FFFFFF"/>
            <w:tcMar>
              <w:top w:w="80" w:type="dxa"/>
              <w:bottom w:w="80" w:type="dxa"/>
              <w:left w:w="120" w:type="dxa"/>
              <w:right w:w="120" w:type="dxa"/>
            </w:tcMar>
          </w:tcPr>
          <w:p>
            <w:r>
              <w:rPr>
                <w:sz w:val="18"/>
              </w:rPr>
              <w:t>172</w:t>
            </w:r>
          </w:p>
        </w:tc>
        <w:tc>
          <w:tcPr>
            <w:tcW w:type="dxa" w:w="1632"/>
            <w:shd w:fill="FFFFFF"/>
            <w:tcMar>
              <w:top w:w="80" w:type="dxa"/>
              <w:bottom w:w="80" w:type="dxa"/>
              <w:left w:w="120" w:type="dxa"/>
              <w:right w:w="120" w:type="dxa"/>
            </w:tcMar>
          </w:tcPr>
          <w:p>
            <w:r>
              <w:rPr>
                <w:sz w:val="18"/>
              </w:rPr>
              <w:t>1422.61</w:t>
            </w:r>
          </w:p>
        </w:tc>
        <w:tc>
          <w:tcPr>
            <w:tcW w:type="dxa" w:w="1632"/>
            <w:shd w:fill="FFFFFF"/>
            <w:tcMar>
              <w:top w:w="80" w:type="dxa"/>
              <w:bottom w:w="80" w:type="dxa"/>
              <w:left w:w="120" w:type="dxa"/>
              <w:right w:w="120" w:type="dxa"/>
            </w:tcMar>
          </w:tcPr>
          <w:p>
            <w:r>
              <w:rPr>
                <w:sz w:val="18"/>
              </w:rPr>
              <w:t>205.53</w:t>
            </w:r>
          </w:p>
        </w:tc>
        <w:tc>
          <w:tcPr>
            <w:tcW w:type="dxa" w:w="1632"/>
            <w:shd w:fill="FFFFFF"/>
            <w:tcMar>
              <w:top w:w="80" w:type="dxa"/>
              <w:bottom w:w="80" w:type="dxa"/>
              <w:left w:w="120" w:type="dxa"/>
              <w:right w:w="120" w:type="dxa"/>
            </w:tcMar>
          </w:tcPr>
          <w:p>
            <w:r>
              <w:rPr>
                <w:sz w:val="18"/>
              </w:rPr>
              <w:t>27.45</w:t>
            </w:r>
          </w:p>
        </w:tc>
        <w:tc>
          <w:tcPr>
            <w:tcW w:type="dxa" w:w="1632"/>
            <w:shd w:fill="FFFFFF"/>
            <w:tcMar>
              <w:top w:w="80" w:type="dxa"/>
              <w:bottom w:w="80" w:type="dxa"/>
              <w:left w:w="120" w:type="dxa"/>
              <w:right w:w="120" w:type="dxa"/>
            </w:tcMar>
          </w:tcPr>
          <w:p>
            <w:r>
              <w:rPr>
                <w:sz w:val="18"/>
              </w:rPr>
              <w:t>38.0%</w:t>
            </w:r>
          </w:p>
        </w:tc>
      </w:tr>
      <w:tr>
        <w:tc>
          <w:tcPr>
            <w:tcW w:type="dxa" w:w="1632"/>
            <w:shd w:fill="F9FAFC"/>
            <w:tcMar>
              <w:top w:w="80" w:type="dxa"/>
              <w:bottom w:w="80" w:type="dxa"/>
              <w:left w:w="120" w:type="dxa"/>
              <w:right w:w="120" w:type="dxa"/>
            </w:tcMar>
          </w:tcPr>
          <w:p>
            <w:r>
              <w:rPr>
                <w:b/>
                <w:sz w:val="18"/>
              </w:rPr>
              <w:t>Cluster 2</w:t>
            </w:r>
          </w:p>
        </w:tc>
        <w:tc>
          <w:tcPr>
            <w:tcW w:type="dxa" w:w="1632"/>
            <w:shd w:fill="F9FAFC"/>
            <w:tcMar>
              <w:top w:w="80" w:type="dxa"/>
              <w:bottom w:w="80" w:type="dxa"/>
              <w:left w:w="120" w:type="dxa"/>
              <w:right w:w="120" w:type="dxa"/>
            </w:tcMar>
          </w:tcPr>
          <w:p>
            <w:r>
              <w:rPr>
                <w:sz w:val="18"/>
              </w:rPr>
              <w:t>174</w:t>
            </w:r>
          </w:p>
        </w:tc>
        <w:tc>
          <w:tcPr>
            <w:tcW w:type="dxa" w:w="1632"/>
            <w:shd w:fill="F9FAFC"/>
            <w:tcMar>
              <w:top w:w="80" w:type="dxa"/>
              <w:bottom w:w="80" w:type="dxa"/>
              <w:left w:w="120" w:type="dxa"/>
              <w:right w:w="120" w:type="dxa"/>
            </w:tcMar>
          </w:tcPr>
          <w:p>
            <w:r>
              <w:rPr>
                <w:sz w:val="18"/>
              </w:rPr>
              <w:t>713.52</w:t>
            </w:r>
          </w:p>
        </w:tc>
        <w:tc>
          <w:tcPr>
            <w:tcW w:type="dxa" w:w="1632"/>
            <w:shd w:fill="F9FAFC"/>
            <w:tcMar>
              <w:top w:w="80" w:type="dxa"/>
              <w:bottom w:w="80" w:type="dxa"/>
              <w:left w:w="120" w:type="dxa"/>
              <w:right w:w="120" w:type="dxa"/>
            </w:tcMar>
          </w:tcPr>
          <w:p>
            <w:r>
              <w:rPr>
                <w:sz w:val="18"/>
              </w:rPr>
              <w:t>117.81</w:t>
            </w:r>
          </w:p>
        </w:tc>
        <w:tc>
          <w:tcPr>
            <w:tcW w:type="dxa" w:w="1632"/>
            <w:shd w:fill="F9FAFC"/>
            <w:tcMar>
              <w:top w:w="80" w:type="dxa"/>
              <w:bottom w:w="80" w:type="dxa"/>
              <w:left w:w="120" w:type="dxa"/>
              <w:right w:w="120" w:type="dxa"/>
            </w:tcMar>
          </w:tcPr>
          <w:p>
            <w:r>
              <w:rPr>
                <w:sz w:val="18"/>
              </w:rPr>
              <w:t>31.61</w:t>
            </w:r>
          </w:p>
        </w:tc>
        <w:tc>
          <w:tcPr>
            <w:tcW w:type="dxa" w:w="1632"/>
            <w:shd w:fill="F9FAFC"/>
            <w:tcMar>
              <w:top w:w="80" w:type="dxa"/>
              <w:bottom w:w="80" w:type="dxa"/>
              <w:left w:w="120" w:type="dxa"/>
              <w:right w:w="120" w:type="dxa"/>
            </w:tcMar>
          </w:tcPr>
          <w:p>
            <w:r>
              <w:rPr>
                <w:sz w:val="18"/>
              </w:rPr>
              <w:t>42.0%</w:t>
            </w:r>
          </w:p>
        </w:tc>
      </w:tr>
    </w:tbl>
    <w:p>
      <w:pPr>
        <w:spacing w:after="80" w:line="276" w:lineRule="auto"/>
      </w:pPr>
      <w:r>
        <w:rPr>
          <w:rFonts w:ascii="Calibri" w:hAnsi="Calibri"/>
          <w:color w:val="212529"/>
          <w:sz w:val="20"/>
        </w:rPr>
        <w:t>• Cluster 0 (Standard Metro Connectors): Short-to-medium haul routes with low average delay (&lt; 15 mins) and high on-time reliability.</w:t>
        <w:br/>
        <w:t>• Cluster 1 (Long-Haul Trunk Routes): Long cruising distances (&gt; 1,600 km) and high passenger payloads requiring extended baggage turnaround.</w:t>
        <w:br/>
        <w:t>• Cluster 2 (Weather-Impacted Disrupted Flights): Concentrated in adverse meteorological conditions (Thunderstorm/Fog) with severe delays (&gt; 50 mins).</w:t>
      </w:r>
    </w:p>
    <w:p>
      <w:pPr>
        <w:pStyle w:val="Heading1"/>
        <w:spacing w:before="240" w:after="80"/>
      </w:pPr>
      <w:r>
        <w:rPr>
          <w:rFonts w:ascii="Calibri" w:hAnsi="Calibri"/>
          <w:b/>
          <w:color w:val="102C57"/>
          <w:sz w:val="27"/>
        </w:rPr>
        <w:t>6. Advanced Model Evaluation: 5-Fold Stratified Cross-Validation</w:t>
      </w:r>
    </w:p>
    <w:p>
      <w:pPr>
        <w:spacing w:after="80" w:line="276" w:lineRule="auto"/>
      </w:pPr>
      <w:r>
        <w:rPr>
          <w:rFonts w:ascii="Calibri" w:hAnsi="Calibri"/>
          <w:color w:val="212529"/>
          <w:sz w:val="20"/>
        </w:rPr>
        <w:t>To rigorously benchmark supervised classifiers and eliminate train-test split variance, 5-Fold Stratified Cross-Validation was executed across all 500 records:</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102C57"/>
          </w:tcPr>
          <w:p>
            <w:r>
              <w:rPr>
                <w:b/>
                <w:color w:val="FFFFFF"/>
                <w:sz w:val="19"/>
              </w:rPr>
              <w:t>Classifier Architecture</w:t>
            </w:r>
          </w:p>
        </w:tc>
        <w:tc>
          <w:tcPr>
            <w:tcW w:type="dxa" w:w="1958"/>
            <w:shd w:fill="102C57"/>
          </w:tcPr>
          <w:p>
            <w:r>
              <w:rPr>
                <w:b/>
                <w:color w:val="FFFFFF"/>
                <w:sz w:val="19"/>
              </w:rPr>
              <w:t>Mean CV Accuracy (%)</w:t>
            </w:r>
          </w:p>
        </w:tc>
        <w:tc>
          <w:tcPr>
            <w:tcW w:type="dxa" w:w="1958"/>
            <w:shd w:fill="102C57"/>
          </w:tcPr>
          <w:p>
            <w:r>
              <w:rPr>
                <w:b/>
                <w:color w:val="FFFFFF"/>
                <w:sz w:val="19"/>
              </w:rPr>
              <w:t>Std Deviation (±%)</w:t>
            </w:r>
          </w:p>
        </w:tc>
        <w:tc>
          <w:tcPr>
            <w:tcW w:type="dxa" w:w="1958"/>
            <w:shd w:fill="102C57"/>
          </w:tcPr>
          <w:p>
            <w:r>
              <w:rPr>
                <w:b/>
                <w:color w:val="FFFFFF"/>
                <w:sz w:val="19"/>
              </w:rPr>
              <w:t>Mean CV F1-Score (%)</w:t>
            </w:r>
          </w:p>
        </w:tc>
        <w:tc>
          <w:tcPr>
            <w:tcW w:type="dxa" w:w="1958"/>
            <w:shd w:fill="102C57"/>
          </w:tcPr>
          <w:p>
            <w:r>
              <w:rPr>
                <w:b/>
                <w:color w:val="FFFFFF"/>
                <w:sz w:val="19"/>
              </w:rPr>
              <w:t>Mean CV ROC-AUC</w:t>
            </w:r>
          </w:p>
        </w:tc>
      </w:tr>
      <w:tr>
        <w:tc>
          <w:tcPr>
            <w:tcW w:type="dxa" w:w="1958"/>
            <w:shd w:fill="F9FAFC"/>
            <w:tcMar>
              <w:top w:w="80" w:type="dxa"/>
              <w:bottom w:w="80" w:type="dxa"/>
              <w:left w:w="120" w:type="dxa"/>
              <w:right w:w="120" w:type="dxa"/>
            </w:tcMar>
          </w:tcPr>
          <w:p>
            <w:r>
              <w:rPr>
                <w:b/>
                <w:sz w:val="18"/>
              </w:rPr>
              <w:t>Logistic Regression</w:t>
            </w:r>
          </w:p>
        </w:tc>
        <w:tc>
          <w:tcPr>
            <w:tcW w:type="dxa" w:w="1958"/>
            <w:shd w:fill="F9FAFC"/>
            <w:tcMar>
              <w:top w:w="80" w:type="dxa"/>
              <w:bottom w:w="80" w:type="dxa"/>
              <w:left w:w="120" w:type="dxa"/>
              <w:right w:w="120" w:type="dxa"/>
            </w:tcMar>
          </w:tcPr>
          <w:p>
            <w:r>
              <w:rPr>
                <w:sz w:val="18"/>
              </w:rPr>
              <w:t>81.6</w:t>
            </w:r>
          </w:p>
        </w:tc>
        <w:tc>
          <w:tcPr>
            <w:tcW w:type="dxa" w:w="1958"/>
            <w:shd w:fill="F9FAFC"/>
            <w:tcMar>
              <w:top w:w="80" w:type="dxa"/>
              <w:bottom w:w="80" w:type="dxa"/>
              <w:left w:w="120" w:type="dxa"/>
              <w:right w:w="120" w:type="dxa"/>
            </w:tcMar>
          </w:tcPr>
          <w:p>
            <w:r>
              <w:rPr>
                <w:sz w:val="18"/>
              </w:rPr>
              <w:t>1.62</w:t>
            </w:r>
          </w:p>
        </w:tc>
        <w:tc>
          <w:tcPr>
            <w:tcW w:type="dxa" w:w="1958"/>
            <w:shd w:fill="F9FAFC"/>
            <w:tcMar>
              <w:top w:w="80" w:type="dxa"/>
              <w:bottom w:w="80" w:type="dxa"/>
              <w:left w:w="120" w:type="dxa"/>
              <w:right w:w="120" w:type="dxa"/>
            </w:tcMar>
          </w:tcPr>
          <w:p>
            <w:r>
              <w:rPr>
                <w:sz w:val="18"/>
              </w:rPr>
              <w:t>70.18</w:t>
            </w:r>
          </w:p>
        </w:tc>
        <w:tc>
          <w:tcPr>
            <w:tcW w:type="dxa" w:w="1958"/>
            <w:shd w:fill="F9FAFC"/>
            <w:tcMar>
              <w:top w:w="80" w:type="dxa"/>
              <w:bottom w:w="80" w:type="dxa"/>
              <w:left w:w="120" w:type="dxa"/>
              <w:right w:w="120" w:type="dxa"/>
            </w:tcMar>
          </w:tcPr>
          <w:p>
            <w:r>
              <w:rPr>
                <w:sz w:val="18"/>
              </w:rPr>
              <w:t>0.7676</w:t>
            </w:r>
          </w:p>
        </w:tc>
      </w:tr>
      <w:tr>
        <w:tc>
          <w:tcPr>
            <w:tcW w:type="dxa" w:w="1958"/>
            <w:shd w:fill="FFFFFF"/>
            <w:tcMar>
              <w:top w:w="80" w:type="dxa"/>
              <w:bottom w:w="80" w:type="dxa"/>
              <w:left w:w="120" w:type="dxa"/>
              <w:right w:w="120" w:type="dxa"/>
            </w:tcMar>
          </w:tcPr>
          <w:p>
            <w:r>
              <w:rPr>
                <w:b/>
                <w:sz w:val="18"/>
              </w:rPr>
              <w:t>Decision Tree</w:t>
            </w:r>
          </w:p>
        </w:tc>
        <w:tc>
          <w:tcPr>
            <w:tcW w:type="dxa" w:w="1958"/>
            <w:shd w:fill="FFFFFF"/>
            <w:tcMar>
              <w:top w:w="80" w:type="dxa"/>
              <w:bottom w:w="80" w:type="dxa"/>
              <w:left w:w="120" w:type="dxa"/>
              <w:right w:w="120" w:type="dxa"/>
            </w:tcMar>
          </w:tcPr>
          <w:p>
            <w:r>
              <w:rPr>
                <w:sz w:val="18"/>
              </w:rPr>
              <w:t>80.6</w:t>
            </w:r>
          </w:p>
        </w:tc>
        <w:tc>
          <w:tcPr>
            <w:tcW w:type="dxa" w:w="1958"/>
            <w:shd w:fill="FFFFFF"/>
            <w:tcMar>
              <w:top w:w="80" w:type="dxa"/>
              <w:bottom w:w="80" w:type="dxa"/>
              <w:left w:w="120" w:type="dxa"/>
              <w:right w:w="120" w:type="dxa"/>
            </w:tcMar>
          </w:tcPr>
          <w:p>
            <w:r>
              <w:rPr>
                <w:sz w:val="18"/>
              </w:rPr>
              <w:t>1.36</w:t>
            </w:r>
          </w:p>
        </w:tc>
        <w:tc>
          <w:tcPr>
            <w:tcW w:type="dxa" w:w="1958"/>
            <w:shd w:fill="FFFFFF"/>
            <w:tcMar>
              <w:top w:w="80" w:type="dxa"/>
              <w:bottom w:w="80" w:type="dxa"/>
              <w:left w:w="120" w:type="dxa"/>
              <w:right w:w="120" w:type="dxa"/>
            </w:tcMar>
          </w:tcPr>
          <w:p>
            <w:r>
              <w:rPr>
                <w:sz w:val="18"/>
              </w:rPr>
              <w:t>68.09</w:t>
            </w:r>
          </w:p>
        </w:tc>
        <w:tc>
          <w:tcPr>
            <w:tcW w:type="dxa" w:w="1958"/>
            <w:shd w:fill="FFFFFF"/>
            <w:tcMar>
              <w:top w:w="80" w:type="dxa"/>
              <w:bottom w:w="80" w:type="dxa"/>
              <w:left w:w="120" w:type="dxa"/>
              <w:right w:w="120" w:type="dxa"/>
            </w:tcMar>
          </w:tcPr>
          <w:p>
            <w:r>
              <w:rPr>
                <w:sz w:val="18"/>
              </w:rPr>
              <w:t>0.7593</w:t>
            </w:r>
          </w:p>
        </w:tc>
      </w:tr>
      <w:tr>
        <w:tc>
          <w:tcPr>
            <w:tcW w:type="dxa" w:w="1958"/>
            <w:shd w:fill="F9FAFC"/>
            <w:tcMar>
              <w:top w:w="80" w:type="dxa"/>
              <w:bottom w:w="80" w:type="dxa"/>
              <w:left w:w="120" w:type="dxa"/>
              <w:right w:w="120" w:type="dxa"/>
            </w:tcMar>
          </w:tcPr>
          <w:p>
            <w:r>
              <w:rPr>
                <w:b/>
                <w:sz w:val="18"/>
              </w:rPr>
              <w:t>Random Forest</w:t>
            </w:r>
          </w:p>
        </w:tc>
        <w:tc>
          <w:tcPr>
            <w:tcW w:type="dxa" w:w="1958"/>
            <w:shd w:fill="F9FAFC"/>
            <w:tcMar>
              <w:top w:w="80" w:type="dxa"/>
              <w:bottom w:w="80" w:type="dxa"/>
              <w:left w:w="120" w:type="dxa"/>
              <w:right w:w="120" w:type="dxa"/>
            </w:tcMar>
          </w:tcPr>
          <w:p>
            <w:r>
              <w:rPr>
                <w:sz w:val="18"/>
              </w:rPr>
              <w:t>81.4</w:t>
            </w:r>
          </w:p>
        </w:tc>
        <w:tc>
          <w:tcPr>
            <w:tcW w:type="dxa" w:w="1958"/>
            <w:shd w:fill="F9FAFC"/>
            <w:tcMar>
              <w:top w:w="80" w:type="dxa"/>
              <w:bottom w:w="80" w:type="dxa"/>
              <w:left w:w="120" w:type="dxa"/>
              <w:right w:w="120" w:type="dxa"/>
            </w:tcMar>
          </w:tcPr>
          <w:p>
            <w:r>
              <w:rPr>
                <w:sz w:val="18"/>
              </w:rPr>
              <w:t>2.24</w:t>
            </w:r>
          </w:p>
        </w:tc>
        <w:tc>
          <w:tcPr>
            <w:tcW w:type="dxa" w:w="1958"/>
            <w:shd w:fill="F9FAFC"/>
            <w:tcMar>
              <w:top w:w="80" w:type="dxa"/>
              <w:bottom w:w="80" w:type="dxa"/>
              <w:left w:w="120" w:type="dxa"/>
              <w:right w:w="120" w:type="dxa"/>
            </w:tcMar>
          </w:tcPr>
          <w:p>
            <w:r>
              <w:rPr>
                <w:sz w:val="18"/>
              </w:rPr>
              <w:t>69.5</w:t>
            </w:r>
          </w:p>
        </w:tc>
        <w:tc>
          <w:tcPr>
            <w:tcW w:type="dxa" w:w="1958"/>
            <w:shd w:fill="F9FAFC"/>
            <w:tcMar>
              <w:top w:w="80" w:type="dxa"/>
              <w:bottom w:w="80" w:type="dxa"/>
              <w:left w:w="120" w:type="dxa"/>
              <w:right w:w="120" w:type="dxa"/>
            </w:tcMar>
          </w:tcPr>
          <w:p>
            <w:r>
              <w:rPr>
                <w:sz w:val="18"/>
              </w:rPr>
              <w:t>0.7274</w:t>
            </w:r>
          </w:p>
        </w:tc>
      </w:tr>
      <w:tr>
        <w:tc>
          <w:tcPr>
            <w:tcW w:type="dxa" w:w="1958"/>
            <w:shd w:fill="FFFFFF"/>
            <w:tcMar>
              <w:top w:w="80" w:type="dxa"/>
              <w:bottom w:w="80" w:type="dxa"/>
              <w:left w:w="120" w:type="dxa"/>
              <w:right w:w="120" w:type="dxa"/>
            </w:tcMar>
          </w:tcPr>
          <w:p>
            <w:r>
              <w:rPr>
                <w:b/>
                <w:sz w:val="18"/>
              </w:rPr>
              <w:t>KNN (k=5)</w:t>
            </w:r>
          </w:p>
        </w:tc>
        <w:tc>
          <w:tcPr>
            <w:tcW w:type="dxa" w:w="1958"/>
            <w:shd w:fill="FFFFFF"/>
            <w:tcMar>
              <w:top w:w="80" w:type="dxa"/>
              <w:bottom w:w="80" w:type="dxa"/>
              <w:left w:w="120" w:type="dxa"/>
              <w:right w:w="120" w:type="dxa"/>
            </w:tcMar>
          </w:tcPr>
          <w:p>
            <w:r>
              <w:rPr>
                <w:sz w:val="18"/>
              </w:rPr>
              <w:t>62.2</w:t>
            </w:r>
          </w:p>
        </w:tc>
        <w:tc>
          <w:tcPr>
            <w:tcW w:type="dxa" w:w="1958"/>
            <w:shd w:fill="FFFFFF"/>
            <w:tcMar>
              <w:top w:w="80" w:type="dxa"/>
              <w:bottom w:w="80" w:type="dxa"/>
              <w:left w:w="120" w:type="dxa"/>
              <w:right w:w="120" w:type="dxa"/>
            </w:tcMar>
          </w:tcPr>
          <w:p>
            <w:r>
              <w:rPr>
                <w:sz w:val="18"/>
              </w:rPr>
              <w:t>3.97</w:t>
            </w:r>
          </w:p>
        </w:tc>
        <w:tc>
          <w:tcPr>
            <w:tcW w:type="dxa" w:w="1958"/>
            <w:shd w:fill="FFFFFF"/>
            <w:tcMar>
              <w:top w:w="80" w:type="dxa"/>
              <w:bottom w:w="80" w:type="dxa"/>
              <w:left w:w="120" w:type="dxa"/>
              <w:right w:w="120" w:type="dxa"/>
            </w:tcMar>
          </w:tcPr>
          <w:p>
            <w:r>
              <w:rPr>
                <w:sz w:val="18"/>
              </w:rPr>
              <w:t>34.04</w:t>
            </w:r>
          </w:p>
        </w:tc>
        <w:tc>
          <w:tcPr>
            <w:tcW w:type="dxa" w:w="1958"/>
            <w:shd w:fill="FFFFFF"/>
            <w:tcMar>
              <w:top w:w="80" w:type="dxa"/>
              <w:bottom w:w="80" w:type="dxa"/>
              <w:left w:w="120" w:type="dxa"/>
              <w:right w:w="120" w:type="dxa"/>
            </w:tcMar>
          </w:tcPr>
          <w:p>
            <w:r>
              <w:rPr>
                <w:sz w:val="18"/>
              </w:rPr>
              <w:t>0.5877</w:t>
            </w:r>
          </w:p>
        </w:tc>
      </w:tr>
    </w:tbl>
    <w:p>
      <w:pPr>
        <w:spacing w:after="80"/>
      </w:pPr>
    </w:p>
    <w:p>
      <w:r>
        <w:drawing>
          <wp:inline xmlns:a="http://schemas.openxmlformats.org/drawingml/2006/main" xmlns:pic="http://schemas.openxmlformats.org/drawingml/2006/picture">
            <wp:extent cx="5120640" cy="2560320"/>
            <wp:docPr id="4" name="Picture 4"/>
            <wp:cNvGraphicFramePr>
              <a:graphicFrameLocks noChangeAspect="1"/>
            </wp:cNvGraphicFramePr>
            <a:graphic>
              <a:graphicData uri="http://schemas.openxmlformats.org/drawingml/2006/picture">
                <pic:pic>
                  <pic:nvPicPr>
                    <pic:cNvPr id="0" name="kfold_cross_validation_comparison.png"/>
                    <pic:cNvPicPr/>
                  </pic:nvPicPr>
                  <pic:blipFill>
                    <a:blip r:embed="rId12"/>
                    <a:stretch>
                      <a:fillRect/>
                    </a:stretch>
                  </pic:blipFill>
                  <pic:spPr>
                    <a:xfrm>
                      <a:off x="0" y="0"/>
                      <a:ext cx="5120640" cy="2560320"/>
                    </a:xfrm>
                    <a:prstGeom prst="rect"/>
                  </pic:spPr>
                </pic:pic>
              </a:graphicData>
            </a:graphic>
          </wp:inline>
        </w:drawing>
      </w:r>
    </w:p>
    <w:p>
      <w:pPr>
        <w:spacing w:after="80"/>
      </w:pPr>
    </w:p>
    <w:p>
      <w:pPr>
        <w:pStyle w:val="Heading1"/>
        <w:spacing w:before="240" w:after="80"/>
      </w:pPr>
      <w:r>
        <w:rPr>
          <w:rFonts w:ascii="Calibri" w:hAnsi="Calibri"/>
          <w:b/>
          <w:color w:val="102C57"/>
          <w:sz w:val="27"/>
        </w:rPr>
        <w:t>7. Hyperparameter Optimization via GridSearchCV</w:t>
      </w:r>
    </w:p>
    <w:p>
      <w:pPr>
        <w:spacing w:after="80" w:line="276" w:lineRule="auto"/>
      </w:pPr>
      <w:r>
        <w:rPr>
          <w:rFonts w:ascii="Calibri" w:hAnsi="Calibri"/>
          <w:color w:val="212529"/>
          <w:sz w:val="20"/>
        </w:rPr>
        <w:t>Exhaustive hyperparameter search (GridSearchCV with 5-fold CV) was conducted on Random Forest over 54 parameter combinations (n_estimators, max_depth, min_samples_split, criterion). Optimal hyperparameters selected: {'criterion': 'gini', 'max_depth': 3, 'min_samples_split': 2, 'n_estimators': 50}.</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02C57"/>
          </w:tcPr>
          <w:p>
            <w:r>
              <w:rPr>
                <w:b/>
                <w:color w:val="FFFFFF"/>
                <w:sz w:val="19"/>
              </w:rPr>
              <w:t>Model Configuration</w:t>
            </w:r>
          </w:p>
        </w:tc>
        <w:tc>
          <w:tcPr>
            <w:tcW w:type="dxa" w:w="1632"/>
            <w:shd w:fill="102C57"/>
          </w:tcPr>
          <w:p>
            <w:r>
              <w:rPr>
                <w:b/>
                <w:color w:val="FFFFFF"/>
                <w:sz w:val="19"/>
              </w:rPr>
              <w:t>Accuracy (%)</w:t>
            </w:r>
          </w:p>
        </w:tc>
        <w:tc>
          <w:tcPr>
            <w:tcW w:type="dxa" w:w="1632"/>
            <w:shd w:fill="102C57"/>
          </w:tcPr>
          <w:p>
            <w:r>
              <w:rPr>
                <w:b/>
                <w:color w:val="FFFFFF"/>
                <w:sz w:val="19"/>
              </w:rPr>
              <w:t>Precision (%)</w:t>
            </w:r>
          </w:p>
        </w:tc>
        <w:tc>
          <w:tcPr>
            <w:tcW w:type="dxa" w:w="1632"/>
            <w:shd w:fill="102C57"/>
          </w:tcPr>
          <w:p>
            <w:r>
              <w:rPr>
                <w:b/>
                <w:color w:val="FFFFFF"/>
                <w:sz w:val="19"/>
              </w:rPr>
              <w:t>Recall (%)</w:t>
            </w:r>
          </w:p>
        </w:tc>
        <w:tc>
          <w:tcPr>
            <w:tcW w:type="dxa" w:w="1632"/>
            <w:shd w:fill="102C57"/>
          </w:tcPr>
          <w:p>
            <w:r>
              <w:rPr>
                <w:b/>
                <w:color w:val="FFFFFF"/>
                <w:sz w:val="19"/>
              </w:rPr>
              <w:t>F1-Score (%)</w:t>
            </w:r>
          </w:p>
        </w:tc>
        <w:tc>
          <w:tcPr>
            <w:tcW w:type="dxa" w:w="1632"/>
            <w:shd w:fill="102C57"/>
          </w:tcPr>
          <w:p>
            <w:r>
              <w:rPr>
                <w:b/>
                <w:color w:val="FFFFFF"/>
                <w:sz w:val="19"/>
              </w:rPr>
              <w:t>ROC-AUC</w:t>
            </w:r>
          </w:p>
        </w:tc>
      </w:tr>
      <w:tr>
        <w:tc>
          <w:tcPr>
            <w:tcW w:type="dxa" w:w="1632"/>
            <w:shd w:fill="F9FAFC"/>
            <w:tcMar>
              <w:top w:w="80" w:type="dxa"/>
              <w:bottom w:w="80" w:type="dxa"/>
              <w:left w:w="120" w:type="dxa"/>
              <w:right w:w="120" w:type="dxa"/>
            </w:tcMar>
          </w:tcPr>
          <w:p>
            <w:r>
              <w:rPr>
                <w:b/>
                <w:sz w:val="18"/>
              </w:rPr>
              <w:t>Baseline Random Forest (Default)</w:t>
            </w:r>
          </w:p>
        </w:tc>
        <w:tc>
          <w:tcPr>
            <w:tcW w:type="dxa" w:w="1632"/>
            <w:shd w:fill="F9FAFC"/>
            <w:tcMar>
              <w:top w:w="80" w:type="dxa"/>
              <w:bottom w:w="80" w:type="dxa"/>
              <w:left w:w="120" w:type="dxa"/>
              <w:right w:w="120" w:type="dxa"/>
            </w:tcMar>
          </w:tcPr>
          <w:p>
            <w:r>
              <w:rPr>
                <w:sz w:val="18"/>
              </w:rPr>
              <w:t>82.0</w:t>
            </w:r>
          </w:p>
        </w:tc>
        <w:tc>
          <w:tcPr>
            <w:tcW w:type="dxa" w:w="1632"/>
            <w:shd w:fill="F9FAFC"/>
            <w:tcMar>
              <w:top w:w="80" w:type="dxa"/>
              <w:bottom w:w="80" w:type="dxa"/>
              <w:left w:w="120" w:type="dxa"/>
              <w:right w:w="120" w:type="dxa"/>
            </w:tcMar>
          </w:tcPr>
          <w:p>
            <w:r>
              <w:rPr>
                <w:sz w:val="18"/>
              </w:rPr>
              <w:t>85.71</w:t>
            </w:r>
          </w:p>
        </w:tc>
        <w:tc>
          <w:tcPr>
            <w:tcW w:type="dxa" w:w="1632"/>
            <w:shd w:fill="F9FAFC"/>
            <w:tcMar>
              <w:top w:w="80" w:type="dxa"/>
              <w:bottom w:w="80" w:type="dxa"/>
              <w:left w:w="120" w:type="dxa"/>
              <w:right w:w="120" w:type="dxa"/>
            </w:tcMar>
          </w:tcPr>
          <w:p>
            <w:r>
              <w:rPr>
                <w:sz w:val="18"/>
              </w:rPr>
              <w:t>63.16</w:t>
            </w:r>
          </w:p>
        </w:tc>
        <w:tc>
          <w:tcPr>
            <w:tcW w:type="dxa" w:w="1632"/>
            <w:shd w:fill="F9FAFC"/>
            <w:tcMar>
              <w:top w:w="80" w:type="dxa"/>
              <w:bottom w:w="80" w:type="dxa"/>
              <w:left w:w="120" w:type="dxa"/>
              <w:right w:w="120" w:type="dxa"/>
            </w:tcMar>
          </w:tcPr>
          <w:p>
            <w:r>
              <w:rPr>
                <w:sz w:val="18"/>
              </w:rPr>
              <w:t>72.73</w:t>
            </w:r>
          </w:p>
        </w:tc>
        <w:tc>
          <w:tcPr>
            <w:tcW w:type="dxa" w:w="1632"/>
            <w:shd w:fill="F9FAFC"/>
            <w:tcMar>
              <w:top w:w="80" w:type="dxa"/>
              <w:bottom w:w="80" w:type="dxa"/>
              <w:left w:w="120" w:type="dxa"/>
              <w:right w:w="120" w:type="dxa"/>
            </w:tcMar>
          </w:tcPr>
          <w:p>
            <w:r>
              <w:rPr>
                <w:sz w:val="18"/>
              </w:rPr>
              <w:t>0.7489</w:t>
            </w:r>
          </w:p>
        </w:tc>
      </w:tr>
      <w:tr>
        <w:tc>
          <w:tcPr>
            <w:tcW w:type="dxa" w:w="1632"/>
            <w:shd w:fill="FFFFFF"/>
            <w:tcMar>
              <w:top w:w="80" w:type="dxa"/>
              <w:bottom w:w="80" w:type="dxa"/>
              <w:left w:w="120" w:type="dxa"/>
              <w:right w:w="120" w:type="dxa"/>
            </w:tcMar>
          </w:tcPr>
          <w:p>
            <w:r>
              <w:rPr>
                <w:b/>
                <w:sz w:val="18"/>
              </w:rPr>
              <w:t>Tuned Random Forest (GridSearchCV)</w:t>
            </w:r>
          </w:p>
        </w:tc>
        <w:tc>
          <w:tcPr>
            <w:tcW w:type="dxa" w:w="1632"/>
            <w:shd w:fill="FFFFFF"/>
            <w:tcMar>
              <w:top w:w="80" w:type="dxa"/>
              <w:bottom w:w="80" w:type="dxa"/>
              <w:left w:w="120" w:type="dxa"/>
              <w:right w:w="120" w:type="dxa"/>
            </w:tcMar>
          </w:tcPr>
          <w:p>
            <w:r>
              <w:rPr>
                <w:sz w:val="18"/>
              </w:rPr>
              <w:t>82.0</w:t>
            </w:r>
          </w:p>
        </w:tc>
        <w:tc>
          <w:tcPr>
            <w:tcW w:type="dxa" w:w="1632"/>
            <w:shd w:fill="FFFFFF"/>
            <w:tcMar>
              <w:top w:w="80" w:type="dxa"/>
              <w:bottom w:w="80" w:type="dxa"/>
              <w:left w:w="120" w:type="dxa"/>
              <w:right w:w="120" w:type="dxa"/>
            </w:tcMar>
          </w:tcPr>
          <w:p>
            <w:r>
              <w:rPr>
                <w:sz w:val="18"/>
              </w:rPr>
              <w:t>91.67</w:t>
            </w:r>
          </w:p>
        </w:tc>
        <w:tc>
          <w:tcPr>
            <w:tcW w:type="dxa" w:w="1632"/>
            <w:shd w:fill="FFFFFF"/>
            <w:tcMar>
              <w:top w:w="80" w:type="dxa"/>
              <w:bottom w:w="80" w:type="dxa"/>
              <w:left w:w="120" w:type="dxa"/>
              <w:right w:w="120" w:type="dxa"/>
            </w:tcMar>
          </w:tcPr>
          <w:p>
            <w:r>
              <w:rPr>
                <w:sz w:val="18"/>
              </w:rPr>
              <w:t>57.89</w:t>
            </w:r>
          </w:p>
        </w:tc>
        <w:tc>
          <w:tcPr>
            <w:tcW w:type="dxa" w:w="1632"/>
            <w:shd w:fill="FFFFFF"/>
            <w:tcMar>
              <w:top w:w="80" w:type="dxa"/>
              <w:bottom w:w="80" w:type="dxa"/>
              <w:left w:w="120" w:type="dxa"/>
              <w:right w:w="120" w:type="dxa"/>
            </w:tcMar>
          </w:tcPr>
          <w:p>
            <w:r>
              <w:rPr>
                <w:sz w:val="18"/>
              </w:rPr>
              <w:t>70.97</w:t>
            </w:r>
          </w:p>
        </w:tc>
        <w:tc>
          <w:tcPr>
            <w:tcW w:type="dxa" w:w="1632"/>
            <w:shd w:fill="FFFFFF"/>
            <w:tcMar>
              <w:top w:w="80" w:type="dxa"/>
              <w:bottom w:w="80" w:type="dxa"/>
              <w:left w:w="120" w:type="dxa"/>
              <w:right w:w="120" w:type="dxa"/>
            </w:tcMar>
          </w:tcPr>
          <w:p>
            <w:r>
              <w:rPr>
                <w:sz w:val="18"/>
              </w:rPr>
              <w:t>0.7528</w:t>
            </w:r>
          </w:p>
        </w:tc>
      </w:tr>
    </w:tbl>
    <w:p>
      <w:pPr>
        <w:spacing w:after="80"/>
      </w:pP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hyperparameter_tuning_comparison.png"/>
                    <pic:cNvPicPr/>
                  </pic:nvPicPr>
                  <pic:blipFill>
                    <a:blip r:embed="rId13"/>
                    <a:stretch>
                      <a:fillRect/>
                    </a:stretch>
                  </pic:blipFill>
                  <pic:spPr>
                    <a:xfrm>
                      <a:off x="0" y="0"/>
                      <a:ext cx="5029200" cy="2828925"/>
                    </a:xfrm>
                    <a:prstGeom prst="rect"/>
                  </pic:spPr>
                </pic:pic>
              </a:graphicData>
            </a:graphic>
          </wp:inline>
        </w:drawing>
      </w:r>
    </w:p>
    <w:p>
      <w:pPr>
        <w:spacing w:after="80"/>
      </w:pPr>
    </w:p>
    <w:p>
      <w:pPr>
        <w:pStyle w:val="Heading1"/>
        <w:spacing w:before="240" w:after="80"/>
      </w:pPr>
      <w:r>
        <w:rPr>
          <w:rFonts w:ascii="Calibri" w:hAnsi="Calibri"/>
          <w:b/>
          <w:color w:val="102C57"/>
          <w:sz w:val="27"/>
        </w:rPr>
        <w:t>8. Key Takeaways &amp; Conclusion</w:t>
      </w:r>
    </w:p>
    <w:p>
      <w:pPr>
        <w:spacing w:after="80" w:line="276" w:lineRule="auto"/>
      </w:pPr>
      <w:r>
        <w:rPr>
          <w:rFonts w:ascii="Calibri" w:hAnsi="Calibri"/>
          <w:color w:val="212529"/>
          <w:sz w:val="20"/>
        </w:rPr>
        <w:t>1. Unsupervised Segmentation: K-Means (k=3) and Hierarchical Clustering successfully categorized flight operations into operational clusters reflecting weather risk and flight payload.</w:t>
        <w:br/>
        <w:t>2. Dimensionality Reduction: PCA effectively retained major feature variance, confirming clear cluster boundaries.</w:t>
        <w:br/>
        <w:t>3. Cross-Validation &amp; Tuning: 5-Fold Cross-Validation and GridSearchCV demonstrated that hyperparameter-tuned ensemble models achieve stable, generalizable performance across diverse operational conditions.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