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02C57"/>
          <w:sz w:val="34"/>
        </w:rPr>
        <w:t>AI PIONEERS INTERNSHIP - WEEK 2 PROJECT REPORT</w:t>
        <w:br/>
      </w:r>
      <w:r>
        <w:rPr>
          <w:rFonts w:ascii="Calibri" w:hAnsi="Calibri"/>
          <w:b/>
          <w:color w:val="35598F"/>
          <w:sz w:val="26"/>
        </w:rPr>
        <w:t>Supervised Machine Learning Models: Regression, Classification &amp; Performance Evaluation</w:t>
        <w:br/>
      </w:r>
    </w:p>
    <w:tbl>
      <w:tblPr>
        <w:tblW w:type="auto" w:w="0"/>
        <w:jc w:val="center"/>
        <w:tblLayout w:type="fixed"/>
        <w:tblLook w:firstColumn="1" w:firstRow="1" w:lastColumn="0" w:lastRow="0" w:noHBand="0" w:noVBand="1" w:val="04A0"/>
      </w:tblPr>
      <w:tblGrid>
        <w:gridCol w:w="4896"/>
        <w:gridCol w:w="4896"/>
      </w:tblGrid>
      <w:tr>
        <w:tc>
          <w:tcPr>
            <w:tcW w:type="dxa" w:w="3168"/>
            <w:shd w:fill="F0F4F8"/>
            <w:tcMar>
              <w:top w:w="80" w:type="dxa"/>
              <w:bottom w:w="80" w:type="dxa"/>
              <w:left w:w="120" w:type="dxa"/>
              <w:right w:w="120" w:type="dxa"/>
            </w:tcMar>
          </w:tcPr>
          <w:p>
            <w:r>
              <w:rPr>
                <w:b/>
                <w:color w:val="102C57"/>
                <w:sz w:val="19"/>
              </w:rPr>
              <w:t>Internship Program:</w:t>
            </w:r>
          </w:p>
        </w:tc>
        <w:tc>
          <w:tcPr>
            <w:tcW w:type="dxa" w:w="6480"/>
            <w:shd w:fill="F9FAFC"/>
            <w:tcMar>
              <w:top w:w="80" w:type="dxa"/>
              <w:bottom w:w="80" w:type="dxa"/>
              <w:left w:w="120" w:type="dxa"/>
              <w:right w:w="120" w:type="dxa"/>
            </w:tcMar>
          </w:tcPr>
          <w:p>
            <w:r>
              <w:rPr>
                <w:color w:val="212529"/>
                <w:sz w:val="19"/>
              </w:rPr>
              <w:t>AI Pioneers Internship (Yuva Intern / NSDC)</w:t>
            </w:r>
          </w:p>
        </w:tc>
      </w:tr>
      <w:tr>
        <w:tc>
          <w:tcPr>
            <w:tcW w:type="dxa" w:w="3168"/>
            <w:shd w:fill="F0F4F8"/>
            <w:tcMar>
              <w:top w:w="80" w:type="dxa"/>
              <w:bottom w:w="80" w:type="dxa"/>
              <w:left w:w="120" w:type="dxa"/>
              <w:right w:w="120" w:type="dxa"/>
            </w:tcMar>
          </w:tcPr>
          <w:p>
            <w:r>
              <w:rPr>
                <w:b/>
                <w:color w:val="102C57"/>
                <w:sz w:val="19"/>
              </w:rPr>
              <w:t>Project Domain:</w:t>
            </w:r>
          </w:p>
        </w:tc>
        <w:tc>
          <w:tcPr>
            <w:tcW w:type="dxa" w:w="6480"/>
            <w:shd w:fill="F9FAFC"/>
            <w:tcMar>
              <w:top w:w="80" w:type="dxa"/>
              <w:bottom w:w="80" w:type="dxa"/>
              <w:left w:w="120" w:type="dxa"/>
              <w:right w:w="120" w:type="dxa"/>
            </w:tcMar>
          </w:tcPr>
          <w:p>
            <w:r>
              <w:rPr>
                <w:color w:val="212529"/>
                <w:sz w:val="19"/>
              </w:rPr>
              <w:t>Airport Operations &amp; Flight Delay Supervised Learning</w:t>
            </w:r>
          </w:p>
        </w:tc>
      </w:tr>
      <w:tr>
        <w:tc>
          <w:tcPr>
            <w:tcW w:type="dxa" w:w="3168"/>
            <w:shd w:fill="F0F4F8"/>
            <w:tcMar>
              <w:top w:w="80" w:type="dxa"/>
              <w:bottom w:w="80" w:type="dxa"/>
              <w:left w:w="120" w:type="dxa"/>
              <w:right w:w="120" w:type="dxa"/>
            </w:tcMar>
          </w:tcPr>
          <w:p>
            <w:r>
              <w:rPr>
                <w:b/>
                <w:color w:val="102C57"/>
                <w:sz w:val="19"/>
              </w:rPr>
              <w:t>Module Deliverable:</w:t>
            </w:r>
          </w:p>
        </w:tc>
        <w:tc>
          <w:tcPr>
            <w:tcW w:type="dxa" w:w="6480"/>
            <w:shd w:fill="F9FAFC"/>
            <w:tcMar>
              <w:top w:w="80" w:type="dxa"/>
              <w:bottom w:w="80" w:type="dxa"/>
              <w:left w:w="120" w:type="dxa"/>
              <w:right w:w="120" w:type="dxa"/>
            </w:tcMar>
          </w:tcPr>
          <w:p>
            <w:r>
              <w:rPr>
                <w:color w:val="212529"/>
                <w:sz w:val="19"/>
              </w:rPr>
              <w:t>Week 2: Implementation of 5 ML Algorithms (Regression &amp; Classification)</w:t>
            </w:r>
          </w:p>
        </w:tc>
      </w:tr>
      <w:tr>
        <w:tc>
          <w:tcPr>
            <w:tcW w:type="dxa" w:w="3168"/>
            <w:shd w:fill="F0F4F8"/>
            <w:tcMar>
              <w:top w:w="80" w:type="dxa"/>
              <w:bottom w:w="80" w:type="dxa"/>
              <w:left w:w="120" w:type="dxa"/>
              <w:right w:w="120" w:type="dxa"/>
            </w:tcMar>
          </w:tcPr>
          <w:p>
            <w:r>
              <w:rPr>
                <w:b/>
                <w:color w:val="102C57"/>
                <w:sz w:val="19"/>
              </w:rPr>
              <w:t>Algorithms &amp; Tools:</w:t>
            </w:r>
          </w:p>
        </w:tc>
        <w:tc>
          <w:tcPr>
            <w:tcW w:type="dxa" w:w="6480"/>
            <w:shd w:fill="F9FAFC"/>
            <w:tcMar>
              <w:top w:w="80" w:type="dxa"/>
              <w:bottom w:w="80" w:type="dxa"/>
              <w:left w:w="120" w:type="dxa"/>
              <w:right w:w="120" w:type="dxa"/>
            </w:tcMar>
          </w:tcPr>
          <w:p>
            <w:r>
              <w:rPr>
                <w:color w:val="212529"/>
                <w:sz w:val="19"/>
              </w:rPr>
              <w:t>Scikit-Learn, Linear/Logistic Reg., Decision Trees, Random Forest, KNN</w:t>
            </w:r>
          </w:p>
        </w:tc>
      </w:tr>
    </w:tbl>
    <w:p>
      <w:pPr>
        <w:spacing w:after="120"/>
      </w:pPr>
    </w:p>
    <w:p>
      <w:pPr>
        <w:pStyle w:val="Heading1"/>
        <w:spacing w:before="240" w:after="80"/>
      </w:pPr>
      <w:r>
        <w:rPr>
          <w:rFonts w:ascii="Calibri" w:hAnsi="Calibri"/>
          <w:b/>
          <w:color w:val="102C57"/>
          <w:sz w:val="27"/>
        </w:rPr>
        <w:t>1. Executive Summary</w:t>
      </w:r>
    </w:p>
    <w:p>
      <w:pPr>
        <w:spacing w:after="80" w:line="276" w:lineRule="auto"/>
      </w:pPr>
      <w:r>
        <w:rPr>
          <w:rFonts w:ascii="Calibri" w:hAnsi="Calibri"/>
          <w:color w:val="212529"/>
          <w:sz w:val="20"/>
        </w:rPr>
        <w:t>This project fulfills the Week 2 milestone of the AI Pioneers Internship, concentrating on the architecture, training, and comparative evaluation of Supervised Machine Learning algorithms using Python and Scikit-Learn. Building upon the preprocessed aviation dataset prepared in Week 1, two primary predictive modeling tasks were formulated: (1) Continuous Flight Delay Duration Regression (predicting delay in minutes), and (2) Binary Delay Classification (predicting whether a flight will suffer a severe delay &gt; 30 minutes). Five standard supervised learning paradigms—Linear Regression, Logistic Regression, Decision Trees, Random Forest ensembles, and K-Nearest Neighbors (KNN)—were trained, evaluated, and benchmarked using rigorous statistical metrics.</w:t>
      </w:r>
    </w:p>
    <w:p>
      <w:pPr>
        <w:pStyle w:val="Heading1"/>
        <w:spacing w:before="240" w:after="80"/>
      </w:pPr>
      <w:r>
        <w:rPr>
          <w:rFonts w:ascii="Calibri" w:hAnsi="Calibri"/>
          <w:b/>
          <w:color w:val="102C57"/>
          <w:sz w:val="27"/>
        </w:rPr>
        <w:t>2. Supervised Learning Formulation &amp; Experimental Setup</w:t>
      </w:r>
    </w:p>
    <w:p>
      <w:pPr>
        <w:spacing w:after="80" w:line="276" w:lineRule="auto"/>
      </w:pPr>
      <w:r>
        <w:rPr>
          <w:rFonts w:ascii="Calibri" w:hAnsi="Calibri"/>
          <w:color w:val="212529"/>
          <w:sz w:val="20"/>
        </w:rPr>
        <w:t>The feature matrix contains 17 predictive variables including standardized continuous metrics (Distance, Flight Duration, Passenger Count, Baggage Handling Turnaround, Flight Velocity) and one-hot encoded nominal indicators (Airlines, Weather Conditions, Aircraft Types). The dataset of 500 records was partitioned into an 80% Training Set (400 records) and a 20% Testing Set (100 records). For classification, stratified sampling was applied to preserve class balance.</w:t>
      </w:r>
    </w:p>
    <w:p>
      <w:pPr>
        <w:pStyle w:val="Heading1"/>
        <w:spacing w:before="240" w:after="80"/>
      </w:pPr>
      <w:r>
        <w:rPr>
          <w:rFonts w:ascii="Calibri" w:hAnsi="Calibri"/>
          <w:b/>
          <w:color w:val="102C57"/>
          <w:sz w:val="27"/>
        </w:rPr>
        <w:t>3. Algorithms Implemented &amp; Theoretical Foundations</w:t>
      </w:r>
    </w:p>
    <w:p>
      <w:pPr>
        <w:spacing w:after="80" w:line="276" w:lineRule="auto"/>
      </w:pPr>
      <w:r>
        <w:rPr>
          <w:rFonts w:ascii="Calibri" w:hAnsi="Calibri"/>
          <w:color w:val="212529"/>
          <w:sz w:val="20"/>
        </w:rPr>
        <w:t>• Linear Regression: Fits an optimal hyperplane minimizing Ordinary Least Squares (OLS) residual sum of squares: y = Xw + b.</w:t>
      </w:r>
    </w:p>
    <w:p>
      <w:pPr>
        <w:spacing w:after="80" w:line="276" w:lineRule="auto"/>
      </w:pPr>
      <w:r>
        <w:rPr>
          <w:rFonts w:ascii="Calibri" w:hAnsi="Calibri"/>
          <w:color w:val="212529"/>
          <w:sz w:val="20"/>
        </w:rPr>
        <w:t>• Logistic Regression: Applies a sigmoid activation function sigma(z) = 1 / (1 + e^-z) to estimate delay probability.</w:t>
      </w:r>
    </w:p>
    <w:p>
      <w:pPr>
        <w:spacing w:after="80" w:line="276" w:lineRule="auto"/>
      </w:pPr>
      <w:r>
        <w:rPr>
          <w:rFonts w:ascii="Calibri" w:hAnsi="Calibri"/>
          <w:color w:val="212529"/>
          <w:sz w:val="20"/>
        </w:rPr>
        <w:t>• Decision Trees (CART): Recursively splits feature space based on Mean Squared Error (Regression) or Gini Impurity (Classification).</w:t>
      </w:r>
    </w:p>
    <w:p>
      <w:pPr>
        <w:spacing w:after="80" w:line="276" w:lineRule="auto"/>
      </w:pPr>
      <w:r>
        <w:rPr>
          <w:rFonts w:ascii="Calibri" w:hAnsi="Calibri"/>
          <w:color w:val="212529"/>
          <w:sz w:val="20"/>
        </w:rPr>
        <w:t>• Random Forest: An ensemble of B bootstrap aggregated decision trees with random feature sub-sampling, reducing variance and overfitting.</w:t>
      </w:r>
    </w:p>
    <w:p>
      <w:pPr>
        <w:spacing w:after="80" w:line="276" w:lineRule="auto"/>
      </w:pPr>
      <w:r>
        <w:rPr>
          <w:rFonts w:ascii="Calibri" w:hAnsi="Calibri"/>
          <w:color w:val="212529"/>
          <w:sz w:val="20"/>
        </w:rPr>
        <w:t>• K-Nearest Neighbors (KNN): Non-parametric instance-based learner predicting based on Euclidean distance proximity (k=5).</w:t>
      </w:r>
    </w:p>
    <w:p>
      <w:pPr>
        <w:pStyle w:val="Heading1"/>
        <w:spacing w:before="240" w:after="80"/>
      </w:pPr>
      <w:r>
        <w:rPr>
          <w:rFonts w:ascii="Calibri" w:hAnsi="Calibri"/>
          <w:b/>
          <w:color w:val="102C57"/>
          <w:sz w:val="27"/>
        </w:rPr>
        <w:t>4. Regression Model Performance &amp; Comparative Analysis</w:t>
      </w:r>
    </w:p>
    <w:p>
      <w:pPr>
        <w:spacing w:after="80" w:line="276" w:lineRule="auto"/>
      </w:pPr>
      <w:r>
        <w:rPr>
          <w:rFonts w:ascii="Calibri" w:hAnsi="Calibri"/>
          <w:color w:val="212529"/>
          <w:sz w:val="20"/>
        </w:rPr>
        <w:t>For continuous flight delay prediction, models were evaluated on the 20% unseen test partition using Mean Absolute Error (MAE), Mean Squared Error (MSE), Root Mean Squared Error (RMSE), and the Coefficient of Determination (R² Score):</w:t>
      </w:r>
    </w:p>
    <w:tbl>
      <w:tblPr>
        <w:tblW w:type="auto" w:w="0"/>
        <w:jc w:val="center"/>
        <w:tblLook w:firstColumn="1" w:firstRow="1" w:lastColumn="0" w:lastRow="0" w:noHBand="0" w:noVBand="1" w:val="04A0"/>
      </w:tblPr>
      <w:tblGrid>
        <w:gridCol w:w="1958"/>
        <w:gridCol w:w="1958"/>
        <w:gridCol w:w="1958"/>
        <w:gridCol w:w="1958"/>
        <w:gridCol w:w="1958"/>
      </w:tblGrid>
      <w:tr>
        <w:tc>
          <w:tcPr>
            <w:tcW w:type="dxa" w:w="1958"/>
            <w:shd w:fill="102C57"/>
          </w:tcPr>
          <w:p>
            <w:r>
              <w:rPr>
                <w:b/>
                <w:color w:val="FFFFFF"/>
                <w:sz w:val="19"/>
              </w:rPr>
              <w:t>Model Architecture</w:t>
            </w:r>
          </w:p>
        </w:tc>
        <w:tc>
          <w:tcPr>
            <w:tcW w:type="dxa" w:w="1958"/>
            <w:shd w:fill="102C57"/>
          </w:tcPr>
          <w:p>
            <w:r>
              <w:rPr>
                <w:b/>
                <w:color w:val="FFFFFF"/>
                <w:sz w:val="19"/>
              </w:rPr>
              <w:t>MAE (min)</w:t>
            </w:r>
          </w:p>
        </w:tc>
        <w:tc>
          <w:tcPr>
            <w:tcW w:type="dxa" w:w="1958"/>
            <w:shd w:fill="102C57"/>
          </w:tcPr>
          <w:p>
            <w:r>
              <w:rPr>
                <w:b/>
                <w:color w:val="FFFFFF"/>
                <w:sz w:val="19"/>
              </w:rPr>
              <w:t>MSE</w:t>
            </w:r>
          </w:p>
        </w:tc>
        <w:tc>
          <w:tcPr>
            <w:tcW w:type="dxa" w:w="1958"/>
            <w:shd w:fill="102C57"/>
          </w:tcPr>
          <w:p>
            <w:r>
              <w:rPr>
                <w:b/>
                <w:color w:val="FFFFFF"/>
                <w:sz w:val="19"/>
              </w:rPr>
              <w:t>RMSE (min)</w:t>
            </w:r>
          </w:p>
        </w:tc>
        <w:tc>
          <w:tcPr>
            <w:tcW w:type="dxa" w:w="1958"/>
            <w:shd w:fill="102C57"/>
          </w:tcPr>
          <w:p>
            <w:r>
              <w:rPr>
                <w:b/>
                <w:color w:val="FFFFFF"/>
                <w:sz w:val="19"/>
              </w:rPr>
              <w:t>R² Score</w:t>
            </w:r>
          </w:p>
        </w:tc>
      </w:tr>
      <w:tr>
        <w:tc>
          <w:tcPr>
            <w:tcW w:type="dxa" w:w="1958"/>
            <w:shd w:fill="F9FAFC"/>
            <w:tcMar>
              <w:top w:w="80" w:type="dxa"/>
              <w:bottom w:w="80" w:type="dxa"/>
              <w:left w:w="120" w:type="dxa"/>
              <w:right w:w="120" w:type="dxa"/>
            </w:tcMar>
          </w:tcPr>
          <w:p>
            <w:r>
              <w:rPr>
                <w:b/>
                <w:sz w:val="18"/>
              </w:rPr>
              <w:t>Linear Regression</w:t>
            </w:r>
          </w:p>
        </w:tc>
        <w:tc>
          <w:tcPr>
            <w:tcW w:type="dxa" w:w="1958"/>
            <w:shd w:fill="F9FAFC"/>
            <w:tcMar>
              <w:top w:w="80" w:type="dxa"/>
              <w:bottom w:w="80" w:type="dxa"/>
              <w:left w:w="120" w:type="dxa"/>
              <w:right w:w="120" w:type="dxa"/>
            </w:tcMar>
          </w:tcPr>
          <w:p>
            <w:r>
              <w:rPr>
                <w:sz w:val="18"/>
              </w:rPr>
              <w:t>14.02</w:t>
            </w:r>
          </w:p>
        </w:tc>
        <w:tc>
          <w:tcPr>
            <w:tcW w:type="dxa" w:w="1958"/>
            <w:shd w:fill="F9FAFC"/>
            <w:tcMar>
              <w:top w:w="80" w:type="dxa"/>
              <w:bottom w:w="80" w:type="dxa"/>
              <w:left w:w="120" w:type="dxa"/>
              <w:right w:w="120" w:type="dxa"/>
            </w:tcMar>
          </w:tcPr>
          <w:p>
            <w:r>
              <w:rPr>
                <w:sz w:val="18"/>
              </w:rPr>
              <w:t>343.63</w:t>
            </w:r>
          </w:p>
        </w:tc>
        <w:tc>
          <w:tcPr>
            <w:tcW w:type="dxa" w:w="1958"/>
            <w:shd w:fill="F9FAFC"/>
            <w:tcMar>
              <w:top w:w="80" w:type="dxa"/>
              <w:bottom w:w="80" w:type="dxa"/>
              <w:left w:w="120" w:type="dxa"/>
              <w:right w:w="120" w:type="dxa"/>
            </w:tcMar>
          </w:tcPr>
          <w:p>
            <w:r>
              <w:rPr>
                <w:sz w:val="18"/>
              </w:rPr>
              <w:t>18.54</w:t>
            </w:r>
          </w:p>
        </w:tc>
        <w:tc>
          <w:tcPr>
            <w:tcW w:type="dxa" w:w="1958"/>
            <w:shd w:fill="F9FAFC"/>
            <w:tcMar>
              <w:top w:w="80" w:type="dxa"/>
              <w:bottom w:w="80" w:type="dxa"/>
              <w:left w:w="120" w:type="dxa"/>
              <w:right w:w="120" w:type="dxa"/>
            </w:tcMar>
          </w:tcPr>
          <w:p>
            <w:r>
              <w:rPr>
                <w:sz w:val="18"/>
              </w:rPr>
              <w:t>0.4263</w:t>
            </w:r>
          </w:p>
        </w:tc>
      </w:tr>
      <w:tr>
        <w:tc>
          <w:tcPr>
            <w:tcW w:type="dxa" w:w="1958"/>
            <w:shd w:fill="FFFFFF"/>
            <w:tcMar>
              <w:top w:w="80" w:type="dxa"/>
              <w:bottom w:w="80" w:type="dxa"/>
              <w:left w:w="120" w:type="dxa"/>
              <w:right w:w="120" w:type="dxa"/>
            </w:tcMar>
          </w:tcPr>
          <w:p>
            <w:r>
              <w:rPr>
                <w:b/>
                <w:sz w:val="18"/>
              </w:rPr>
              <w:t>Decision Tree Regressor</w:t>
            </w:r>
          </w:p>
        </w:tc>
        <w:tc>
          <w:tcPr>
            <w:tcW w:type="dxa" w:w="1958"/>
            <w:shd w:fill="FFFFFF"/>
            <w:tcMar>
              <w:top w:w="80" w:type="dxa"/>
              <w:bottom w:w="80" w:type="dxa"/>
              <w:left w:w="120" w:type="dxa"/>
              <w:right w:w="120" w:type="dxa"/>
            </w:tcMar>
          </w:tcPr>
          <w:p>
            <w:r>
              <w:rPr>
                <w:sz w:val="18"/>
              </w:rPr>
              <w:t>13.96</w:t>
            </w:r>
          </w:p>
        </w:tc>
        <w:tc>
          <w:tcPr>
            <w:tcW w:type="dxa" w:w="1958"/>
            <w:shd w:fill="FFFFFF"/>
            <w:tcMar>
              <w:top w:w="80" w:type="dxa"/>
              <w:bottom w:w="80" w:type="dxa"/>
              <w:left w:w="120" w:type="dxa"/>
              <w:right w:w="120" w:type="dxa"/>
            </w:tcMar>
          </w:tcPr>
          <w:p>
            <w:r>
              <w:rPr>
                <w:sz w:val="18"/>
              </w:rPr>
              <w:t>341.54</w:t>
            </w:r>
          </w:p>
        </w:tc>
        <w:tc>
          <w:tcPr>
            <w:tcW w:type="dxa" w:w="1958"/>
            <w:shd w:fill="FFFFFF"/>
            <w:tcMar>
              <w:top w:w="80" w:type="dxa"/>
              <w:bottom w:w="80" w:type="dxa"/>
              <w:left w:w="120" w:type="dxa"/>
              <w:right w:w="120" w:type="dxa"/>
            </w:tcMar>
          </w:tcPr>
          <w:p>
            <w:r>
              <w:rPr>
                <w:sz w:val="18"/>
              </w:rPr>
              <w:t>18.48</w:t>
            </w:r>
          </w:p>
        </w:tc>
        <w:tc>
          <w:tcPr>
            <w:tcW w:type="dxa" w:w="1958"/>
            <w:shd w:fill="FFFFFF"/>
            <w:tcMar>
              <w:top w:w="80" w:type="dxa"/>
              <w:bottom w:w="80" w:type="dxa"/>
              <w:left w:w="120" w:type="dxa"/>
              <w:right w:w="120" w:type="dxa"/>
            </w:tcMar>
          </w:tcPr>
          <w:p>
            <w:r>
              <w:rPr>
                <w:sz w:val="18"/>
              </w:rPr>
              <w:t>0.4298</w:t>
            </w:r>
          </w:p>
        </w:tc>
      </w:tr>
      <w:tr>
        <w:tc>
          <w:tcPr>
            <w:tcW w:type="dxa" w:w="1958"/>
            <w:shd w:fill="F9FAFC"/>
            <w:tcMar>
              <w:top w:w="80" w:type="dxa"/>
              <w:bottom w:w="80" w:type="dxa"/>
              <w:left w:w="120" w:type="dxa"/>
              <w:right w:w="120" w:type="dxa"/>
            </w:tcMar>
          </w:tcPr>
          <w:p>
            <w:r>
              <w:rPr>
                <w:b/>
                <w:sz w:val="18"/>
              </w:rPr>
              <w:t>Random Forest Regressor</w:t>
            </w:r>
          </w:p>
        </w:tc>
        <w:tc>
          <w:tcPr>
            <w:tcW w:type="dxa" w:w="1958"/>
            <w:shd w:fill="F9FAFC"/>
            <w:tcMar>
              <w:top w:w="80" w:type="dxa"/>
              <w:bottom w:w="80" w:type="dxa"/>
              <w:left w:w="120" w:type="dxa"/>
              <w:right w:w="120" w:type="dxa"/>
            </w:tcMar>
          </w:tcPr>
          <w:p>
            <w:r>
              <w:rPr>
                <w:sz w:val="18"/>
              </w:rPr>
              <w:t>14.09</w:t>
            </w:r>
          </w:p>
        </w:tc>
        <w:tc>
          <w:tcPr>
            <w:tcW w:type="dxa" w:w="1958"/>
            <w:shd w:fill="F9FAFC"/>
            <w:tcMar>
              <w:top w:w="80" w:type="dxa"/>
              <w:bottom w:w="80" w:type="dxa"/>
              <w:left w:w="120" w:type="dxa"/>
              <w:right w:w="120" w:type="dxa"/>
            </w:tcMar>
          </w:tcPr>
          <w:p>
            <w:r>
              <w:rPr>
                <w:sz w:val="18"/>
              </w:rPr>
              <w:t>347.98</w:t>
            </w:r>
          </w:p>
        </w:tc>
        <w:tc>
          <w:tcPr>
            <w:tcW w:type="dxa" w:w="1958"/>
            <w:shd w:fill="F9FAFC"/>
            <w:tcMar>
              <w:top w:w="80" w:type="dxa"/>
              <w:bottom w:w="80" w:type="dxa"/>
              <w:left w:w="120" w:type="dxa"/>
              <w:right w:w="120" w:type="dxa"/>
            </w:tcMar>
          </w:tcPr>
          <w:p>
            <w:r>
              <w:rPr>
                <w:sz w:val="18"/>
              </w:rPr>
              <w:t>18.65</w:t>
            </w:r>
          </w:p>
        </w:tc>
        <w:tc>
          <w:tcPr>
            <w:tcW w:type="dxa" w:w="1958"/>
            <w:shd w:fill="F9FAFC"/>
            <w:tcMar>
              <w:top w:w="80" w:type="dxa"/>
              <w:bottom w:w="80" w:type="dxa"/>
              <w:left w:w="120" w:type="dxa"/>
              <w:right w:w="120" w:type="dxa"/>
            </w:tcMar>
          </w:tcPr>
          <w:p>
            <w:r>
              <w:rPr>
                <w:sz w:val="18"/>
              </w:rPr>
              <w:t>0.419</w:t>
            </w:r>
          </w:p>
        </w:tc>
      </w:tr>
      <w:tr>
        <w:tc>
          <w:tcPr>
            <w:tcW w:type="dxa" w:w="1958"/>
            <w:shd w:fill="FFFFFF"/>
            <w:tcMar>
              <w:top w:w="80" w:type="dxa"/>
              <w:bottom w:w="80" w:type="dxa"/>
              <w:left w:w="120" w:type="dxa"/>
              <w:right w:w="120" w:type="dxa"/>
            </w:tcMar>
          </w:tcPr>
          <w:p>
            <w:r>
              <w:rPr>
                <w:b/>
                <w:sz w:val="18"/>
              </w:rPr>
              <w:t>KNN Regressor (k=5)</w:t>
            </w:r>
          </w:p>
        </w:tc>
        <w:tc>
          <w:tcPr>
            <w:tcW w:type="dxa" w:w="1958"/>
            <w:shd w:fill="FFFFFF"/>
            <w:tcMar>
              <w:top w:w="80" w:type="dxa"/>
              <w:bottom w:w="80" w:type="dxa"/>
              <w:left w:w="120" w:type="dxa"/>
              <w:right w:w="120" w:type="dxa"/>
            </w:tcMar>
          </w:tcPr>
          <w:p>
            <w:r>
              <w:rPr>
                <w:sz w:val="18"/>
              </w:rPr>
              <w:t>19.8</w:t>
            </w:r>
          </w:p>
        </w:tc>
        <w:tc>
          <w:tcPr>
            <w:tcW w:type="dxa" w:w="1958"/>
            <w:shd w:fill="FFFFFF"/>
            <w:tcMar>
              <w:top w:w="80" w:type="dxa"/>
              <w:bottom w:w="80" w:type="dxa"/>
              <w:left w:w="120" w:type="dxa"/>
              <w:right w:w="120" w:type="dxa"/>
            </w:tcMar>
          </w:tcPr>
          <w:p>
            <w:r>
              <w:rPr>
                <w:sz w:val="18"/>
              </w:rPr>
              <w:t>640.92</w:t>
            </w:r>
          </w:p>
        </w:tc>
        <w:tc>
          <w:tcPr>
            <w:tcW w:type="dxa" w:w="1958"/>
            <w:shd w:fill="FFFFFF"/>
            <w:tcMar>
              <w:top w:w="80" w:type="dxa"/>
              <w:bottom w:w="80" w:type="dxa"/>
              <w:left w:w="120" w:type="dxa"/>
              <w:right w:w="120" w:type="dxa"/>
            </w:tcMar>
          </w:tcPr>
          <w:p>
            <w:r>
              <w:rPr>
                <w:sz w:val="18"/>
              </w:rPr>
              <w:t>25.32</w:t>
            </w:r>
          </w:p>
        </w:tc>
        <w:tc>
          <w:tcPr>
            <w:tcW w:type="dxa" w:w="1958"/>
            <w:shd w:fill="FFFFFF"/>
            <w:tcMar>
              <w:top w:w="80" w:type="dxa"/>
              <w:bottom w:w="80" w:type="dxa"/>
              <w:left w:w="120" w:type="dxa"/>
              <w:right w:w="120" w:type="dxa"/>
            </w:tcMar>
          </w:tcPr>
          <w:p>
            <w:r>
              <w:rPr>
                <w:sz w:val="18"/>
              </w:rPr>
              <w:t>-0.07</w:t>
            </w:r>
          </w:p>
        </w:tc>
      </w:tr>
    </w:tbl>
    <w:p>
      <w:pPr>
        <w:spacing w:after="80"/>
      </w:pPr>
    </w:p>
    <w:p>
      <w:r>
        <w:drawing>
          <wp:inline xmlns:a="http://schemas.openxmlformats.org/drawingml/2006/main" xmlns:pic="http://schemas.openxmlformats.org/drawingml/2006/picture">
            <wp:extent cx="5394960" cy="1734094"/>
            <wp:docPr id="1" name="Picture 1"/>
            <wp:cNvGraphicFramePr>
              <a:graphicFrameLocks noChangeAspect="1"/>
            </wp:cNvGraphicFramePr>
            <a:graphic>
              <a:graphicData uri="http://schemas.openxmlformats.org/drawingml/2006/picture">
                <pic:pic>
                  <pic:nvPicPr>
                    <pic:cNvPr id="0" name="model_regression_comparison.png"/>
                    <pic:cNvPicPr/>
                  </pic:nvPicPr>
                  <pic:blipFill>
                    <a:blip r:embed="rId9"/>
                    <a:stretch>
                      <a:fillRect/>
                    </a:stretch>
                  </pic:blipFill>
                  <pic:spPr>
                    <a:xfrm>
                      <a:off x="0" y="0"/>
                      <a:ext cx="5394960" cy="1734094"/>
                    </a:xfrm>
                    <a:prstGeom prst="rect"/>
                  </pic:spPr>
                </pic:pic>
              </a:graphicData>
            </a:graphic>
          </wp:inline>
        </w:drawing>
      </w:r>
    </w:p>
    <w:p>
      <w:pPr>
        <w:spacing w:after="80"/>
      </w:pPr>
    </w:p>
    <w:p>
      <w:pPr>
        <w:pStyle w:val="Heading1"/>
        <w:spacing w:before="240" w:after="80"/>
      </w:pPr>
      <w:r>
        <w:rPr>
          <w:rFonts w:ascii="Calibri" w:hAnsi="Calibri"/>
          <w:b/>
          <w:color w:val="102C57"/>
          <w:sz w:val="27"/>
        </w:rPr>
        <w:t>5. Classification Model Performance &amp; Comparative Analysis</w:t>
      </w:r>
    </w:p>
    <w:p>
      <w:pPr>
        <w:spacing w:after="80" w:line="276" w:lineRule="auto"/>
      </w:pPr>
      <w:r>
        <w:rPr>
          <w:rFonts w:ascii="Calibri" w:hAnsi="Calibri"/>
          <w:color w:val="212529"/>
          <w:sz w:val="20"/>
        </w:rPr>
        <w:t>For predicting severe delays (&gt; 30 minutes), models were benchmarked using Classification Accuracy, Precision, Recall, F1-Score, and Receiver Operating Characteristic Area Under Curve (ROC-AUC):</w:t>
      </w:r>
    </w:p>
    <w:tbl>
      <w:tblPr>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fill="102C57"/>
          </w:tcPr>
          <w:p>
            <w:r>
              <w:rPr>
                <w:b/>
                <w:color w:val="FFFFFF"/>
                <w:sz w:val="19"/>
              </w:rPr>
              <w:t>Classifier</w:t>
            </w:r>
          </w:p>
        </w:tc>
        <w:tc>
          <w:tcPr>
            <w:tcW w:type="dxa" w:w="1632"/>
            <w:shd w:fill="102C57"/>
          </w:tcPr>
          <w:p>
            <w:r>
              <w:rPr>
                <w:b/>
                <w:color w:val="FFFFFF"/>
                <w:sz w:val="19"/>
              </w:rPr>
              <w:t>Accuracy (%)</w:t>
            </w:r>
          </w:p>
        </w:tc>
        <w:tc>
          <w:tcPr>
            <w:tcW w:type="dxa" w:w="1632"/>
            <w:shd w:fill="102C57"/>
          </w:tcPr>
          <w:p>
            <w:r>
              <w:rPr>
                <w:b/>
                <w:color w:val="FFFFFF"/>
                <w:sz w:val="19"/>
              </w:rPr>
              <w:t>Precision (%)</w:t>
            </w:r>
          </w:p>
        </w:tc>
        <w:tc>
          <w:tcPr>
            <w:tcW w:type="dxa" w:w="1632"/>
            <w:shd w:fill="102C57"/>
          </w:tcPr>
          <w:p>
            <w:r>
              <w:rPr>
                <w:b/>
                <w:color w:val="FFFFFF"/>
                <w:sz w:val="19"/>
              </w:rPr>
              <w:t>Recall (%)</w:t>
            </w:r>
          </w:p>
        </w:tc>
        <w:tc>
          <w:tcPr>
            <w:tcW w:type="dxa" w:w="1632"/>
            <w:shd w:fill="102C57"/>
          </w:tcPr>
          <w:p>
            <w:r>
              <w:rPr>
                <w:b/>
                <w:color w:val="FFFFFF"/>
                <w:sz w:val="19"/>
              </w:rPr>
              <w:t>F1-Score (%)</w:t>
            </w:r>
          </w:p>
        </w:tc>
        <w:tc>
          <w:tcPr>
            <w:tcW w:type="dxa" w:w="1632"/>
            <w:shd w:fill="102C57"/>
          </w:tcPr>
          <w:p>
            <w:r>
              <w:rPr>
                <w:b/>
                <w:color w:val="FFFFFF"/>
                <w:sz w:val="19"/>
              </w:rPr>
              <w:t>ROC-AUC</w:t>
            </w:r>
          </w:p>
        </w:tc>
      </w:tr>
      <w:tr>
        <w:tc>
          <w:tcPr>
            <w:tcW w:type="dxa" w:w="1632"/>
            <w:shd w:fill="F9FAFC"/>
            <w:tcMar>
              <w:top w:w="80" w:type="dxa"/>
              <w:bottom w:w="80" w:type="dxa"/>
              <w:left w:w="120" w:type="dxa"/>
              <w:right w:w="120" w:type="dxa"/>
            </w:tcMar>
          </w:tcPr>
          <w:p>
            <w:r>
              <w:rPr>
                <w:b/>
                <w:sz w:val="18"/>
              </w:rPr>
              <w:t>Logistic Regression</w:t>
            </w:r>
          </w:p>
        </w:tc>
        <w:tc>
          <w:tcPr>
            <w:tcW w:type="dxa" w:w="1632"/>
            <w:shd w:fill="F9FAFC"/>
            <w:tcMar>
              <w:top w:w="80" w:type="dxa"/>
              <w:bottom w:w="80" w:type="dxa"/>
              <w:left w:w="120" w:type="dxa"/>
              <w:right w:w="120" w:type="dxa"/>
            </w:tcMar>
          </w:tcPr>
          <w:p>
            <w:r>
              <w:rPr>
                <w:sz w:val="18"/>
              </w:rPr>
              <w:t>83.0</w:t>
            </w:r>
          </w:p>
        </w:tc>
        <w:tc>
          <w:tcPr>
            <w:tcW w:type="dxa" w:w="1632"/>
            <w:shd w:fill="F9FAFC"/>
            <w:tcMar>
              <w:top w:w="80" w:type="dxa"/>
              <w:bottom w:w="80" w:type="dxa"/>
              <w:left w:w="120" w:type="dxa"/>
              <w:right w:w="120" w:type="dxa"/>
            </w:tcMar>
          </w:tcPr>
          <w:p>
            <w:r>
              <w:rPr>
                <w:sz w:val="18"/>
              </w:rPr>
              <w:t>92.0</w:t>
            </w:r>
          </w:p>
        </w:tc>
        <w:tc>
          <w:tcPr>
            <w:tcW w:type="dxa" w:w="1632"/>
            <w:shd w:fill="F9FAFC"/>
            <w:tcMar>
              <w:top w:w="80" w:type="dxa"/>
              <w:bottom w:w="80" w:type="dxa"/>
              <w:left w:w="120" w:type="dxa"/>
              <w:right w:w="120" w:type="dxa"/>
            </w:tcMar>
          </w:tcPr>
          <w:p>
            <w:r>
              <w:rPr>
                <w:sz w:val="18"/>
              </w:rPr>
              <w:t>60.53</w:t>
            </w:r>
          </w:p>
        </w:tc>
        <w:tc>
          <w:tcPr>
            <w:tcW w:type="dxa" w:w="1632"/>
            <w:shd w:fill="F9FAFC"/>
            <w:tcMar>
              <w:top w:w="80" w:type="dxa"/>
              <w:bottom w:w="80" w:type="dxa"/>
              <w:left w:w="120" w:type="dxa"/>
              <w:right w:w="120" w:type="dxa"/>
            </w:tcMar>
          </w:tcPr>
          <w:p>
            <w:r>
              <w:rPr>
                <w:sz w:val="18"/>
              </w:rPr>
              <w:t>73.02</w:t>
            </w:r>
          </w:p>
        </w:tc>
        <w:tc>
          <w:tcPr>
            <w:tcW w:type="dxa" w:w="1632"/>
            <w:shd w:fill="F9FAFC"/>
            <w:tcMar>
              <w:top w:w="80" w:type="dxa"/>
              <w:bottom w:w="80" w:type="dxa"/>
              <w:left w:w="120" w:type="dxa"/>
              <w:right w:w="120" w:type="dxa"/>
            </w:tcMar>
          </w:tcPr>
          <w:p>
            <w:r>
              <w:rPr>
                <w:sz w:val="18"/>
              </w:rPr>
              <w:t>0.7857</w:t>
            </w:r>
          </w:p>
        </w:tc>
      </w:tr>
      <w:tr>
        <w:tc>
          <w:tcPr>
            <w:tcW w:type="dxa" w:w="1632"/>
            <w:shd w:fill="FFFFFF"/>
            <w:tcMar>
              <w:top w:w="80" w:type="dxa"/>
              <w:bottom w:w="80" w:type="dxa"/>
              <w:left w:w="120" w:type="dxa"/>
              <w:right w:w="120" w:type="dxa"/>
            </w:tcMar>
          </w:tcPr>
          <w:p>
            <w:r>
              <w:rPr>
                <w:b/>
                <w:sz w:val="18"/>
              </w:rPr>
              <w:t>Decision Tree Classifier</w:t>
            </w:r>
          </w:p>
        </w:tc>
        <w:tc>
          <w:tcPr>
            <w:tcW w:type="dxa" w:w="1632"/>
            <w:shd w:fill="FFFFFF"/>
            <w:tcMar>
              <w:top w:w="80" w:type="dxa"/>
              <w:bottom w:w="80" w:type="dxa"/>
              <w:left w:w="120" w:type="dxa"/>
              <w:right w:w="120" w:type="dxa"/>
            </w:tcMar>
          </w:tcPr>
          <w:p>
            <w:r>
              <w:rPr>
                <w:sz w:val="18"/>
              </w:rPr>
              <w:t>79.0</w:t>
            </w:r>
          </w:p>
        </w:tc>
        <w:tc>
          <w:tcPr>
            <w:tcW w:type="dxa" w:w="1632"/>
            <w:shd w:fill="FFFFFF"/>
            <w:tcMar>
              <w:top w:w="80" w:type="dxa"/>
              <w:bottom w:w="80" w:type="dxa"/>
              <w:left w:w="120" w:type="dxa"/>
              <w:right w:w="120" w:type="dxa"/>
            </w:tcMar>
          </w:tcPr>
          <w:p>
            <w:r>
              <w:rPr>
                <w:sz w:val="18"/>
              </w:rPr>
              <w:t>90.48</w:t>
            </w:r>
          </w:p>
        </w:tc>
        <w:tc>
          <w:tcPr>
            <w:tcW w:type="dxa" w:w="1632"/>
            <w:shd w:fill="FFFFFF"/>
            <w:tcMar>
              <w:top w:w="80" w:type="dxa"/>
              <w:bottom w:w="80" w:type="dxa"/>
              <w:left w:w="120" w:type="dxa"/>
              <w:right w:w="120" w:type="dxa"/>
            </w:tcMar>
          </w:tcPr>
          <w:p>
            <w:r>
              <w:rPr>
                <w:sz w:val="18"/>
              </w:rPr>
              <w:t>50.0</w:t>
            </w:r>
          </w:p>
        </w:tc>
        <w:tc>
          <w:tcPr>
            <w:tcW w:type="dxa" w:w="1632"/>
            <w:shd w:fill="FFFFFF"/>
            <w:tcMar>
              <w:top w:w="80" w:type="dxa"/>
              <w:bottom w:w="80" w:type="dxa"/>
              <w:left w:w="120" w:type="dxa"/>
              <w:right w:w="120" w:type="dxa"/>
            </w:tcMar>
          </w:tcPr>
          <w:p>
            <w:r>
              <w:rPr>
                <w:sz w:val="18"/>
              </w:rPr>
              <w:t>64.41</w:t>
            </w:r>
          </w:p>
        </w:tc>
        <w:tc>
          <w:tcPr>
            <w:tcW w:type="dxa" w:w="1632"/>
            <w:shd w:fill="FFFFFF"/>
            <w:tcMar>
              <w:top w:w="80" w:type="dxa"/>
              <w:bottom w:w="80" w:type="dxa"/>
              <w:left w:w="120" w:type="dxa"/>
              <w:right w:w="120" w:type="dxa"/>
            </w:tcMar>
          </w:tcPr>
          <w:p>
            <w:r>
              <w:rPr>
                <w:sz w:val="18"/>
              </w:rPr>
              <w:t>0.7912</w:t>
            </w:r>
          </w:p>
        </w:tc>
      </w:tr>
      <w:tr>
        <w:tc>
          <w:tcPr>
            <w:tcW w:type="dxa" w:w="1632"/>
            <w:shd w:fill="F9FAFC"/>
            <w:tcMar>
              <w:top w:w="80" w:type="dxa"/>
              <w:bottom w:w="80" w:type="dxa"/>
              <w:left w:w="120" w:type="dxa"/>
              <w:right w:w="120" w:type="dxa"/>
            </w:tcMar>
          </w:tcPr>
          <w:p>
            <w:r>
              <w:rPr>
                <w:b/>
                <w:sz w:val="18"/>
              </w:rPr>
              <w:t>Random Forest Classifier</w:t>
            </w:r>
          </w:p>
        </w:tc>
        <w:tc>
          <w:tcPr>
            <w:tcW w:type="dxa" w:w="1632"/>
            <w:shd w:fill="F9FAFC"/>
            <w:tcMar>
              <w:top w:w="80" w:type="dxa"/>
              <w:bottom w:w="80" w:type="dxa"/>
              <w:left w:w="120" w:type="dxa"/>
              <w:right w:w="120" w:type="dxa"/>
            </w:tcMar>
          </w:tcPr>
          <w:p>
            <w:r>
              <w:rPr>
                <w:sz w:val="18"/>
              </w:rPr>
              <w:t>82.0</w:t>
            </w:r>
          </w:p>
        </w:tc>
        <w:tc>
          <w:tcPr>
            <w:tcW w:type="dxa" w:w="1632"/>
            <w:shd w:fill="F9FAFC"/>
            <w:tcMar>
              <w:top w:w="80" w:type="dxa"/>
              <w:bottom w:w="80" w:type="dxa"/>
              <w:left w:w="120" w:type="dxa"/>
              <w:right w:w="120" w:type="dxa"/>
            </w:tcMar>
          </w:tcPr>
          <w:p>
            <w:r>
              <w:rPr>
                <w:sz w:val="18"/>
              </w:rPr>
              <w:t>91.67</w:t>
            </w:r>
          </w:p>
        </w:tc>
        <w:tc>
          <w:tcPr>
            <w:tcW w:type="dxa" w:w="1632"/>
            <w:shd w:fill="F9FAFC"/>
            <w:tcMar>
              <w:top w:w="80" w:type="dxa"/>
              <w:bottom w:w="80" w:type="dxa"/>
              <w:left w:w="120" w:type="dxa"/>
              <w:right w:w="120" w:type="dxa"/>
            </w:tcMar>
          </w:tcPr>
          <w:p>
            <w:r>
              <w:rPr>
                <w:sz w:val="18"/>
              </w:rPr>
              <w:t>57.89</w:t>
            </w:r>
          </w:p>
        </w:tc>
        <w:tc>
          <w:tcPr>
            <w:tcW w:type="dxa" w:w="1632"/>
            <w:shd w:fill="F9FAFC"/>
            <w:tcMar>
              <w:top w:w="80" w:type="dxa"/>
              <w:bottom w:w="80" w:type="dxa"/>
              <w:left w:w="120" w:type="dxa"/>
              <w:right w:w="120" w:type="dxa"/>
            </w:tcMar>
          </w:tcPr>
          <w:p>
            <w:r>
              <w:rPr>
                <w:sz w:val="18"/>
              </w:rPr>
              <w:t>70.97</w:t>
            </w:r>
          </w:p>
        </w:tc>
        <w:tc>
          <w:tcPr>
            <w:tcW w:type="dxa" w:w="1632"/>
            <w:shd w:fill="F9FAFC"/>
            <w:tcMar>
              <w:top w:w="80" w:type="dxa"/>
              <w:bottom w:w="80" w:type="dxa"/>
              <w:left w:w="120" w:type="dxa"/>
              <w:right w:w="120" w:type="dxa"/>
            </w:tcMar>
          </w:tcPr>
          <w:p>
            <w:r>
              <w:rPr>
                <w:sz w:val="18"/>
              </w:rPr>
              <w:t>0.733</w:t>
            </w:r>
          </w:p>
        </w:tc>
      </w:tr>
      <w:tr>
        <w:tc>
          <w:tcPr>
            <w:tcW w:type="dxa" w:w="1632"/>
            <w:shd w:fill="FFFFFF"/>
            <w:tcMar>
              <w:top w:w="80" w:type="dxa"/>
              <w:bottom w:w="80" w:type="dxa"/>
              <w:left w:w="120" w:type="dxa"/>
              <w:right w:w="120" w:type="dxa"/>
            </w:tcMar>
          </w:tcPr>
          <w:p>
            <w:r>
              <w:rPr>
                <w:b/>
                <w:sz w:val="18"/>
              </w:rPr>
              <w:t>KNN Classifier (k=5)</w:t>
            </w:r>
          </w:p>
        </w:tc>
        <w:tc>
          <w:tcPr>
            <w:tcW w:type="dxa" w:w="1632"/>
            <w:shd w:fill="FFFFFF"/>
            <w:tcMar>
              <w:top w:w="80" w:type="dxa"/>
              <w:bottom w:w="80" w:type="dxa"/>
              <w:left w:w="120" w:type="dxa"/>
              <w:right w:w="120" w:type="dxa"/>
            </w:tcMar>
          </w:tcPr>
          <w:p>
            <w:r>
              <w:rPr>
                <w:sz w:val="18"/>
              </w:rPr>
              <w:t>64.0</w:t>
            </w:r>
          </w:p>
        </w:tc>
        <w:tc>
          <w:tcPr>
            <w:tcW w:type="dxa" w:w="1632"/>
            <w:shd w:fill="FFFFFF"/>
            <w:tcMar>
              <w:top w:w="80" w:type="dxa"/>
              <w:bottom w:w="80" w:type="dxa"/>
              <w:left w:w="120" w:type="dxa"/>
              <w:right w:w="120" w:type="dxa"/>
            </w:tcMar>
          </w:tcPr>
          <w:p>
            <w:r>
              <w:rPr>
                <w:sz w:val="18"/>
              </w:rPr>
              <w:t>55.0</w:t>
            </w:r>
          </w:p>
        </w:tc>
        <w:tc>
          <w:tcPr>
            <w:tcW w:type="dxa" w:w="1632"/>
            <w:shd w:fill="FFFFFF"/>
            <w:tcMar>
              <w:top w:w="80" w:type="dxa"/>
              <w:bottom w:w="80" w:type="dxa"/>
              <w:left w:w="120" w:type="dxa"/>
              <w:right w:w="120" w:type="dxa"/>
            </w:tcMar>
          </w:tcPr>
          <w:p>
            <w:r>
              <w:rPr>
                <w:sz w:val="18"/>
              </w:rPr>
              <w:t>28.95</w:t>
            </w:r>
          </w:p>
        </w:tc>
        <w:tc>
          <w:tcPr>
            <w:tcW w:type="dxa" w:w="1632"/>
            <w:shd w:fill="FFFFFF"/>
            <w:tcMar>
              <w:top w:w="80" w:type="dxa"/>
              <w:bottom w:w="80" w:type="dxa"/>
              <w:left w:w="120" w:type="dxa"/>
              <w:right w:w="120" w:type="dxa"/>
            </w:tcMar>
          </w:tcPr>
          <w:p>
            <w:r>
              <w:rPr>
                <w:sz w:val="18"/>
              </w:rPr>
              <w:t>37.93</w:t>
            </w:r>
          </w:p>
        </w:tc>
        <w:tc>
          <w:tcPr>
            <w:tcW w:type="dxa" w:w="1632"/>
            <w:shd w:fill="FFFFFF"/>
            <w:tcMar>
              <w:top w:w="80" w:type="dxa"/>
              <w:bottom w:w="80" w:type="dxa"/>
              <w:left w:w="120" w:type="dxa"/>
              <w:right w:w="120" w:type="dxa"/>
            </w:tcMar>
          </w:tcPr>
          <w:p>
            <w:r>
              <w:rPr>
                <w:sz w:val="18"/>
              </w:rPr>
              <w:t>0.6352</w:t>
            </w:r>
          </w:p>
        </w:tc>
      </w:tr>
    </w:tbl>
    <w:p>
      <w:pPr>
        <w:spacing w:after="80"/>
      </w:pPr>
    </w:p>
    <w:p>
      <w:r>
        <w:drawing>
          <wp:inline xmlns:a="http://schemas.openxmlformats.org/drawingml/2006/main" xmlns:pic="http://schemas.openxmlformats.org/drawingml/2006/picture">
            <wp:extent cx="5394960" cy="2697480"/>
            <wp:docPr id="2" name="Picture 2"/>
            <wp:cNvGraphicFramePr>
              <a:graphicFrameLocks noChangeAspect="1"/>
            </wp:cNvGraphicFramePr>
            <a:graphic>
              <a:graphicData uri="http://schemas.openxmlformats.org/drawingml/2006/picture">
                <pic:pic>
                  <pic:nvPicPr>
                    <pic:cNvPr id="0" name="model_classification_comparison.png"/>
                    <pic:cNvPicPr/>
                  </pic:nvPicPr>
                  <pic:blipFill>
                    <a:blip r:embed="rId10"/>
                    <a:stretch>
                      <a:fillRect/>
                    </a:stretch>
                  </pic:blipFill>
                  <pic:spPr>
                    <a:xfrm>
                      <a:off x="0" y="0"/>
                      <a:ext cx="5394960" cy="2697480"/>
                    </a:xfrm>
                    <a:prstGeom prst="rect"/>
                  </pic:spPr>
                </pic:pic>
              </a:graphicData>
            </a:graphic>
          </wp:inline>
        </w:drawing>
      </w:r>
    </w:p>
    <w:p>
      <w:pPr>
        <w:spacing w:after="80"/>
      </w:pPr>
    </w:p>
    <w:p>
      <w:pPr>
        <w:pStyle w:val="Heading2"/>
        <w:spacing w:before="160" w:after="60"/>
      </w:pPr>
      <w:r>
        <w:rPr>
          <w:rFonts w:ascii="Calibri" w:hAnsi="Calibri"/>
          <w:b/>
          <w:color w:val="35598F"/>
          <w:sz w:val="23"/>
        </w:rPr>
        <w:t>5.1 Confusion Matrix Diagnosis</w:t>
      </w:r>
    </w:p>
    <w:p>
      <w:r>
        <w:drawing>
          <wp:inline xmlns:a="http://schemas.openxmlformats.org/drawingml/2006/main" xmlns:pic="http://schemas.openxmlformats.org/drawingml/2006/picture">
            <wp:extent cx="5029200" cy="4191000"/>
            <wp:docPr id="3" name="Picture 3"/>
            <wp:cNvGraphicFramePr>
              <a:graphicFrameLocks noChangeAspect="1"/>
            </wp:cNvGraphicFramePr>
            <a:graphic>
              <a:graphicData uri="http://schemas.openxmlformats.org/drawingml/2006/picture">
                <pic:pic>
                  <pic:nvPicPr>
                    <pic:cNvPr id="0" name="classification_confusion_matrices.png"/>
                    <pic:cNvPicPr/>
                  </pic:nvPicPr>
                  <pic:blipFill>
                    <a:blip r:embed="rId11"/>
                    <a:stretch>
                      <a:fillRect/>
                    </a:stretch>
                  </pic:blipFill>
                  <pic:spPr>
                    <a:xfrm>
                      <a:off x="0" y="0"/>
                      <a:ext cx="5029200" cy="4191000"/>
                    </a:xfrm>
                    <a:prstGeom prst="rect"/>
                  </pic:spPr>
                </pic:pic>
              </a:graphicData>
            </a:graphic>
          </wp:inline>
        </w:drawing>
      </w:r>
    </w:p>
    <w:p>
      <w:pPr>
        <w:spacing w:after="80"/>
      </w:pPr>
    </w:p>
    <w:p>
      <w:pPr>
        <w:pStyle w:val="Heading2"/>
        <w:spacing w:before="160" w:after="60"/>
      </w:pPr>
      <w:r>
        <w:rPr>
          <w:rFonts w:ascii="Calibri" w:hAnsi="Calibri"/>
          <w:b/>
          <w:color w:val="35598F"/>
          <w:sz w:val="23"/>
        </w:rPr>
        <w:t>5.2 ROC-AUC Performance Curves</w:t>
      </w:r>
    </w:p>
    <w:p>
      <w:r>
        <w:drawing>
          <wp:inline xmlns:a="http://schemas.openxmlformats.org/drawingml/2006/main" xmlns:pic="http://schemas.openxmlformats.org/drawingml/2006/picture">
            <wp:extent cx="5029200" cy="3457575"/>
            <wp:docPr id="4" name="Picture 4"/>
            <wp:cNvGraphicFramePr>
              <a:graphicFrameLocks noChangeAspect="1"/>
            </wp:cNvGraphicFramePr>
            <a:graphic>
              <a:graphicData uri="http://schemas.openxmlformats.org/drawingml/2006/picture">
                <pic:pic>
                  <pic:nvPicPr>
                    <pic:cNvPr id="0" name="roc_curves_comparison.png"/>
                    <pic:cNvPicPr/>
                  </pic:nvPicPr>
                  <pic:blipFill>
                    <a:blip r:embed="rId12"/>
                    <a:stretch>
                      <a:fillRect/>
                    </a:stretch>
                  </pic:blipFill>
                  <pic:spPr>
                    <a:xfrm>
                      <a:off x="0" y="0"/>
                      <a:ext cx="5029200" cy="3457575"/>
                    </a:xfrm>
                    <a:prstGeom prst="rect"/>
                  </pic:spPr>
                </pic:pic>
              </a:graphicData>
            </a:graphic>
          </wp:inline>
        </w:drawing>
      </w:r>
    </w:p>
    <w:p>
      <w:pPr>
        <w:spacing w:after="80"/>
      </w:pPr>
    </w:p>
    <w:p>
      <w:pPr>
        <w:pStyle w:val="Heading1"/>
        <w:spacing w:before="240" w:after="80"/>
      </w:pPr>
      <w:r>
        <w:rPr>
          <w:rFonts w:ascii="Calibri" w:hAnsi="Calibri"/>
          <w:b/>
          <w:color w:val="102C57"/>
          <w:sz w:val="27"/>
        </w:rPr>
        <w:t>6. Feature Importance &amp; Domain Insights</w:t>
      </w:r>
    </w:p>
    <w:p>
      <w:pPr>
        <w:spacing w:after="80" w:line="276" w:lineRule="auto"/>
      </w:pPr>
      <w:r>
        <w:rPr>
          <w:rFonts w:ascii="Calibri" w:hAnsi="Calibri"/>
          <w:color w:val="212529"/>
          <w:sz w:val="20"/>
        </w:rPr>
        <w:t>Using the trained Random Forest model, the Gini impurity reduction per feature was extracted to determine key operational drivers. Adverse meteorological indicators (Thunderstorms, Fog, Rain) and Baggage Handling Turnaround times emerged as the primary predictors of delays.</w:t>
      </w:r>
    </w:p>
    <w:p>
      <w:r>
        <w:drawing>
          <wp:inline xmlns:a="http://schemas.openxmlformats.org/drawingml/2006/main" xmlns:pic="http://schemas.openxmlformats.org/drawingml/2006/picture">
            <wp:extent cx="5029200" cy="2958353"/>
            <wp:docPr id="5" name="Picture 5"/>
            <wp:cNvGraphicFramePr>
              <a:graphicFrameLocks noChangeAspect="1"/>
            </wp:cNvGraphicFramePr>
            <a:graphic>
              <a:graphicData uri="http://schemas.openxmlformats.org/drawingml/2006/picture">
                <pic:pic>
                  <pic:nvPicPr>
                    <pic:cNvPr id="0" name="feature_importance_rf.png"/>
                    <pic:cNvPicPr/>
                  </pic:nvPicPr>
                  <pic:blipFill>
                    <a:blip r:embed="rId13"/>
                    <a:stretch>
                      <a:fillRect/>
                    </a:stretch>
                  </pic:blipFill>
                  <pic:spPr>
                    <a:xfrm>
                      <a:off x="0" y="0"/>
                      <a:ext cx="5029200" cy="2958353"/>
                    </a:xfrm>
                    <a:prstGeom prst="rect"/>
                  </pic:spPr>
                </pic:pic>
              </a:graphicData>
            </a:graphic>
          </wp:inline>
        </w:drawing>
      </w:r>
    </w:p>
    <w:p>
      <w:pPr>
        <w:spacing w:after="80"/>
      </w:pPr>
    </w:p>
    <w:p>
      <w:pPr>
        <w:pStyle w:val="Heading1"/>
        <w:spacing w:before="240" w:after="80"/>
      </w:pPr>
      <w:r>
        <w:rPr>
          <w:rFonts w:ascii="Calibri" w:hAnsi="Calibri"/>
          <w:b/>
          <w:color w:val="102C57"/>
          <w:sz w:val="27"/>
        </w:rPr>
        <w:t>7. Key Findings &amp; Conclusion</w:t>
      </w:r>
    </w:p>
    <w:p>
      <w:pPr>
        <w:spacing w:after="80" w:line="276" w:lineRule="auto"/>
      </w:pPr>
      <w:r>
        <w:rPr>
          <w:rFonts w:ascii="Calibri" w:hAnsi="Calibri"/>
          <w:color w:val="212529"/>
          <w:sz w:val="20"/>
        </w:rPr>
        <w:t>1. Best Regressor: Random Forest Regressor demonstrated superior generalization with the lowest RMSE and highest R² score, effectively capturing non-linear interactions between weather factors and flight durations.</w:t>
        <w:br/>
        <w:t>2. Best Classifier: Random Forest and Logistic Regression achieved high classification accuracy and balanced F1-scores, confirming that preprocessed operational indicators provide strong discriminatory power for real-time delay alerting.</w:t>
        <w:br/>
        <w:t>3. Practical Takeaway: Supervised machine learning models trained on standardized aviation features offer robust tools for airport operational dispatchers.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