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D6902A"/>
          <w:sz w:val="22"/>
          <w:szCs w:val="22"/>
        </w:rPr>
        <w:t xml:space="preserve">BlueWings Airlines</w:t>
      </w:r>
    </w:p>
    <w:p>
      <w:pPr>
        <w:spacing w:after="100"/>
      </w:pPr>
      <w:r>
        <w:rPr>
          <w:b/>
          <w:bCs/>
          <w:color w:val="0B1E3D"/>
          <w:sz w:val="40"/>
          <w:szCs w:val="40"/>
        </w:rPr>
        <w:t xml:space="preserve">Database Design</w:t>
      </w:r>
    </w:p>
    <w:p>
      <w:pPr>
        <w:spacing w:after="300"/>
      </w:pPr>
      <w:r>
        <w:rPr>
          <w:color w:val="5C6B7A"/>
          <w:sz w:val="20"/>
          <w:szCs w:val="20"/>
        </w:rPr>
        <w:t xml:space="preserve">Data model, entity design &amp; production schema mapping — 22North Product Engineering Challenge 2026</w:t>
      </w:r>
    </w:p>
    <w:p>
      <w:pPr>
        <w:pStyle w:val="Heading1"/>
        <w:spacing w:after="160" w:before="360"/>
      </w:pPr>
      <w:r>
        <w:t xml:space="preserve">1. MVP Storage Approach</w:t>
      </w:r>
    </w:p>
    <w:p>
      <w:pPr>
        <w:spacing w:after="140"/>
      </w:pPr>
      <w:r>
        <w:t xml:space="preserve">For the 48-hour build, all data is held in-memory inside the Node.js process (server/data/store.js) rather than in a real database. This was a deliberate trade-off: it removes a moving part (no DB server to provision, seed, or keep alive during grading) while still modelling the data with the same shape a production schema would use, so the migration path is additive rather than a rewrite.</w:t>
      </w:r>
    </w:p>
    <w:p>
      <w:pPr>
        <w:spacing w:after="140"/>
      </w:pPr>
      <w:r>
        <w:t xml:space="preserve">Every entity below is implemented as a plain JavaScript object/array today, but is designed 1:1 against the relational schema in §3, so swapping the storage layer (see §4) does not change the shape of the data the rest of the application depends on.</w:t>
      </w:r>
    </w:p>
    <w:p>
      <w:pPr>
        <w:pStyle w:val="Heading1"/>
        <w:spacing w:after="160" w:before="360"/>
      </w:pPr>
      <w:r>
        <w:t xml:space="preserve">2. Entity-Relationship Diagram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3384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60"/>
      </w:pPr>
      <w:r>
        <w:t xml:space="preserve">3. Entity Reference</w:t>
      </w:r>
    </w:p>
    <w:p>
      <w:pPr>
        <w:pStyle w:val="Heading3"/>
        <w:spacing w:after="100" w:before="200"/>
      </w:pPr>
      <w:r>
        <w:t xml:space="preserve">3.1 Flight</w:t>
      </w:r>
    </w:p>
    <w:p>
      <w:pPr>
        <w:spacing w:after="140"/>
      </w:pPr>
      <w:r>
        <w:t xml:space="preserve">Represents a scheduled flight. In production this is owned by the airline's schedule/inventory system, not by BlueWings' own database — we would cache it, not own it.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00"/>
      </w:tblGrid>
      <w:tr>
        <w:tc>
          <w:tcPr>
            <w:tcW w:type="dxa" w:w="26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flightNumber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(PK)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"BW101"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 / destination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{ code, city }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IATA airport code + city name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departure / arrival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8601 datetime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aircraft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"A320neo"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ON_TIME, DELAYED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delayMinutes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integer, nullable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 only when status = DELAYED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gate, terminal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3.2 Booking</w:t>
      </w:r>
    </w:p>
    <w:p>
      <w:pPr>
        <w:spacing w:after="140"/>
      </w:pPr>
      <w:r>
        <w:t xml:space="preserve">The passenger-facing reservation (PNR). The primary aggregate the conversational engine authenticates against.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00"/>
      </w:tblGrid>
      <w:tr>
        <w:tc>
          <w:tcPr>
            <w:tcW w:type="dxa" w:w="26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pnr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(PK)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6-character alphanumeric booking reference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lastName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used with pnr for passenger authentication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{ email, phone }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used for OTP / refund correspondence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flightNumber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(FK → Flight)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CONFIRMED, CANCELLED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fareClass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"ECONOMY SAVER", "ECONOMY FLEX"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fareAmount, currency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number, string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8601 datetime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3.3 Passenger</w:t>
      </w:r>
    </w:p>
    <w:p>
      <w:pPr>
        <w:spacing w:after="140"/>
      </w:pPr>
      <w:r>
        <w:t xml:space="preserve">One row per traveller on a booking. A booking has one or more passengers.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00"/>
      </w:tblGrid>
      <w:tr>
        <w:tc>
          <w:tcPr>
            <w:tcW w:type="dxa" w:w="26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(PK)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within a booking, e.g. "p1"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bookingPnr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(FK → Booking)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ADULT, CHILD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seat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string, nullable (FK → Seat.id)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 until a seat is chosen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checkedIn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baggage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extra kg purchased, beyond the free allowance</w:t>
            </w:r>
          </w:p>
        </w:tc>
      </w:tr>
    </w:tbl>
    <w:p>
      <w:pPr>
        <w:pStyle w:val="Heading3"/>
        <w:spacing w:after="100" w:before="200"/>
      </w:pPr>
      <w:r>
        <w:t xml:space="preserve">3.4 Seat</w:t>
      </w:r>
    </w:p>
    <w:p>
      <w:pPr>
        <w:spacing w:after="140"/>
      </w:pPr>
      <w:r>
        <w:t xml:space="preserve">The seat inventory for a booking's flight. Modelled per-booking in the MVP for simplicity; in production this is shared inventory per flight, not duplicated per booking (see §4).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00"/>
      </w:tblGrid>
      <w:tr>
        <w:tc>
          <w:tcPr>
            <w:tcW w:type="dxa" w:w="26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(PK)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"14C" — row + column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bookingPnr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(FK → Booking)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MVP-only; production keys this by flightNumber instead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row, col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integer, string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enum: standard, extra-legroom, exit-row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price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seat-selection upsell price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occupied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window, aisle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derived from column, used for preference matching</w:t>
            </w:r>
          </w:p>
        </w:tc>
      </w:tr>
    </w:tbl>
    <w:p>
      <w:pPr>
        <w:pStyle w:val="Heading3"/>
        <w:spacing w:after="100" w:before="200"/>
      </w:pPr>
      <w:r>
        <w:t xml:space="preserve">3.5 OtpCode (transient)</w:t>
      </w:r>
    </w:p>
    <w:p>
      <w:pPr>
        <w:spacing w:after="140"/>
      </w:pPr>
      <w:r>
        <w:t xml:space="preserve">Short-lived step-up authentication code, generated before a cancellation and verified before the cancellation is committed.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00"/>
      </w:tblGrid>
      <w:tr>
        <w:tc>
          <w:tcPr>
            <w:tcW w:type="dxa" w:w="26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pnr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(PK, FK → Booking)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active OTP per PNR at a time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6-digit numeric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expiresAt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epoch ms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5-minute TTL from generation</w:t>
            </w:r>
          </w:p>
        </w:tc>
      </w:tr>
    </w:tbl>
    <w:p>
      <w:pPr>
        <w:pStyle w:val="Heading3"/>
        <w:spacing w:after="100" w:before="200"/>
      </w:pPr>
      <w:r>
        <w:t xml:space="preserve">3.6 Session (conversation state)</w:t>
      </w:r>
    </w:p>
    <w:p>
      <w:pPr>
        <w:spacing w:after="140"/>
      </w:pPr>
      <w:r>
        <w:t xml:space="preserve">Not airline data — this is the chat layer's own state, one row per active conversation.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00"/>
      </w:tblGrid>
      <w:tr>
        <w:tc>
          <w:tcPr>
            <w:tcW w:type="dxa" w:w="26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(PK, UUID)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sessionId returned by POST /api/session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pnr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string, nullable (FK → Booking)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bound once the passenger authenticates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context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 object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in-flight dialogue state, e.g. which sub-flow is active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failedIntentCount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drives the agent-escalation rule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agentHandoff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8601 datetime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Production Schema Mapping</w:t>
      </w:r>
    </w:p>
    <w:p>
      <w:pPr>
        <w:spacing w:after="140"/>
      </w:pPr>
      <w:r>
        <w:t xml:space="preserve">None of the entities above need to change shape to move to a real database — only where they live changes. The intended production mapping: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00"/>
      </w:tblGrid>
      <w:tr>
        <w:tc>
          <w:tcPr>
            <w:tcW w:type="dxa" w:w="20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MVP entity</w:t>
            </w:r>
          </w:p>
        </w:tc>
        <w:tc>
          <w:tcPr>
            <w:tcW w:type="dxa" w:w="34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Production store</w:t>
            </w:r>
          </w:p>
        </w:tc>
        <w:tc>
          <w:tcPr>
            <w:tcW w:type="dxa" w:w="42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Flight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owned by us — cached read from the airline schedule/inventory service (PSS)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Flight data is a system of record elsewhere; we only cache/display it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Booking, Passenger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PSS (Passenger Service System) — the airline's existing booking database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BlueWings already owns this system; the chat layer reads/writes through its API rather than owning a duplicate copy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DCS (Departure Control System) seat inventory, keyed by flightNumber (not bookingPnr)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seat inventory is shared across all bookings on a flight and must avoid double-allocation under concurrent check-ins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OtpCode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 (or equivalent), with native TTL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Short-lived, high-write, no durability requirement beyond the TTL window — a cache is a better fit than a relational table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 (hot path) or Postgres (if audit history of conversations is required)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to be shared across multiple stateless server instances once the conversation gateway is horizontally scaled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after="100" w:before="200"/>
      </w:pPr>
      <w:r>
        <w:t xml:space="preserve">Consistency &amp; concurrency notes for production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Seat selection must be a compare-and-set / row-lock operation against DCS inventory, not a read-then-write from the application layer, to prevent two passengers being assigned the same seat under concurrent check-ins.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Cancellation must be idempotent (safe to retry) since refund processing is a financial operation — the MVP already guards against double-cancellation (ALREADY_CANCELLED), and production would add an idempotency key on the refund call to the payment gateway.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OTP verification should be rate-limited per PNR in production to prevent brute-forcing a 6-digit code; out of scope for this MVP but noted as a security follow-up.</w:t>
      </w:r>
    </w:p>
    <w:p>
      <w:pPr>
        <w:pStyle w:val="Heading1"/>
        <w:spacing w:after="160" w:before="360"/>
      </w:pPr>
      <w:r>
        <w:t xml:space="preserve">5. Indexing (production)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Booking: primary key on pnr; secondary index on (lastName, pnr) for the authentication lookup, and on contact.phone for OTP delivery lookups.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Passenger: index on bookingPnr for "all passengers on this booking" queries (used by check-in and baggage flows).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Seat: composite index on (flightNumber, occupied) for "available seats on this flight" queries once seats are keyed by flight rather than by booking.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Session: TTL index (or Redis native TTL) to expire abandoned conversations automatically.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2A93B" w:sz="8" w:space="4"/>
      </w:pBdr>
      <w:spacing w:after="160" w:before="360"/>
    </w:pPr>
    <w:rPr>
      <w:rFonts w:ascii="Calibri" w:cs="Calibri" w:eastAsia="Calibri" w:hAnsi="Calibri"/>
      <w:b/>
      <w:bCs/>
      <w:color w:val="0B1E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B1E3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C6B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e7d2ee8cff75ff9467af675e2e084ba074e1d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2026-07-02T18:09:02.185Z</dcterms:created>
  <dcterms:modified xsi:type="dcterms:W3CDTF">2026-07-02T18:09:02.186Z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