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639" w:rsidRDefault="000E3B84" w:rsidP="000E3B84">
      <w:pPr>
        <w:jc w:val="center"/>
        <w:rPr>
          <w:rFonts w:ascii="Baskerville Old Face" w:hAnsi="Baskerville Old Face"/>
          <w:sz w:val="24"/>
          <w:szCs w:val="24"/>
        </w:rPr>
      </w:pPr>
      <w:r>
        <w:rPr>
          <w:rFonts w:ascii="Baskerville Old Face" w:hAnsi="Baskerville Old Face"/>
          <w:sz w:val="24"/>
          <w:szCs w:val="24"/>
        </w:rPr>
        <w:t>Thème1 : les sources du droits du numérique</w:t>
      </w:r>
    </w:p>
    <w:p w:rsidR="000E3B84" w:rsidRDefault="000E3B84" w:rsidP="000E3B84">
      <w:pPr>
        <w:rPr>
          <w:rFonts w:ascii="Baskerville Old Face" w:hAnsi="Baskerville Old Face"/>
          <w:sz w:val="24"/>
          <w:szCs w:val="24"/>
        </w:rPr>
      </w:pPr>
      <w:r>
        <w:rPr>
          <w:rFonts w:ascii="Baskerville Old Face" w:hAnsi="Baskerville Old Face"/>
          <w:sz w:val="24"/>
          <w:szCs w:val="24"/>
        </w:rPr>
        <w:t xml:space="preserve">Envisager comme l’ensemble des techniques juridique applicable à l’environnement et à la technologie numérique, le droit du numérique, comporte des sources à la fois national ou supranationale. </w:t>
      </w:r>
    </w:p>
    <w:p w:rsidR="000E3B84" w:rsidRDefault="000E3B84" w:rsidP="000E3B84">
      <w:pPr>
        <w:rPr>
          <w:rFonts w:ascii="Baskerville Old Face" w:hAnsi="Baskerville Old Face"/>
          <w:sz w:val="24"/>
          <w:szCs w:val="24"/>
        </w:rPr>
      </w:pPr>
      <w:r>
        <w:rPr>
          <w:rFonts w:ascii="Baskerville Old Face" w:hAnsi="Baskerville Old Face"/>
          <w:sz w:val="24"/>
          <w:szCs w:val="24"/>
        </w:rPr>
        <w:t xml:space="preserve">Les sources nationales : au niveau national, on constate qu’il y a des sources normatives et les sources non normatives </w:t>
      </w:r>
    </w:p>
    <w:p w:rsidR="00920A52" w:rsidRDefault="00920A52" w:rsidP="000E3B84">
      <w:pPr>
        <w:rPr>
          <w:rFonts w:ascii="Baskerville Old Face" w:hAnsi="Baskerville Old Face"/>
          <w:sz w:val="24"/>
          <w:szCs w:val="24"/>
        </w:rPr>
      </w:pPr>
      <w:r>
        <w:rPr>
          <w:rFonts w:ascii="Baskerville Old Face" w:hAnsi="Baskerville Old Face"/>
          <w:sz w:val="24"/>
          <w:szCs w:val="24"/>
        </w:rPr>
        <w:t>Les sources normatives, il faut remonter en 1978 pour trouver une législation complète ou presque relative à l’informatique, c’est à cette date que la France adopte la loi relative à l’informatique, aux fichiers et aux libertés, c’est la loi qu’on appelle informatique et liberté.</w:t>
      </w:r>
      <w:r w:rsidR="001F7F15">
        <w:rPr>
          <w:rFonts w:ascii="Baskerville Old Face" w:hAnsi="Baskerville Old Face"/>
          <w:sz w:val="24"/>
          <w:szCs w:val="24"/>
        </w:rPr>
        <w:t xml:space="preserve"> Ce texte </w:t>
      </w:r>
      <w:r w:rsidR="009C0DEA">
        <w:rPr>
          <w:rFonts w:ascii="Baskerville Old Face" w:hAnsi="Baskerville Old Face"/>
          <w:sz w:val="24"/>
          <w:szCs w:val="24"/>
        </w:rPr>
        <w:t>spécial</w:t>
      </w:r>
      <w:r w:rsidR="001F7F15">
        <w:rPr>
          <w:rFonts w:ascii="Baskerville Old Face" w:hAnsi="Baskerville Old Face"/>
          <w:sz w:val="24"/>
          <w:szCs w:val="24"/>
        </w:rPr>
        <w:t xml:space="preserve"> vise à protéger </w:t>
      </w:r>
      <w:r w:rsidR="00AE14BC">
        <w:rPr>
          <w:rFonts w:ascii="Baskerville Old Face" w:hAnsi="Baskerville Old Face"/>
          <w:sz w:val="24"/>
          <w:szCs w:val="24"/>
        </w:rPr>
        <w:t>les personnes physiques</w:t>
      </w:r>
      <w:r w:rsidR="001F7F15">
        <w:rPr>
          <w:rFonts w:ascii="Baskerville Old Face" w:hAnsi="Baskerville Old Face"/>
          <w:sz w:val="24"/>
          <w:szCs w:val="24"/>
        </w:rPr>
        <w:t xml:space="preserve"> face </w:t>
      </w:r>
      <w:r w:rsidR="00AE14BC">
        <w:rPr>
          <w:rFonts w:ascii="Baskerville Old Face" w:hAnsi="Baskerville Old Face"/>
          <w:sz w:val="24"/>
          <w:szCs w:val="24"/>
        </w:rPr>
        <w:t>aux traitements informatiques</w:t>
      </w:r>
      <w:r w:rsidR="001F7F15">
        <w:rPr>
          <w:rFonts w:ascii="Baskerville Old Face" w:hAnsi="Baskerville Old Face"/>
          <w:sz w:val="24"/>
          <w:szCs w:val="24"/>
        </w:rPr>
        <w:t xml:space="preserve"> </w:t>
      </w:r>
      <w:r w:rsidR="009C0DEA">
        <w:rPr>
          <w:rFonts w:ascii="Baskerville Old Face" w:hAnsi="Baskerville Old Face"/>
          <w:sz w:val="24"/>
          <w:szCs w:val="24"/>
        </w:rPr>
        <w:t>des données les concernant.</w:t>
      </w:r>
      <w:r w:rsidR="00AE14BC">
        <w:rPr>
          <w:rFonts w:ascii="Baskerville Old Face" w:hAnsi="Baskerville Old Face"/>
          <w:sz w:val="24"/>
          <w:szCs w:val="24"/>
        </w:rPr>
        <w:t xml:space="preserve"> </w:t>
      </w:r>
      <w:proofErr w:type="spellStart"/>
      <w:r w:rsidR="00AE14BC">
        <w:rPr>
          <w:rFonts w:ascii="Baskerville Old Face" w:hAnsi="Baskerville Old Face"/>
          <w:sz w:val="24"/>
          <w:szCs w:val="24"/>
        </w:rPr>
        <w:t>Ormis</w:t>
      </w:r>
      <w:proofErr w:type="spellEnd"/>
      <w:r w:rsidR="00AE14BC">
        <w:rPr>
          <w:rFonts w:ascii="Baskerville Old Face" w:hAnsi="Baskerville Old Face"/>
          <w:sz w:val="24"/>
          <w:szCs w:val="24"/>
        </w:rPr>
        <w:t xml:space="preserve"> ces textes plus spécifique, il existe des textes plus </w:t>
      </w:r>
      <w:r w:rsidR="00C13869">
        <w:rPr>
          <w:rFonts w:ascii="Baskerville Old Face" w:hAnsi="Baskerville Old Face"/>
          <w:sz w:val="24"/>
          <w:szCs w:val="24"/>
        </w:rPr>
        <w:t>généraux</w:t>
      </w:r>
      <w:r w:rsidR="00AE14BC">
        <w:rPr>
          <w:rFonts w:ascii="Baskerville Old Face" w:hAnsi="Baskerville Old Face"/>
          <w:sz w:val="24"/>
          <w:szCs w:val="24"/>
        </w:rPr>
        <w:t xml:space="preserve"> tel que l’article 9 du code civil qui dispose </w:t>
      </w:r>
      <w:r w:rsidR="00AE14BC" w:rsidRPr="00AE14BC">
        <w:rPr>
          <w:rFonts w:ascii="Baskerville Old Face" w:hAnsi="Baskerville Old Face"/>
          <w:sz w:val="24"/>
          <w:szCs w:val="24"/>
        </w:rPr>
        <w:t>« Chacun a droit au respect de sa vie privée. Les juges peuvent sans préjudice de la réparation du dommage subi prescrire toutes mesures telles que séquestres, saisies et autres, propres à empêcher ou à faire cesser une atteinte à la vie privée ; ces mesures peuvent, s'il y a urgence, être ordonnées en référé</w:t>
      </w:r>
      <w:r w:rsidR="00AE14BC">
        <w:rPr>
          <w:rFonts w:ascii="Baskerville Old Face" w:hAnsi="Baskerville Old Face"/>
          <w:sz w:val="24"/>
          <w:szCs w:val="24"/>
        </w:rPr>
        <w:t> »</w:t>
      </w:r>
      <w:r w:rsidR="00C13869">
        <w:rPr>
          <w:rFonts w:ascii="Baskerville Old Face" w:hAnsi="Baskerville Old Face"/>
          <w:sz w:val="24"/>
          <w:szCs w:val="24"/>
        </w:rPr>
        <w:t xml:space="preserve">. Ce texte est relatif à la protection de la vie privée ce texte générale </w:t>
      </w:r>
      <w:r w:rsidR="001A769A">
        <w:rPr>
          <w:rFonts w:ascii="Baskerville Old Face" w:hAnsi="Baskerville Old Face"/>
          <w:sz w:val="24"/>
          <w:szCs w:val="24"/>
        </w:rPr>
        <w:t xml:space="preserve">à vocation à s’appliquer à l’environnement numérique. </w:t>
      </w:r>
      <w:r w:rsidR="001A769A" w:rsidRPr="00591895">
        <w:rPr>
          <w:rFonts w:ascii="Baskerville Old Face" w:hAnsi="Baskerville Old Face"/>
          <w:color w:val="FF0000"/>
          <w:sz w:val="24"/>
          <w:szCs w:val="24"/>
        </w:rPr>
        <w:t xml:space="preserve">Référé est une </w:t>
      </w:r>
      <w:r w:rsidR="001A769A" w:rsidRPr="00794ECB">
        <w:rPr>
          <w:rFonts w:ascii="Baskerville Old Face" w:hAnsi="Baskerville Old Face"/>
          <w:color w:val="FF0000"/>
          <w:sz w:val="24"/>
          <w:szCs w:val="24"/>
        </w:rPr>
        <w:t>procédure d’urgence</w:t>
      </w:r>
      <w:r w:rsidR="001A769A" w:rsidRPr="00591895">
        <w:rPr>
          <w:rFonts w:ascii="Baskerville Old Face" w:hAnsi="Baskerville Old Face"/>
          <w:color w:val="FF0000"/>
          <w:sz w:val="24"/>
          <w:szCs w:val="24"/>
        </w:rPr>
        <w:t xml:space="preserve"> destiné à éteindre les effets d’un préjudice</w:t>
      </w:r>
      <w:r w:rsidR="00794ECB" w:rsidRPr="00591895">
        <w:rPr>
          <w:rFonts w:ascii="Baskerville Old Face" w:hAnsi="Baskerville Old Face"/>
          <w:color w:val="FF0000"/>
          <w:sz w:val="24"/>
          <w:szCs w:val="24"/>
        </w:rPr>
        <w:t>.</w:t>
      </w:r>
    </w:p>
    <w:p w:rsidR="00794ECB" w:rsidRDefault="00794ECB" w:rsidP="000E3B84">
      <w:pPr>
        <w:rPr>
          <w:rFonts w:ascii="Baskerville Old Face" w:hAnsi="Baskerville Old Face"/>
          <w:sz w:val="24"/>
          <w:szCs w:val="24"/>
        </w:rPr>
      </w:pPr>
      <w:r>
        <w:rPr>
          <w:rFonts w:ascii="Baskerville Old Face" w:hAnsi="Baskerville Old Face"/>
          <w:sz w:val="24"/>
          <w:szCs w:val="24"/>
        </w:rPr>
        <w:t xml:space="preserve">Aussi </w:t>
      </w:r>
      <w:r w:rsidR="00413637">
        <w:rPr>
          <w:rFonts w:ascii="Baskerville Old Face" w:hAnsi="Baskerville Old Face"/>
          <w:sz w:val="24"/>
          <w:szCs w:val="24"/>
        </w:rPr>
        <w:t>peut-on</w:t>
      </w:r>
      <w:r>
        <w:rPr>
          <w:rFonts w:ascii="Baskerville Old Face" w:hAnsi="Baskerville Old Face"/>
          <w:sz w:val="24"/>
          <w:szCs w:val="24"/>
        </w:rPr>
        <w:t xml:space="preserve"> dire qu’un droit du numérique, il faut tenir compte des textes généraux que des textes spécifique à l’environnement numérique</w:t>
      </w:r>
    </w:p>
    <w:p w:rsidR="00794ECB" w:rsidRDefault="00794ECB" w:rsidP="00794ECB">
      <w:pPr>
        <w:pStyle w:val="Paragraphedeliste"/>
        <w:numPr>
          <w:ilvl w:val="0"/>
          <w:numId w:val="1"/>
        </w:numPr>
        <w:rPr>
          <w:rFonts w:ascii="Baskerville Old Face" w:hAnsi="Baskerville Old Face"/>
          <w:sz w:val="24"/>
          <w:szCs w:val="24"/>
        </w:rPr>
      </w:pPr>
      <w:r>
        <w:rPr>
          <w:rFonts w:ascii="Baskerville Old Face" w:hAnsi="Baskerville Old Face"/>
          <w:sz w:val="24"/>
          <w:szCs w:val="24"/>
        </w:rPr>
        <w:t>Les textes généraux</w:t>
      </w:r>
    </w:p>
    <w:p w:rsidR="00591895" w:rsidRDefault="00794ECB" w:rsidP="00591895">
      <w:pPr>
        <w:shd w:val="clear" w:color="auto" w:fill="FFFFFF"/>
        <w:spacing w:line="240" w:lineRule="auto"/>
        <w:rPr>
          <w:rFonts w:ascii="Baskerville Old Face" w:hAnsi="Baskerville Old Face"/>
          <w:sz w:val="24"/>
          <w:szCs w:val="24"/>
        </w:rPr>
      </w:pPr>
      <w:r>
        <w:rPr>
          <w:rFonts w:ascii="Baskerville Old Face" w:hAnsi="Baskerville Old Face"/>
          <w:sz w:val="24"/>
          <w:szCs w:val="24"/>
        </w:rPr>
        <w:t xml:space="preserve">Les normes </w:t>
      </w:r>
      <w:r w:rsidR="00413637">
        <w:rPr>
          <w:rFonts w:ascii="Baskerville Old Face" w:hAnsi="Baskerville Old Face"/>
          <w:sz w:val="24"/>
          <w:szCs w:val="24"/>
        </w:rPr>
        <w:t>juridiques applicables</w:t>
      </w:r>
      <w:r>
        <w:rPr>
          <w:rFonts w:ascii="Baskerville Old Face" w:hAnsi="Baskerville Old Face"/>
          <w:sz w:val="24"/>
          <w:szCs w:val="24"/>
        </w:rPr>
        <w:t xml:space="preserve"> à l’environnement numérique sont notamment des </w:t>
      </w:r>
      <w:r w:rsidR="00413637">
        <w:rPr>
          <w:rFonts w:ascii="Baskerville Old Face" w:hAnsi="Baskerville Old Face"/>
          <w:sz w:val="24"/>
          <w:szCs w:val="24"/>
        </w:rPr>
        <w:t>textes généraux applicables</w:t>
      </w:r>
      <w:r>
        <w:rPr>
          <w:rFonts w:ascii="Baskerville Old Face" w:hAnsi="Baskerville Old Face"/>
          <w:sz w:val="24"/>
          <w:szCs w:val="24"/>
        </w:rPr>
        <w:t xml:space="preserve"> à des situations ayant lieu dans l’environnement numérique, par ailleurs, un texte </w:t>
      </w:r>
      <w:r w:rsidR="00413637">
        <w:rPr>
          <w:rFonts w:ascii="Baskerville Old Face" w:hAnsi="Baskerville Old Face"/>
          <w:sz w:val="24"/>
          <w:szCs w:val="24"/>
        </w:rPr>
        <w:t>général</w:t>
      </w:r>
      <w:r>
        <w:rPr>
          <w:rFonts w:ascii="Baskerville Old Face" w:hAnsi="Baskerville Old Face"/>
          <w:sz w:val="24"/>
          <w:szCs w:val="24"/>
        </w:rPr>
        <w:t xml:space="preserve"> peut comporter des dispositions </w:t>
      </w:r>
      <w:r w:rsidR="00413637">
        <w:rPr>
          <w:rFonts w:ascii="Baskerville Old Face" w:hAnsi="Baskerville Old Face"/>
          <w:sz w:val="24"/>
          <w:szCs w:val="24"/>
        </w:rPr>
        <w:t>spécifiques</w:t>
      </w:r>
      <w:r>
        <w:rPr>
          <w:rFonts w:ascii="Baskerville Old Face" w:hAnsi="Baskerville Old Face"/>
          <w:sz w:val="24"/>
          <w:szCs w:val="24"/>
        </w:rPr>
        <w:t xml:space="preserve"> à l’environnement numérique.</w:t>
      </w:r>
      <w:r w:rsidR="00413637">
        <w:rPr>
          <w:rFonts w:ascii="Baskerville Old Face" w:hAnsi="Baskerville Old Face"/>
          <w:sz w:val="24"/>
          <w:szCs w:val="24"/>
        </w:rPr>
        <w:t xml:space="preserve"> On peut citer des textes généraux qui so</w:t>
      </w:r>
      <w:r w:rsidR="00591895">
        <w:rPr>
          <w:rFonts w:ascii="Baskerville Old Face" w:hAnsi="Baskerville Old Face"/>
          <w:sz w:val="24"/>
          <w:szCs w:val="24"/>
        </w:rPr>
        <w:t xml:space="preserve">nt souvent convoqué en matière de communication numérique </w:t>
      </w:r>
      <w:r w:rsidR="00413637">
        <w:rPr>
          <w:rFonts w:ascii="Baskerville Old Face" w:hAnsi="Baskerville Old Face"/>
          <w:sz w:val="24"/>
          <w:szCs w:val="24"/>
        </w:rPr>
        <w:t>ou de commerce électronique</w:t>
      </w:r>
      <w:r w:rsidR="00591895">
        <w:rPr>
          <w:rFonts w:ascii="Baskerville Old Face" w:hAnsi="Baskerville Old Face"/>
          <w:sz w:val="24"/>
          <w:szCs w:val="24"/>
        </w:rPr>
        <w:t>, Article 29 de la loi de 1881 sur la liberté de la presse : « </w:t>
      </w:r>
      <w:r w:rsidR="00591895" w:rsidRPr="00591895">
        <w:rPr>
          <w:rFonts w:ascii="Baskerville Old Face" w:hAnsi="Baskerville Old Face"/>
          <w:sz w:val="24"/>
          <w:szCs w:val="24"/>
        </w:rPr>
        <w:t>Toute allégation ou imputation d'un fait qui porte atteinte à l'honneur ou à la considération de la personne ou du corps auquel le fait est imputé est une diffamation. »</w:t>
      </w:r>
      <w:r w:rsidR="00591895">
        <w:rPr>
          <w:rFonts w:ascii="Baskerville Old Face" w:hAnsi="Baskerville Old Face"/>
          <w:sz w:val="24"/>
          <w:szCs w:val="24"/>
        </w:rPr>
        <w:t>. L’article L 121-1 du code de la consom</w:t>
      </w:r>
      <w:r w:rsidR="00297FF8">
        <w:rPr>
          <w:rFonts w:ascii="Baskerville Old Face" w:hAnsi="Baskerville Old Face"/>
          <w:sz w:val="24"/>
          <w:szCs w:val="24"/>
        </w:rPr>
        <w:t>m</w:t>
      </w:r>
      <w:r w:rsidR="00591895">
        <w:rPr>
          <w:rFonts w:ascii="Baskerville Old Face" w:hAnsi="Baskerville Old Face"/>
          <w:sz w:val="24"/>
          <w:szCs w:val="24"/>
        </w:rPr>
        <w:t>ation : « </w:t>
      </w:r>
      <w:r w:rsidR="00591895" w:rsidRPr="00591895">
        <w:rPr>
          <w:rFonts w:ascii="Baskerville Old Face" w:hAnsi="Baskerville Old Face"/>
          <w:sz w:val="24"/>
          <w:szCs w:val="24"/>
        </w:rPr>
        <w:t>Une pratique commerciale est déloyale lorsqu'elle est contraire aux exigences de la diligence professionnelle et qu'elle altère ou est susceptible d'altérer de manière substantielle le comportement économique du consommateur normalement informé et raisonnablement attentif et avisé, à l'égard d'un bien ou d'un service. »</w:t>
      </w:r>
      <w:r w:rsidR="00297FF8">
        <w:rPr>
          <w:rFonts w:ascii="Baskerville Old Face" w:hAnsi="Baskerville Old Face"/>
          <w:sz w:val="24"/>
          <w:szCs w:val="24"/>
        </w:rPr>
        <w:t>.</w:t>
      </w:r>
    </w:p>
    <w:p w:rsidR="00F10D1C" w:rsidRDefault="00297FF8" w:rsidP="00591895">
      <w:pPr>
        <w:shd w:val="clear" w:color="auto" w:fill="FFFFFF"/>
        <w:spacing w:line="240" w:lineRule="auto"/>
        <w:rPr>
          <w:rFonts w:ascii="Baskerville Old Face" w:hAnsi="Baskerville Old Face"/>
          <w:sz w:val="24"/>
          <w:szCs w:val="24"/>
        </w:rPr>
      </w:pPr>
      <w:r>
        <w:rPr>
          <w:rFonts w:ascii="Baskerville Old Face" w:hAnsi="Baskerville Old Face"/>
          <w:sz w:val="24"/>
          <w:szCs w:val="24"/>
        </w:rPr>
        <w:t>Au nombre des textes généraux comportant des dispositions spécifique ou numérique, on peut citer le code civil qui prévoit de disposition concernant, la preuve électronique</w:t>
      </w:r>
      <w:r w:rsidR="00F10D1C">
        <w:rPr>
          <w:rFonts w:ascii="Baskerville Old Face" w:hAnsi="Baskerville Old Face"/>
          <w:sz w:val="24"/>
          <w:szCs w:val="24"/>
        </w:rPr>
        <w:t xml:space="preserve"> Article 1366 ou </w:t>
      </w:r>
      <w:r>
        <w:rPr>
          <w:rFonts w:ascii="Baskerville Old Face" w:hAnsi="Baskerville Old Face"/>
          <w:sz w:val="24"/>
          <w:szCs w:val="24"/>
        </w:rPr>
        <w:t>les contrats conclu par voies électronique.</w:t>
      </w:r>
    </w:p>
    <w:p w:rsidR="00794ECB" w:rsidRDefault="00F10D1C" w:rsidP="00794ECB">
      <w:pPr>
        <w:pStyle w:val="Paragraphedeliste"/>
        <w:numPr>
          <w:ilvl w:val="0"/>
          <w:numId w:val="1"/>
        </w:numPr>
        <w:shd w:val="clear" w:color="auto" w:fill="FFFFFF"/>
        <w:spacing w:line="240" w:lineRule="auto"/>
        <w:rPr>
          <w:rFonts w:ascii="Baskerville Old Face" w:hAnsi="Baskerville Old Face"/>
          <w:sz w:val="24"/>
          <w:szCs w:val="24"/>
        </w:rPr>
      </w:pPr>
      <w:r>
        <w:rPr>
          <w:rFonts w:ascii="Baskerville Old Face" w:hAnsi="Baskerville Old Face"/>
          <w:sz w:val="24"/>
          <w:szCs w:val="24"/>
        </w:rPr>
        <w:t>Les textes spéciaux</w:t>
      </w:r>
    </w:p>
    <w:p w:rsidR="003F24B8" w:rsidRDefault="00004EA3" w:rsidP="006716D2">
      <w:pPr>
        <w:pStyle w:val="NormalWeb"/>
        <w:shd w:val="clear" w:color="auto" w:fill="FFFFFF"/>
        <w:spacing w:before="0" w:beforeAutospacing="0" w:after="240" w:afterAutospacing="0"/>
        <w:rPr>
          <w:rFonts w:ascii="Baskerville Old Face" w:hAnsi="Baskerville Old Face"/>
        </w:rPr>
      </w:pPr>
      <w:r>
        <w:rPr>
          <w:rFonts w:ascii="Baskerville Old Face" w:hAnsi="Baskerville Old Face"/>
        </w:rPr>
        <w:t>Plusieurs textes sont spécifiques à l’environnement numérique ou supposé l’être, le texte spéciale le plus connu est relatif aux données à caractère personnel, il s’agit de la loi du 6 janvier 1978 dites loi informatique et liberté Article 1 : « </w:t>
      </w:r>
      <w:r w:rsidRPr="00004EA3">
        <w:rPr>
          <w:rFonts w:ascii="Baskerville Old Face" w:hAnsi="Baskerville Old Face"/>
        </w:rPr>
        <w:t>L'informatique doit être au service de chaque citoyen. Son développement doit s'opérer dans le cadre de la coopération internationale. Elle ne doit porter atteinte ni à l'identité humaine, ni aux droits de l'homme, ni à la vie privée, ni aux libertés individuelles ou publiques.</w:t>
      </w:r>
      <w:r>
        <w:rPr>
          <w:rFonts w:ascii="Baskerville Old Face" w:hAnsi="Baskerville Old Face"/>
        </w:rPr>
        <w:t> ».</w:t>
      </w:r>
      <w:r w:rsidR="00BF3909">
        <w:rPr>
          <w:rFonts w:ascii="Baskerville Old Face" w:hAnsi="Baskerville Old Face"/>
        </w:rPr>
        <w:t xml:space="preserve"> En 1988 Jacques Godfrain à créer une loi : cette loi est relative à la fraude informatique, elle réprime la criminalité informatique et le piratage, certaine disposition de cette loi ont était modifier et on était intégré au code pénale. La loi L.C.E.N à était adopté le 21 juin 2015. L’article 6 paragraphe 1</w:t>
      </w:r>
      <w:r w:rsidR="006716D2">
        <w:rPr>
          <w:rFonts w:ascii="Baskerville Old Face" w:hAnsi="Baskerville Old Face"/>
        </w:rPr>
        <w:t> : «</w:t>
      </w:r>
      <w:r w:rsidR="00BF3909">
        <w:rPr>
          <w:rFonts w:ascii="Arial" w:hAnsi="Arial" w:cs="Arial"/>
          <w:color w:val="000000"/>
          <w:sz w:val="21"/>
          <w:szCs w:val="21"/>
        </w:rPr>
        <w:t> </w:t>
      </w:r>
      <w:r w:rsidR="00BF3909" w:rsidRPr="00BF3909">
        <w:rPr>
          <w:rFonts w:ascii="Baskerville Old Face" w:hAnsi="Baskerville Old Face"/>
        </w:rPr>
        <w:t xml:space="preserve">Les personnes dont l'activité est d'offrir </w:t>
      </w:r>
      <w:r w:rsidR="00BF3909" w:rsidRPr="00BF3909">
        <w:rPr>
          <w:rFonts w:ascii="Baskerville Old Face" w:hAnsi="Baskerville Old Face"/>
        </w:rPr>
        <w:lastRenderedPageBreak/>
        <w:t>un accès à des services de communication au public en ligne informent leurs abonnés de l'existence de moyens techniques permettant de restreindre l'accès à certains services ou de les sélectionner et leur proposen</w:t>
      </w:r>
      <w:r w:rsidR="006716D2">
        <w:rPr>
          <w:rFonts w:ascii="Baskerville Old Face" w:hAnsi="Baskerville Old Face"/>
        </w:rPr>
        <w:t xml:space="preserve">t au moins un de ces moyens. » </w:t>
      </w:r>
    </w:p>
    <w:p w:rsidR="00BF3909" w:rsidRDefault="006716D2" w:rsidP="006716D2">
      <w:pPr>
        <w:pStyle w:val="NormalWeb"/>
        <w:shd w:val="clear" w:color="auto" w:fill="FFFFFF"/>
        <w:spacing w:before="0" w:beforeAutospacing="0" w:after="240" w:afterAutospacing="0"/>
        <w:rPr>
          <w:rFonts w:ascii="Baskerville Old Face" w:hAnsi="Baskerville Old Face"/>
        </w:rPr>
      </w:pPr>
      <w:r>
        <w:rPr>
          <w:rFonts w:ascii="Baskerville Old Face" w:hAnsi="Baskerville Old Face"/>
        </w:rPr>
        <w:t>La loi H.A.D.O.P.I : « </w:t>
      </w:r>
      <w:r w:rsidRPr="006716D2">
        <w:rPr>
          <w:rFonts w:ascii="Baskerville Old Face" w:hAnsi="Baskerville Old Face"/>
        </w:rPr>
        <w:t>Haute Autorité pour la diffusion des œuvres et la protection des droits sur internet</w:t>
      </w:r>
      <w:r>
        <w:rPr>
          <w:rFonts w:ascii="Baskerville Old Face" w:hAnsi="Baskerville Old Face"/>
        </w:rPr>
        <w:t xml:space="preserve"> » HADOPI est donc la </w:t>
      </w:r>
      <w:r w:rsidR="00DC4C38">
        <w:rPr>
          <w:rFonts w:ascii="Baskerville Old Face" w:hAnsi="Baskerville Old Face"/>
        </w:rPr>
        <w:t>haute autorité,</w:t>
      </w:r>
      <w:r>
        <w:rPr>
          <w:rFonts w:ascii="Baskerville Old Face" w:hAnsi="Baskerville Old Face"/>
        </w:rPr>
        <w:t xml:space="preserve"> qui avait était </w:t>
      </w:r>
      <w:r w:rsidR="00DC4C38">
        <w:rPr>
          <w:rFonts w:ascii="Baskerville Old Face" w:hAnsi="Baskerville Old Face"/>
        </w:rPr>
        <w:t>institué</w:t>
      </w:r>
      <w:r>
        <w:rPr>
          <w:rFonts w:ascii="Baskerville Old Face" w:hAnsi="Baskerville Old Face"/>
        </w:rPr>
        <w:t xml:space="preserve"> par un décret du 29 décembre 2009, le rôle d’HADOPI consistait de réguler et veiller dans le domaine des mesure technique de protection et d’identification des œuvres et des objets protégés par un droit d’auteur ou un droit voisin.</w:t>
      </w:r>
      <w:r w:rsidR="00DC4C38">
        <w:rPr>
          <w:rFonts w:ascii="Baskerville Old Face" w:hAnsi="Baskerville Old Face"/>
        </w:rPr>
        <w:t xml:space="preserve"> La loi d’HADOPI se présentait comme une loi qui avait pour objectif de protéger les droits d’auteur, cette protection ce faisait donc à un des ennemis principaux qui est l’internet, on avait envisagé la loi HADOPI comme une solution face à ce phénomène comme une arme qui devait protéger les droits d’auteurs et contre le piratage.</w:t>
      </w:r>
      <w:r w:rsidR="00585470">
        <w:rPr>
          <w:rFonts w:ascii="Baskerville Old Face" w:hAnsi="Baskerville Old Face"/>
        </w:rPr>
        <w:t xml:space="preserve"> En janvier 2002 à était créer de A.R.C.O.M, c’est l’autorité de régulation de la communication audiovisuel et numérique, </w:t>
      </w:r>
      <w:r w:rsidR="008F1DBC">
        <w:rPr>
          <w:rFonts w:ascii="Baskerville Old Face" w:hAnsi="Baskerville Old Face"/>
        </w:rPr>
        <w:t xml:space="preserve">cet accord est née de la fusion du C.S.A et d’H.A.D.O.P.I. Certaine des dispositions d’HADOPI ont étaient insérer au code de la </w:t>
      </w:r>
      <w:r w:rsidR="00937350">
        <w:rPr>
          <w:rFonts w:ascii="Baskerville Old Face" w:hAnsi="Baskerville Old Face"/>
        </w:rPr>
        <w:t>propriété</w:t>
      </w:r>
      <w:r w:rsidR="008F1DBC">
        <w:rPr>
          <w:rFonts w:ascii="Baskerville Old Face" w:hAnsi="Baskerville Old Face"/>
        </w:rPr>
        <w:t xml:space="preserve"> intellectuel, au nombre des sources normative interne figure aussi le code des communications</w:t>
      </w:r>
      <w:r w:rsidR="00937350">
        <w:rPr>
          <w:rFonts w:ascii="Baskerville Old Face" w:hAnsi="Baskerville Old Face"/>
        </w:rPr>
        <w:t xml:space="preserve"> électronique et des postes, la loi pour une république numérique du 7 octobre 2016 cette loi est relative notamment à l’accès au numérique, a la circulation des données et la protection des droits dans l’environnement numérique.</w:t>
      </w:r>
      <w:r w:rsidR="003F24B8">
        <w:rPr>
          <w:rFonts w:ascii="Baskerville Old Face" w:hAnsi="Baskerville Old Face"/>
        </w:rPr>
        <w:t xml:space="preserve"> </w:t>
      </w:r>
    </w:p>
    <w:p w:rsidR="00C731CB" w:rsidRDefault="00C731CB" w:rsidP="00C731CB">
      <w:pPr>
        <w:pStyle w:val="NormalWeb"/>
        <w:shd w:val="clear" w:color="auto" w:fill="FFFFFF"/>
        <w:spacing w:before="0" w:beforeAutospacing="0" w:after="240" w:afterAutospacing="0"/>
        <w:rPr>
          <w:rFonts w:ascii="Baskerville Old Face" w:hAnsi="Baskerville Old Face"/>
        </w:rPr>
      </w:pPr>
      <w:r>
        <w:rPr>
          <w:rFonts w:ascii="Baskerville Old Face" w:hAnsi="Baskerville Old Face"/>
        </w:rPr>
        <w:t xml:space="preserve">Les sources du droit numérique autre que normative sont naturellement la jurisprudence, de la coutume et du soft </w:t>
      </w:r>
      <w:proofErr w:type="spellStart"/>
      <w:r>
        <w:rPr>
          <w:rFonts w:ascii="Baskerville Old Face" w:hAnsi="Baskerville Old Face"/>
        </w:rPr>
        <w:t>law</w:t>
      </w:r>
      <w:proofErr w:type="spellEnd"/>
      <w:r>
        <w:rPr>
          <w:rFonts w:ascii="Baskerville Old Face" w:hAnsi="Baskerville Old Face"/>
        </w:rPr>
        <w:t>.</w:t>
      </w:r>
    </w:p>
    <w:p w:rsidR="00C731CB" w:rsidRDefault="00C731CB" w:rsidP="00C731CB">
      <w:pPr>
        <w:pStyle w:val="NormalWeb"/>
        <w:shd w:val="clear" w:color="auto" w:fill="FFFFFF"/>
        <w:spacing w:before="0" w:beforeAutospacing="0" w:after="240" w:afterAutospacing="0"/>
        <w:rPr>
          <w:rFonts w:ascii="Baskerville Old Face" w:hAnsi="Baskerville Old Face"/>
        </w:rPr>
      </w:pPr>
      <w:r>
        <w:rPr>
          <w:rFonts w:ascii="Baskerville Old Face" w:hAnsi="Baskerville Old Face"/>
        </w:rPr>
        <w:t xml:space="preserve">La </w:t>
      </w:r>
      <w:r w:rsidRPr="006477B1">
        <w:rPr>
          <w:rFonts w:ascii="Baskerville Old Face" w:hAnsi="Baskerville Old Face"/>
          <w:color w:val="FF0000"/>
        </w:rPr>
        <w:t xml:space="preserve">jurisprudence </w:t>
      </w:r>
      <w:r>
        <w:rPr>
          <w:rFonts w:ascii="Baskerville Old Face" w:hAnsi="Baskerville Old Face"/>
        </w:rPr>
        <w:t>est l’ensemble des décisions rendues par les tribunaux dans un pays.</w:t>
      </w:r>
    </w:p>
    <w:p w:rsidR="00C731CB" w:rsidRDefault="00C731CB" w:rsidP="00C731CB">
      <w:pPr>
        <w:pStyle w:val="NormalWeb"/>
        <w:shd w:val="clear" w:color="auto" w:fill="FFFFFF"/>
        <w:spacing w:before="0" w:beforeAutospacing="0" w:after="240" w:afterAutospacing="0"/>
        <w:rPr>
          <w:rFonts w:ascii="Baskerville Old Face" w:hAnsi="Baskerville Old Face"/>
        </w:rPr>
      </w:pPr>
      <w:r>
        <w:rPr>
          <w:rFonts w:ascii="Baskerville Old Face" w:hAnsi="Baskerville Old Face"/>
        </w:rPr>
        <w:t>Des règles déontologiques du Soft Law sont pour autant des effets juridiques non existant. Contrairement à la Hard-Law. S’agissant de la jurisprudence elle reflète l’éclatement des sources normative, ainsi la jurisprudence normative aux droits du numérique, émane aussi bien de la juridiction intervenant en matière de droit du travail de droit civil, de droit pénale, de droit de la presse, de droit de la propriété intellectuel, de droit de la communication, au-delà de la jurisprudence, on peut relever l’existence des règles déontologique tel que la recommandation de l’autorité de régulation professionnel de la publicité, par ailleurs, en matière des données personnel, la CNIL : commission national de l’informatique et liberté, et dite délit directrice. Ces règles constitue des sources infra-législative, c’est-à-dire des principes qui sont en dessous de la loi mais au-dessus de tous les autres administratif, même réglementaire et même ceux adopté par le président ou le premier ministre. A cette liste on peut ajouter la charte de nommage de l’AFNIC : association française pour le nommage internet en coopération. Le nommage est l’attribution d’un nom permettant d’identifier un objet.</w:t>
      </w:r>
      <w:bookmarkStart w:id="0" w:name="_GoBack"/>
      <w:bookmarkEnd w:id="0"/>
    </w:p>
    <w:sectPr w:rsidR="00C731CB" w:rsidSect="00D81A6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1494"/>
    <w:multiLevelType w:val="hybridMultilevel"/>
    <w:tmpl w:val="7EFC23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84"/>
    <w:rsid w:val="00004EA3"/>
    <w:rsid w:val="0004559B"/>
    <w:rsid w:val="000E3B84"/>
    <w:rsid w:val="001A769A"/>
    <w:rsid w:val="001F7F15"/>
    <w:rsid w:val="00297FF8"/>
    <w:rsid w:val="00340BAB"/>
    <w:rsid w:val="003F24B8"/>
    <w:rsid w:val="00413637"/>
    <w:rsid w:val="00585470"/>
    <w:rsid w:val="00591895"/>
    <w:rsid w:val="006716D2"/>
    <w:rsid w:val="007341AE"/>
    <w:rsid w:val="00794ECB"/>
    <w:rsid w:val="008F1DBC"/>
    <w:rsid w:val="00920A52"/>
    <w:rsid w:val="00935F52"/>
    <w:rsid w:val="009367A9"/>
    <w:rsid w:val="00937350"/>
    <w:rsid w:val="009C0DEA"/>
    <w:rsid w:val="00AE14BC"/>
    <w:rsid w:val="00B90B7E"/>
    <w:rsid w:val="00BF3909"/>
    <w:rsid w:val="00C13869"/>
    <w:rsid w:val="00C731CB"/>
    <w:rsid w:val="00CD6A91"/>
    <w:rsid w:val="00D52CE9"/>
    <w:rsid w:val="00D81A6A"/>
    <w:rsid w:val="00DC4C38"/>
    <w:rsid w:val="00F10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C3370-68EF-4708-9DF8-BAD6F77D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B8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4ECB"/>
    <w:pPr>
      <w:ind w:left="720"/>
      <w:contextualSpacing/>
    </w:pPr>
  </w:style>
  <w:style w:type="character" w:customStyle="1" w:styleId="hgkelc">
    <w:name w:val="hgkelc"/>
    <w:basedOn w:val="Policepardfaut"/>
    <w:rsid w:val="00591895"/>
  </w:style>
  <w:style w:type="paragraph" w:styleId="NormalWeb">
    <w:name w:val="Normal (Web)"/>
    <w:basedOn w:val="Normal"/>
    <w:uiPriority w:val="99"/>
    <w:unhideWhenUsed/>
    <w:rsid w:val="00BF39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F3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8750">
      <w:bodyDiv w:val="1"/>
      <w:marLeft w:val="0"/>
      <w:marRight w:val="0"/>
      <w:marTop w:val="0"/>
      <w:marBottom w:val="0"/>
      <w:divBdr>
        <w:top w:val="none" w:sz="0" w:space="0" w:color="auto"/>
        <w:left w:val="none" w:sz="0" w:space="0" w:color="auto"/>
        <w:bottom w:val="none" w:sz="0" w:space="0" w:color="auto"/>
        <w:right w:val="none" w:sz="0" w:space="0" w:color="auto"/>
      </w:divBdr>
    </w:div>
    <w:div w:id="775907955">
      <w:bodyDiv w:val="1"/>
      <w:marLeft w:val="0"/>
      <w:marRight w:val="0"/>
      <w:marTop w:val="0"/>
      <w:marBottom w:val="0"/>
      <w:divBdr>
        <w:top w:val="none" w:sz="0" w:space="0" w:color="auto"/>
        <w:left w:val="none" w:sz="0" w:space="0" w:color="auto"/>
        <w:bottom w:val="none" w:sz="0" w:space="0" w:color="auto"/>
        <w:right w:val="none" w:sz="0" w:space="0" w:color="auto"/>
      </w:divBdr>
    </w:div>
    <w:div w:id="2057775316">
      <w:bodyDiv w:val="1"/>
      <w:marLeft w:val="0"/>
      <w:marRight w:val="0"/>
      <w:marTop w:val="0"/>
      <w:marBottom w:val="0"/>
      <w:divBdr>
        <w:top w:val="none" w:sz="0" w:space="0" w:color="auto"/>
        <w:left w:val="none" w:sz="0" w:space="0" w:color="auto"/>
        <w:bottom w:val="none" w:sz="0" w:space="0" w:color="auto"/>
        <w:right w:val="none" w:sz="0" w:space="0" w:color="auto"/>
      </w:divBdr>
      <w:divsChild>
        <w:div w:id="2091654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1025</Words>
  <Characters>5639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Rolland</dc:creator>
  <cp:keywords/>
  <dc:description/>
  <cp:lastModifiedBy>Gabriel Rolland</cp:lastModifiedBy>
  <cp:revision>16</cp:revision>
  <dcterms:created xsi:type="dcterms:W3CDTF">2023-02-06T09:46:00Z</dcterms:created>
  <dcterms:modified xsi:type="dcterms:W3CDTF">2023-02-13T11:12:00Z</dcterms:modified>
</cp:coreProperties>
</file>