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DATATHON — PASSOS MÁGICOS</w:t>
      </w:r>
    </w:p>
    <w:p>
      <w:pPr>
        <w:pStyle w:val="Subtitle"/>
        <w:jc w:val="center"/>
      </w:pPr>
      <w:r>
        <w:t>Síntese integrada das análises — Diagnóstico e Questões 1 a 11</w:t>
      </w:r>
    </w:p>
    <w:p>
      <w:pPr>
        <w:jc w:val="center"/>
      </w:pPr>
      <w:r>
        <w:rPr>
          <w:color w:val="646464"/>
        </w:rPr>
        <w:t>Base longitudinal PEDE 2022–2024 · Versão revisada · 25/09/2026</w:t>
      </w:r>
    </w:p>
    <w:p>
      <w:pPr>
        <w:jc w:val="center"/>
      </w:pPr>
      <w:r>
        <w:rPr>
          <w:color w:val="646464"/>
        </w:rPr>
        <w:t>Ananda Soares Soldateli · Grecco Teixeira de Morais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8"/>
          </w:tcPr>
          <w:p>
            <w:r>
              <w:rPr>
                <w:b/>
                <w:color w:val="1F4E79"/>
              </w:rPr>
              <w:t xml:space="preserve">OBJETIVO. </w:t>
            </w:r>
            <w:r>
              <w:t>Responder às 11 perguntas do Datathon com base nos dados da PEDE 2022–2024, apresentar o modelo preditivo de risco e propor oportunidades de melhoria à Associação. Todos os números são gerados pelo pipeline do repositório (src/ e notebooks/), sem valores digitados à mão. Os resultados são observacionais: mostram associações, não efeitos causais do programa.</w:t>
            </w:r>
          </w:p>
        </w:tc>
      </w:tr>
    </w:tbl>
    <w:p/>
    <w:p>
      <w:pPr>
        <w:pStyle w:val="Heading1"/>
      </w:pPr>
      <w:r>
        <w:t>Resumo executivo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val="clear" w:color="auto" w:fill="D9EAF7"/>
          </w:tcPr>
          <w:p>
            <w:r>
              <w:rPr>
                <w:b/>
                <w:sz w:val="19"/>
              </w:rPr>
              <w:t>Tema</w:t>
            </w:r>
          </w:p>
        </w:tc>
        <w:tc>
          <w:tcPr>
            <w:tcW w:type="dxa" w:w="7030"/>
            <w:shd w:val="clear" w:color="auto" w:fill="D9EAF7"/>
          </w:tcPr>
          <w:p>
            <w:r>
              <w:rPr>
                <w:b/>
                <w:sz w:val="19"/>
              </w:rPr>
              <w:t>Mensagem gerencial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Q1 — Defasagem (IAN)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Na fonte, os alunos em fase passam de 30,1% (2022) para 53,8% (2024). A magnitude em 2024 depende da regra de fase ideal, que mudou nesse ano.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Q2 — Desempenho (IDA)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Sem tendência consistente: 6,09 → 6,66 → 6,35. A Fase 3 tem a menor média nos três anos.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Q3 — Engajamento (IEG)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Associação positiva e moderada com IDA e IPV nos três anos.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Q4 — Autoavaliação (IAA)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Associação fraca com IDA e IEG. O IAA mede percepção e bem-estar amplos, não a nota; a comparação é exploratória.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Q5 — Psicossocial (IPS)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Não foi detectada associação entre IPS e queda de IDA ou IEG no ano seguinte.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Q6 — Psicopedagógico (IPP)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IPP ligeiramente menor entre defasados: mesma direção do IAN, com diferença pequena.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Q7 — Ponto de virada (IPV)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Mais associado a IDA e IEG e, a partir de 2023, ao IPP.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Q8 — INDE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A fórmula oficial foi reproduzida. O maior espaço aritmético está no IDA (+0,73 se chegasse a 10).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Q9 — Modelo de risco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Prevê a redução de D no ano seguinte com ROC-AUC 0,866 (IC 95% 0,831–0,899). Os 10% de maior risco concentram 42% dos eventos. Uso indicado: priorização.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Q10 — Pedras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A distribuição melhora, mas nos mesmos alunos o INDE fica estável, exceto no Quartzo. Critérios de Pedra variam entre anos.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Q11 — Insights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Não reaparecimento na base concentrado nas Pedras mais baixas (60% dos Quartzo vs 9% dos Topázio em 2022→23) e promoção baixa no ALFA e, em 2023→24, nas Fases 5 e 7.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8"/>
          </w:tcPr>
          <w:p>
            <w:r>
              <w:rPr>
                <w:b/>
                <w:color w:val="1F4E79"/>
              </w:rPr>
              <w:t xml:space="preserve">LEITURA GERAL. </w:t>
            </w:r>
            <w:r>
              <w:t>Os dados mostram menos alunos defasados ao longo dos anos, mas o desempenho acadêmico oscila, a regra de fase ideal mudou em 2024 e a composição da base muda de um ano para o outro. As oportunidades mais claras são priorizar alunos com maior risco de perder adequação de nível, reforçar o IDA nas fases de menor desempenho e investigar por que alunos de menor INDE deixam de aparecer na base.</w:t>
            </w:r>
          </w:p>
        </w:tc>
      </w:tr>
    </w:tbl>
    <w:p/>
    <w:p>
      <w:pPr>
        <w:pStyle w:val="Heading2"/>
      </w:pPr>
      <w:r>
        <w:t>Nota sobre esta versão</w:t>
      </w:r>
    </w:p>
    <w:p>
      <w:r>
        <w:rPr>
          <w:i w:val="0"/>
        </w:rPr>
        <w:t>Esta versão substitui a síntese anterior (Q1–Q10) e incorpora uma auditoria independente. As principais mudanças:</w:t>
      </w:r>
    </w:p>
    <w:p>
      <w:pPr>
        <w:pStyle w:val="ListBullet"/>
      </w:pPr>
      <w:r>
        <w:rPr>
          <w:b/>
        </w:rPr>
        <w:t xml:space="preserve">Dados de 2023 recuperados: </w:t>
      </w:r>
      <w:r>
        <w:t>INDE e Pedra estão nas colunas INDE 2023/Pedra 2023; a versão anterior lia colunas vazias.</w:t>
      </w:r>
    </w:p>
    <w:p>
      <w:pPr>
        <w:pStyle w:val="ListBullet"/>
      </w:pPr>
      <w:r>
        <w:rPr>
          <w:b/>
        </w:rPr>
        <w:t xml:space="preserve">Problema preditivo reformulado: </w:t>
      </w:r>
      <w:r>
        <w:t>o alvo passou a ser a redução de D no ano seguinte, e as variáveis categóricas foram harmonizadas entre anos. O alvo anterior, com os atributos corrigidos e no mesmo protocolo, atinge ROC-AUC 0,592; por isso as métricas antigas e novas não são comparáveis como ganho de modelagem.</w:t>
      </w:r>
    </w:p>
    <w:p>
      <w:pPr>
        <w:pStyle w:val="ListBullet"/>
      </w:pPr>
      <w:r>
        <w:rPr>
          <w:b/>
        </w:rPr>
        <w:t xml:space="preserve">Comparabilidade explicitada: </w:t>
      </w:r>
      <w:r>
        <w:t>regra de fase ideal de 2024, zeros de IEG e IAA, critérios de Pedra e ausência na base passaram a ter tratamento documentado e análises de sensibilidade.</w:t>
      </w:r>
    </w:p>
    <w:p>
      <w:pPr>
        <w:pStyle w:val="ListBullet"/>
      </w:pPr>
      <w:r>
        <w:rPr>
          <w:b/>
        </w:rPr>
        <w:t xml:space="preserve">Linguagem: </w:t>
      </w:r>
      <w:r>
        <w:t>conclusões reescritas como associação, potencial aritmético ou não detecção, conforme o que cada análise sustenta.</w:t>
      </w:r>
    </w:p>
    <w:p>
      <w:r>
        <w:br w:type="page"/>
      </w:r>
    </w:p>
    <w:p>
      <w:pPr>
        <w:pStyle w:val="Heading1"/>
      </w:pPr>
      <w:r>
        <w:t>Diagnóstico da base de dados</w:t>
      </w:r>
    </w:p>
    <w:p>
      <w:r>
        <w:rPr>
          <w:i w:val="0"/>
        </w:rPr>
        <w:t>Foram analisadas as três abas da planilha PEDE 2024 (PEDE2022, PEDE2023 e PEDE2024), combinadas em uma base aluno × ano. As análises comparam fotografias anuais; não há dados de trajetória dentro de cada ano.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134"/>
            <w:shd w:val="clear" w:color="auto" w:fill="D9EAF7"/>
          </w:tcPr>
          <w:p>
            <w:r>
              <w:rPr>
                <w:b/>
                <w:sz w:val="19"/>
              </w:rPr>
              <w:t>Ano</w:t>
            </w:r>
          </w:p>
        </w:tc>
        <w:tc>
          <w:tcPr>
            <w:tcW w:type="dxa" w:w="1247"/>
            <w:shd w:val="clear" w:color="auto" w:fill="D9EAF7"/>
          </w:tcPr>
          <w:p>
            <w:r>
              <w:rPr>
                <w:b/>
                <w:sz w:val="19"/>
              </w:rPr>
              <w:t>Alunos</w:t>
            </w:r>
          </w:p>
        </w:tc>
        <w:tc>
          <w:tcPr>
            <w:tcW w:type="dxa" w:w="1814"/>
            <w:shd w:val="clear" w:color="auto" w:fill="D9EAF7"/>
          </w:tcPr>
          <w:p>
            <w:r>
              <w:rPr>
                <w:b/>
                <w:sz w:val="19"/>
              </w:rPr>
              <w:t>Com INDE e Pedra</w:t>
            </w:r>
          </w:p>
        </w:tc>
        <w:tc>
          <w:tcPr>
            <w:tcW w:type="dxa" w:w="1587"/>
            <w:shd w:val="clear" w:color="auto" w:fill="D9EAF7"/>
          </w:tcPr>
          <w:p>
            <w:r>
              <w:rPr>
                <w:b/>
                <w:sz w:val="19"/>
              </w:rPr>
              <w:t>Cobertura IDA</w:t>
            </w:r>
          </w:p>
        </w:tc>
        <w:tc>
          <w:tcPr>
            <w:tcW w:type="dxa" w:w="1587"/>
            <w:shd w:val="clear" w:color="auto" w:fill="D9EAF7"/>
          </w:tcPr>
          <w:p>
            <w:r>
              <w:rPr>
                <w:b/>
                <w:sz w:val="19"/>
              </w:rPr>
              <w:t>IEG efetivo*</w:t>
            </w:r>
          </w:p>
        </w:tc>
        <w:tc>
          <w:tcPr>
            <w:tcW w:type="dxa" w:w="1587"/>
            <w:shd w:val="clear" w:color="auto" w:fill="D9EAF7"/>
          </w:tcPr>
          <w:p>
            <w:r>
              <w:rPr>
                <w:b/>
                <w:sz w:val="19"/>
              </w:rPr>
              <w:t>Cobertura IPP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2022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860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860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100,0%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100,0%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2023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1014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931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92,4%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92,5%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92,5%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2024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1156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1054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91,3%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91,3%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91,2%</w:t>
            </w:r>
          </w:p>
        </w:tc>
      </w:tr>
    </w:tbl>
    <w:p>
      <w:pPr>
        <w:jc w:val="center"/>
      </w:pPr>
      <w:r>
        <w:rPr>
          <w:i/>
          <w:color w:val="646464"/>
          <w:sz w:val="18"/>
        </w:rPr>
        <w:t>Tabela 1 — Registros por ano (1661 alunos distintos; 468 presentes nos três anos). *IEG excluindo zeros sem nenhuma outra avaliação</w:t>
      </w:r>
    </w:p>
    <w:p>
      <w:pPr>
        <w:pStyle w:val="Heading2"/>
      </w:pPr>
      <w:r>
        <w:t>Ocorrências de qualidade e tratamento</w:t>
      </w:r>
    </w:p>
    <w:p>
      <w:pPr>
        <w:pStyle w:val="ListBullet"/>
      </w:pPr>
      <w:r>
        <w:rPr>
          <w:b/>
        </w:rPr>
        <w:t xml:space="preserve">Códigos diferentes entre anos: </w:t>
      </w:r>
      <w:r>
        <w:t>fase (7, FASE 7, 7A), gênero (Menina/Feminino) e escola foram harmonizados.</w:t>
      </w:r>
    </w:p>
    <w:p>
      <w:pPr>
        <w:pStyle w:val="ListBullet"/>
      </w:pPr>
      <w:r>
        <w:rPr>
          <w:b/>
        </w:rPr>
        <w:t xml:space="preserve">Fase ideal em 2024: </w:t>
      </w:r>
      <w:r>
        <w:t>em 2022 e 2023 a fase ideal segue a mesma correspondência com a idade; em 2024, 301 registros divergem dela (258 com fase ideal uma abaixo e 40 uma acima). Nenhuma data de referência única reproduz a regra de 2024. A fonte é mantida e a diferença é tratada como sensibilidade (Q1 e Q9).</w:t>
      </w:r>
    </w:p>
    <w:p>
      <w:pPr>
        <w:pStyle w:val="ListBullet"/>
      </w:pPr>
      <w:r>
        <w:rPr>
          <w:b/>
        </w:rPr>
        <w:t xml:space="preserve">IEG 2024: </w:t>
      </w:r>
      <w:r>
        <w:t>109 zeros, dos quais 101 em registros sem nenhuma outra avaliação (Fases 8 e 9). A média muda de 7,37 para 8,08 sem esses registros, que são tratados como não avaliados nas análises.</w:t>
      </w:r>
    </w:p>
    <w:p>
      <w:pPr>
        <w:pStyle w:val="ListBullet"/>
      </w:pPr>
      <w:r>
        <w:rPr>
          <w:b/>
        </w:rPr>
        <w:t xml:space="preserve">IAA = 0: </w:t>
      </w:r>
      <w:r>
        <w:t>2022: 39, 2023: 190, 2024: 20 registros. Como ocorrem com as demais avaliações presentes, a hipótese é de não resposta (a confirmar com a Associação); são excluídos quando o IAA é analisado e mantidos no INDE oficial.</w:t>
      </w:r>
    </w:p>
    <w:p>
      <w:pPr>
        <w:pStyle w:val="ListBullet"/>
      </w:pPr>
      <w:r>
        <w:rPr>
          <w:b/>
        </w:rPr>
        <w:t xml:space="preserve">IPS 2023: </w:t>
      </w:r>
      <w:r>
        <w:t>distribuição concentrada (265 alunos com 2,52; média 5,12 contra ~6,9 nos outros anos). A causa (mudança de instrumento?) não está confirmada; comparações de nível entre anos são evitadas.</w:t>
      </w:r>
    </w:p>
    <w:p>
      <w:pPr>
        <w:pStyle w:val="ListBullet"/>
      </w:pPr>
      <w:r>
        <w:rPr>
          <w:b/>
        </w:rPr>
        <w:t xml:space="preserve">Outros: </w:t>
      </w:r>
      <w:r>
        <w:t>sem IPP em 2022; 38 alunos com INDE 2024 = “INCLUIR”; 2 registros com Defasagem ≠ Fase − Fase ideal (mantidos).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8"/>
          </w:tcPr>
          <w:p>
            <w:r>
              <w:rPr>
                <w:b/>
                <w:color w:val="1F4E79"/>
              </w:rPr>
              <w:t xml:space="preserve">CRITÉRIO. </w:t>
            </w:r>
            <w:r>
              <w:t>A planilha original não é alterada. Os valores da fonte são preservados e os tratamentos analíticos ficam em colunas separadas. Ausência não é tratada como zero, e as tabelas informam o número de alunos usados.</w:t>
            </w:r>
          </w:p>
        </w:tc>
      </w:tr>
    </w:tbl>
    <w:p/>
    <w:p>
      <w:r>
        <w:br w:type="page"/>
      </w:r>
    </w:p>
    <w:p>
      <w:pPr>
        <w:pStyle w:val="Heading1"/>
      </w:pPr>
      <w:r>
        <w:t>Q1 — Adequação do nível (IAN)</w:t>
      </w:r>
    </w:p>
    <w:p>
      <w:r>
        <w:rPr>
          <w:b/>
          <w:color w:val="1F4E79"/>
        </w:rPr>
        <w:t xml:space="preserve">Pergunta: </w:t>
      </w:r>
      <w:r>
        <w:rPr>
          <w:i/>
        </w:rPr>
        <w:t>Qual é o perfil geral de defasagem dos alunos (IAN) e como ele evolui ao longo do ano?</w:t>
      </w:r>
    </w:p>
    <w:p>
      <w:r>
        <w:rPr>
          <w:b/>
          <w:color w:val="1F4E79"/>
        </w:rPr>
        <w:t xml:space="preserve">Resposta: </w:t>
      </w:r>
      <w:r>
        <w:rPr>
          <w:b/>
        </w:rPr>
        <w:t>A parcela em fase aumenta entre os anos: 30,1% em 2022, 45,6% em 2023 e 53,8% em 2024 (fonte). A queda de 2023 para 2024 é menor quando se aplica a regra de fase ideal dos anos anteriores.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08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classes_i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08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1 — Classificação do IAN por ano na fonte (em fase: IAN 10; moderada: IAN 5; severa: IAN 2,5).</w:t>
      </w:r>
    </w:p>
    <w:p>
      <w:pPr>
        <w:pStyle w:val="ListBullet"/>
      </w:pPr>
      <w:r>
        <w:t>2022: 573 alunos com defasagem moderada e 28 com defasagem severa; 2024: 531 e 3.</w:t>
      </w:r>
    </w:p>
    <w:p>
      <w:pPr>
        <w:pStyle w:val="ListBullet"/>
      </w:pPr>
      <w:r>
        <w:t>IAN médio: 6,42 → 7,24 → 7,68.</w:t>
      </w:r>
    </w:p>
    <w:p>
      <w:pPr>
        <w:pStyle w:val="ListBullet"/>
      </w:pPr>
      <w:r>
        <w:t>Nos mesmos 468 alunos presentes nos três anos, a parcela com D &lt; 0 na fonte é 67,3% → 58,1% → 34,8%.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372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coorte_sensibilida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7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2 — Mesmos alunos: parcela defasada pela fonte e pela regra idade → fase de 2022/23 aplicada a 2024.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8"/>
          </w:tcPr>
          <w:p>
            <w:r>
              <w:rPr>
                <w:b/>
                <w:color w:val="1F4E79"/>
              </w:rPr>
              <w:t xml:space="preserve">SENSIBILIDADE. </w:t>
            </w:r>
            <w:r>
              <w:t>Aplicando em 2024 a mesma correspondência idade → fase ideal de 2022 e 2023, a parcela defasada da coorte em 2024 seria 47,4%, e não 34,8%. A redução entre 2022 e 2023 não depende dessa escolha. Como a regra efetiva de 2024 não foi documentada, a magnitude da melhora em 2024 deve ser apresentada com essa ressalva.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8"/>
          </w:tcPr>
          <w:p>
            <w:r>
              <w:rPr>
                <w:b/>
                <w:color w:val="1F4E79"/>
              </w:rPr>
              <w:t xml:space="preserve">CUIDADO. </w:t>
            </w:r>
            <w:r>
              <w:t>A pergunta fala em evolução “ao longo do ano”, mas a base traz uma fotografia por ano; a análise é entre anos. O IAN é derivado da defasagem (correlação ≈ 0,84), então os dois medem a mesma coisa em escalas diferentes.</w:t>
            </w:r>
          </w:p>
        </w:tc>
      </w:tr>
    </w:tbl>
    <w:p/>
    <w:p>
      <w:pPr>
        <w:pStyle w:val="Heading1"/>
      </w:pPr>
      <w:r>
        <w:t>Q2 — Desempenho acadêmico (IDA)</w:t>
      </w:r>
    </w:p>
    <w:p>
      <w:r>
        <w:rPr>
          <w:b/>
          <w:color w:val="1F4E79"/>
        </w:rPr>
        <w:t xml:space="preserve">Pergunta: </w:t>
      </w:r>
      <w:r>
        <w:rPr>
          <w:i/>
        </w:rPr>
        <w:t>O desempenho acadêmico médio (IDA) está melhorando, estagnado ou caindo ao longo das fases e anos?</w:t>
      </w:r>
    </w:p>
    <w:p>
      <w:r>
        <w:rPr>
          <w:b/>
          <w:color w:val="1F4E79"/>
        </w:rPr>
        <w:t xml:space="preserve">Resposta: </w:t>
      </w:r>
      <w:r>
        <w:rPr>
          <w:b/>
        </w:rPr>
        <w:t>Oscila, sem tendência de melhora: sobe em 2023 e cai em 2024. Entre as fases exibidas, a Fase 3 tem a menor média em todos os anos.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312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ida_fase_an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31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3 — IDA médio por fase e ano (fases com pelo menos 15 alunos com IDA em todos os anos: ALFA, Fase 1, Fase 2, Fase 3, Fase 4, Fase 5, Fase 6).</w:t>
      </w:r>
    </w:p>
    <w:p>
      <w:pPr>
        <w:pStyle w:val="ListBullet"/>
      </w:pPr>
      <w:r>
        <w:t>IDA médio: 6,09 → 6,66 → 6,35; IDA ≤ 5: 29,2% → 16,4% → 28,6%.</w:t>
      </w:r>
    </w:p>
    <w:p>
      <w:pPr>
        <w:pStyle w:val="ListBullet"/>
      </w:pPr>
      <w:r>
        <w:t>Mesmos alunos 2022→2023 (n = 574): variação média 0,12, mediana 0,00; o teste de Wilcoxon de postos sinalizados não indica deslocamento das variações (p = 0,367).</w:t>
      </w:r>
    </w:p>
    <w:p>
      <w:pPr>
        <w:pStyle w:val="ListBullet"/>
      </w:pPr>
      <w:r>
        <w:t>Mesmos alunos 2023→2024 (n = 682): variação média -0,48, mediana -0,30; 57,0% pioraram; Wilcoxon p &lt; 0,001.</w:t>
      </w:r>
    </w:p>
    <w:p>
      <w:pPr>
        <w:pStyle w:val="ListBullet"/>
      </w:pPr>
      <w:r>
        <w:t>Entre as fases exibidas, o maior IDA é sempre o da ALFA e o menor, o da Fase 3: 2022: 7,14 vs 5,14; 2023: 7,42 vs 5,75; 2024: 7,32 vs 5,35.</w:t>
      </w:r>
    </w:p>
    <w:p>
      <w:pPr>
        <w:pStyle w:val="ListBullet"/>
      </w:pPr>
      <w:r>
        <w:t>A Fase 7 ficou fora do gráfico por ter poucos alunos com IDA (2022: n = 21, 2023: n = 10, 2024: n = 37); em 2023 sua média foi 7,81, com n = 10.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8"/>
          </w:tcPr>
          <w:p>
            <w:r>
              <w:rPr>
                <w:b/>
                <w:color w:val="1F4E79"/>
              </w:rPr>
              <w:t xml:space="preserve">LEITURA. </w:t>
            </w:r>
            <w:r>
              <w:t>O desempenho acadêmico não acompanha a redução da defasagem. A Fase 3 (7º e 8º ano) concentra as menores médias e é um candidato natural a reforço de Matemática e Português.</w:t>
            </w:r>
          </w:p>
        </w:tc>
      </w:tr>
    </w:tbl>
    <w:p/>
    <w:p>
      <w:pPr>
        <w:pStyle w:val="Heading1"/>
      </w:pPr>
      <w:r>
        <w:t>Q3 — Engajamento (IEG)</w:t>
      </w:r>
    </w:p>
    <w:p>
      <w:r>
        <w:rPr>
          <w:b/>
          <w:color w:val="1F4E79"/>
        </w:rPr>
        <w:t xml:space="preserve">Pergunta: </w:t>
      </w:r>
      <w:r>
        <w:rPr>
          <w:i/>
        </w:rPr>
        <w:t>O grau de engajamento dos alunos (IEG) tem relação direta com seus indicadores de desempenho (IDA) e do ponto de virada (IPV)?</w:t>
      </w:r>
    </w:p>
    <w:p>
      <w:r>
        <w:rPr>
          <w:b/>
          <w:color w:val="1F4E79"/>
        </w:rPr>
        <w:t xml:space="preserve">Resposta: </w:t>
      </w:r>
      <w:r>
        <w:rPr>
          <w:b/>
        </w:rPr>
        <w:t>Há associação positiva e moderada, estável nos três anos, tanto com o IDA quanto com o IPV.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103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ieg_quart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10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4 — IDA e IPV médios por quartil de IEG (quartis por valor, entre alunos com IEG, IDA e IPV).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134"/>
            <w:shd w:val="clear" w:color="auto" w:fill="D9EAF7"/>
          </w:tcPr>
          <w:p>
            <w:r>
              <w:rPr>
                <w:b/>
                <w:sz w:val="19"/>
              </w:rPr>
              <w:t>Ano</w:t>
            </w:r>
          </w:p>
        </w:tc>
        <w:tc>
          <w:tcPr>
            <w:tcW w:type="dxa" w:w="1474"/>
            <w:shd w:val="clear" w:color="auto" w:fill="D9EAF7"/>
          </w:tcPr>
          <w:p>
            <w:r>
              <w:rPr>
                <w:b/>
                <w:sz w:val="19"/>
              </w:rPr>
              <w:t>IEG médio*</w:t>
            </w:r>
          </w:p>
        </w:tc>
        <w:tc>
          <w:tcPr>
            <w:tcW w:type="dxa" w:w="1474"/>
            <w:shd w:val="clear" w:color="auto" w:fill="D9EAF7"/>
          </w:tcPr>
          <w:p>
            <w:r>
              <w:rPr>
                <w:b/>
                <w:sz w:val="19"/>
              </w:rPr>
              <w:t>r (IEG, IDA)</w:t>
            </w:r>
          </w:p>
        </w:tc>
        <w:tc>
          <w:tcPr>
            <w:tcW w:type="dxa" w:w="1134"/>
            <w:shd w:val="clear" w:color="auto" w:fill="D9EAF7"/>
          </w:tcPr>
          <w:p>
            <w:r>
              <w:rPr>
                <w:b/>
                <w:sz w:val="19"/>
              </w:rPr>
              <w:t>n</w:t>
            </w:r>
          </w:p>
        </w:tc>
        <w:tc>
          <w:tcPr>
            <w:tcW w:type="dxa" w:w="1474"/>
            <w:shd w:val="clear" w:color="auto" w:fill="D9EAF7"/>
          </w:tcPr>
          <w:p>
            <w:r>
              <w:rPr>
                <w:b/>
                <w:sz w:val="19"/>
              </w:rPr>
              <w:t>r (IEG, IPV)</w:t>
            </w:r>
          </w:p>
        </w:tc>
        <w:tc>
          <w:tcPr>
            <w:tcW w:type="dxa" w:w="1134"/>
            <w:shd w:val="clear" w:color="auto" w:fill="D9EAF7"/>
          </w:tcPr>
          <w:p>
            <w:r>
              <w:rPr>
                <w:b/>
                <w:sz w:val="19"/>
              </w:rPr>
              <w:t>n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2022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7,89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0,564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860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0,589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860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2023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8,70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0,461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937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0,449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938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2024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8,08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0,538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1055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0,535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1054</w:t>
            </w:r>
          </w:p>
        </w:tc>
      </w:tr>
    </w:tbl>
    <w:p>
      <w:pPr>
        <w:jc w:val="center"/>
      </w:pPr>
      <w:r>
        <w:rPr>
          <w:i/>
          <w:color w:val="646464"/>
          <w:sz w:val="18"/>
        </w:rPr>
        <w:t>Tabela 2 — Correlações de Pearson (todas com p &lt; 0,001). *Sem os zeros de registros não avaliados</w:t>
      </w:r>
    </w:p>
    <w:p>
      <w:pPr>
        <w:pStyle w:val="ListBullet"/>
      </w:pPr>
      <w:r>
        <w:t>Em 2024, o IDA médio vai de 4,70 no quartil de menor IEG (até 7,14; n = 264) a 7,61 no de maior (acima de 9,50; n = 262); o IPV, de 6,52 a 8,04.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8"/>
          </w:tcPr>
          <w:p>
            <w:r>
              <w:rPr>
                <w:b/>
                <w:color w:val="1F4E79"/>
              </w:rPr>
              <w:t xml:space="preserve">CUIDADO. </w:t>
            </w:r>
            <w:r>
              <w:t>É associação, não efeito causal. O IEG é, porém, o indicador comportamental mais simples de acompanhar (entrega de tarefas).</w:t>
            </w:r>
          </w:p>
        </w:tc>
      </w:tr>
    </w:tbl>
    <w:p/>
    <w:p>
      <w:pPr>
        <w:pStyle w:val="Heading1"/>
      </w:pPr>
      <w:r>
        <w:t>Q4 — Autoavaliação (IAA)</w:t>
      </w:r>
    </w:p>
    <w:p>
      <w:r>
        <w:rPr>
          <w:b/>
          <w:color w:val="1F4E79"/>
        </w:rPr>
        <w:t xml:space="preserve">Pergunta: </w:t>
      </w:r>
      <w:r>
        <w:rPr>
          <w:i/>
        </w:rPr>
        <w:t>As percepções dos alunos sobre si mesmos (IAA) são coerentes com seu desempenho real (IDA) e engajamento (IEG)?</w:t>
      </w:r>
    </w:p>
    <w:p>
      <w:r>
        <w:rPr>
          <w:b/>
          <w:color w:val="1F4E79"/>
        </w:rPr>
        <w:t xml:space="preserve">Resposta: </w:t>
      </w:r>
      <w:r>
        <w:rPr>
          <w:b/>
        </w:rPr>
        <w:t>A associação com IDA e IEG é positiva, mas fraca. O IAA traz informação diferente da nota e do engajamento.</w:t>
      </w:r>
    </w:p>
    <w:p>
      <w:r>
        <w:rPr>
          <w:i w:val="0"/>
        </w:rPr>
        <w:t>O IAA é calculado a partir de seis perguntas sobre como o aluno se sente consigo mesmo, com os estudos, a família, os amigos, a Associação e os professores (PEDE, Tabela 40). Não é uma previsão da própria nota. Por isso, a diferença IAA − IDA compara duas escalas distintas e não permite concluir que o aluno “superestima” sua competência.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88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iaa_menos_i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88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5 — Diferença entre IAA e IDA (alunos com IAA &gt; 0; comparação exploratória, corte de 2 pontos).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907"/>
            <w:shd w:val="clear" w:color="auto" w:fill="D9EAF7"/>
          </w:tcPr>
          <w:p>
            <w:r>
              <w:rPr>
                <w:b/>
                <w:sz w:val="19"/>
              </w:rPr>
              <w:t>Ano</w:t>
            </w:r>
          </w:p>
        </w:tc>
        <w:tc>
          <w:tcPr>
            <w:tcW w:type="dxa" w:w="907"/>
            <w:shd w:val="clear" w:color="auto" w:fill="D9EAF7"/>
          </w:tcPr>
          <w:p>
            <w:r>
              <w:rPr>
                <w:b/>
                <w:sz w:val="19"/>
              </w:rPr>
              <w:t>n</w:t>
            </w:r>
          </w:p>
        </w:tc>
        <w:tc>
          <w:tcPr>
            <w:tcW w:type="dxa" w:w="1361"/>
            <w:shd w:val="clear" w:color="auto" w:fill="D9EAF7"/>
          </w:tcPr>
          <w:p>
            <w:r>
              <w:rPr>
                <w:b/>
                <w:sz w:val="19"/>
              </w:rPr>
              <w:t>r (IAA, IDA)</w:t>
            </w:r>
          </w:p>
        </w:tc>
        <w:tc>
          <w:tcPr>
            <w:tcW w:type="dxa" w:w="1361"/>
            <w:shd w:val="clear" w:color="auto" w:fill="D9EAF7"/>
          </w:tcPr>
          <w:p>
            <w:r>
              <w:rPr>
                <w:b/>
                <w:sz w:val="19"/>
              </w:rPr>
              <w:t>r (IAA, IEG)</w:t>
            </w:r>
          </w:p>
        </w:tc>
        <w:tc>
          <w:tcPr>
            <w:tcW w:type="dxa" w:w="1587"/>
            <w:shd w:val="clear" w:color="auto" w:fill="D9EAF7"/>
          </w:tcPr>
          <w:p>
            <w:r>
              <w:rPr>
                <w:b/>
                <w:sz w:val="19"/>
              </w:rPr>
              <w:t>IAA &gt; IDA + 1</w:t>
            </w:r>
          </w:p>
        </w:tc>
        <w:tc>
          <w:tcPr>
            <w:tcW w:type="dxa" w:w="1587"/>
            <w:shd w:val="clear" w:color="auto" w:fill="D9EAF7"/>
          </w:tcPr>
          <w:p>
            <w:r>
              <w:rPr>
                <w:b/>
                <w:sz w:val="19"/>
              </w:rPr>
              <w:t>IAA &gt; IDA + 2</w:t>
            </w:r>
          </w:p>
        </w:tc>
        <w:tc>
          <w:tcPr>
            <w:tcW w:type="dxa" w:w="1587"/>
            <w:shd w:val="clear" w:color="auto" w:fill="D9EAF7"/>
          </w:tcPr>
          <w:p>
            <w:r>
              <w:rPr>
                <w:b/>
                <w:sz w:val="19"/>
              </w:rPr>
              <w:t>IAA &gt; IDA + 3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  <w:t>2022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821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0,148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0,181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73,9%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55,1%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36,1%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  <w:t>2023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751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0,112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0,121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67,8%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45,9%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25,7%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  <w:t>2024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1034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0,153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0,190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72,2%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53,2%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36,0%</w:t>
            </w:r>
          </w:p>
        </w:tc>
      </w:tr>
    </w:tbl>
    <w:p>
      <w:pPr>
        <w:jc w:val="center"/>
      </w:pPr>
      <w:r>
        <w:rPr>
          <w:i/>
          <w:color w:val="646464"/>
          <w:sz w:val="18"/>
        </w:rPr>
        <w:t>Tabela 3 — Associação e diferença entre IAA e IDA, com sensibilidade ao corte (IAA &gt; 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8"/>
          </w:tcPr>
          <w:p>
            <w:r>
              <w:rPr>
                <w:b/>
                <w:color w:val="1F4E79"/>
              </w:rPr>
              <w:t xml:space="preserve">LEITURA. </w:t>
            </w:r>
            <w:r>
              <w:t>Em todos os anos o IAA fica, em mediana, cerca de 1,8 a 2,3 pontos acima do IDA, e a parcela com diferença maior que o corte varia muito conforme o corte escolhido. Para avaliar coerência acadêmica de fato, seria necessário usar só as perguntas sobre estudos.</w:t>
            </w:r>
          </w:p>
        </w:tc>
      </w:tr>
    </w:tbl>
    <w:p/>
    <w:p>
      <w:pPr>
        <w:pStyle w:val="Heading1"/>
      </w:pPr>
      <w:r>
        <w:t>Q5 — Aspectos psicossociais (IPS)</w:t>
      </w:r>
    </w:p>
    <w:p>
      <w:r>
        <w:rPr>
          <w:b/>
          <w:color w:val="1F4E79"/>
        </w:rPr>
        <w:t xml:space="preserve">Pergunta: </w:t>
      </w:r>
      <w:r>
        <w:rPr>
          <w:i/>
        </w:rPr>
        <w:t>Há padrões psicossociais (IPS) que antecedem quedas de desempenho acadêmico ou de engajamento?</w:t>
      </w:r>
    </w:p>
    <w:p>
      <w:r>
        <w:rPr>
          <w:b/>
          <w:color w:val="1F4E79"/>
        </w:rPr>
        <w:t xml:space="preserve">Resposta: </w:t>
      </w:r>
      <w:r>
        <w:rPr>
          <w:b/>
        </w:rPr>
        <w:t>Não foi detectada associação entre o IPS de um ano e quedas de IDA ou IEG no ano seguinte, no recorte e método usados.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179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_ips_antecedenc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17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6 — Percentual de alunos com queda ≥ 1 ponto no ano seguinte, por grupo de IPS no ano anterior.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247"/>
            <w:shd w:val="clear" w:color="auto" w:fill="D9EAF7"/>
          </w:tcPr>
          <w:p>
            <w:r>
              <w:rPr>
                <w:b/>
                <w:sz w:val="19"/>
              </w:rPr>
              <w:t>Transição</w:t>
            </w:r>
          </w:p>
        </w:tc>
        <w:tc>
          <w:tcPr>
            <w:tcW w:type="dxa" w:w="794"/>
            <w:shd w:val="clear" w:color="auto" w:fill="D9EAF7"/>
          </w:tcPr>
          <w:p>
            <w:r>
              <w:rPr>
                <w:b/>
                <w:sz w:val="19"/>
              </w:rPr>
              <w:t>n</w:t>
            </w:r>
          </w:p>
        </w:tc>
        <w:tc>
          <w:tcPr>
            <w:tcW w:type="dxa" w:w="1361"/>
            <w:shd w:val="clear" w:color="auto" w:fill="D9EAF7"/>
          </w:tcPr>
          <w:p>
            <w:r>
              <w:rPr>
                <w:b/>
                <w:sz w:val="19"/>
              </w:rPr>
              <w:t>Corte IPS baixo</w:t>
            </w:r>
          </w:p>
        </w:tc>
        <w:tc>
          <w:tcPr>
            <w:tcW w:type="dxa" w:w="2041"/>
            <w:shd w:val="clear" w:color="auto" w:fill="D9EAF7"/>
          </w:tcPr>
          <w:p>
            <w:r>
              <w:rPr>
                <w:b/>
                <w:sz w:val="19"/>
              </w:rPr>
              <w:t>Queda IDA: IPS baixo | demais</w:t>
            </w:r>
          </w:p>
        </w:tc>
        <w:tc>
          <w:tcPr>
            <w:tcW w:type="dxa" w:w="1928"/>
            <w:shd w:val="clear" w:color="auto" w:fill="D9EAF7"/>
          </w:tcPr>
          <w:p>
            <w:r>
              <w:rPr>
                <w:b/>
                <w:sz w:val="19"/>
              </w:rPr>
              <w:t>RC queda IDA (IC 95%)</w:t>
            </w:r>
          </w:p>
        </w:tc>
        <w:tc>
          <w:tcPr>
            <w:tcW w:type="dxa" w:w="1928"/>
            <w:shd w:val="clear" w:color="auto" w:fill="D9EAF7"/>
          </w:tcPr>
          <w:p>
            <w:r>
              <w:rPr>
                <w:b/>
                <w:sz w:val="19"/>
              </w:rPr>
              <w:t>RC queda IEG (IC 95%)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2022→2023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574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≤ 6,90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23,9% | 24,7%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0,94 (0,78–1,14)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0,83 (0,65–1,07)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2023→2024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679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≤ 3,77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36,3% | 36,2%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0,96 (0,82–1,12)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0,97 (0,82–1,13)</w:t>
            </w:r>
          </w:p>
        </w:tc>
      </w:tr>
    </w:tbl>
    <w:p>
      <w:pPr>
        <w:jc w:val="center"/>
      </w:pPr>
      <w:r>
        <w:rPr>
          <w:i/>
          <w:color w:val="646464"/>
          <w:sz w:val="18"/>
        </w:rPr>
        <w:t>Tabela 4 — IPS e quedas no ano seguinte. RC = razão de chances por 1 desvio-padrão de IPS no ano (1 = sem associação)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8"/>
          </w:tcPr>
          <w:p>
            <w:r>
              <w:rPr>
                <w:b/>
                <w:color w:val="1F4E79"/>
              </w:rPr>
              <w:t xml:space="preserve">CUIDADO. </w:t>
            </w:r>
            <w:r>
              <w:t>Não detectar associação não prova que o aspecto emocional seja irrelevante. O IPS tem poucos valores distintos e distribuição muito diferente em 2023, o que limita a análise. Os intervalos de confiança incluem 1 nos dois períodos.</w:t>
            </w:r>
          </w:p>
        </w:tc>
      </w:tr>
    </w:tbl>
    <w:p/>
    <w:p>
      <w:pPr>
        <w:pStyle w:val="Heading1"/>
      </w:pPr>
      <w:r>
        <w:t>Q6 — Aspectos psicopedagógicos (IPP)</w:t>
      </w:r>
    </w:p>
    <w:p>
      <w:r>
        <w:rPr>
          <w:b/>
          <w:color w:val="1F4E79"/>
        </w:rPr>
        <w:t xml:space="preserve">Pergunta: </w:t>
      </w:r>
      <w:r>
        <w:rPr>
          <w:i/>
        </w:rPr>
        <w:t>As avaliações psicopedagógicas (IPP) confirmam ou contradizem a defasagem identificada pelo IAN?</w:t>
      </w:r>
    </w:p>
    <w:p>
      <w:r>
        <w:rPr>
          <w:b/>
          <w:color w:val="1F4E79"/>
        </w:rPr>
        <w:t xml:space="preserve">Resposta: </w:t>
      </w:r>
      <w:r>
        <w:rPr>
          <w:b/>
        </w:rPr>
        <w:t>Apontam na mesma direção, com diferença pequena: o IPP é ligeiramente menor entre alunos defasados.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749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_ipp_por_i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7 — IPP médio por classificação de defasagem (IPP não existe em 2022).</w:t>
      </w:r>
    </w:p>
    <w:p>
      <w:pPr>
        <w:pStyle w:val="ListBullet"/>
      </w:pPr>
      <w:r>
        <w:t>2023: IPP 7,67 em fase (n = 388) vs 7,49 defasados (n = 550), Mann-Whitney p = 0,002.</w:t>
      </w:r>
    </w:p>
    <w:p>
      <w:pPr>
        <w:pStyle w:val="ListBullet"/>
      </w:pPr>
      <w:r>
        <w:t>2024: 7,69 (n = 520) vs 7,41 (n = 534), p &lt; 0,001.</w:t>
      </w:r>
    </w:p>
    <w:p>
      <w:pPr>
        <w:pStyle w:val="ListBullet"/>
      </w:pPr>
      <w:r>
        <w:t>Correlação IPP × IAN: 0,095 (2023) e 0,154 (2024).</w:t>
      </w:r>
    </w:p>
    <w:p>
      <w:pPr>
        <w:pStyle w:val="ListBullet"/>
      </w:pPr>
      <w:r>
        <w:t>Em 2024, 64,9% dos alunos com IPP &lt; 6 (n = 57) estão defasados, contra 49,8% dos demais (n = 997).</w:t>
      </w:r>
    </w:p>
    <w:p>
      <w:pPr>
        <w:pStyle w:val="ListBullet"/>
      </w:pPr>
      <w:r>
        <w:t>A classe Severa tem poucos alunos (2024: n = 3); o teste de Kruskal-Wallis de 2024 inclui apenas Em fase, Moderada (classes com n ≥ 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8"/>
          </w:tcPr>
          <w:p>
            <w:r>
              <w:rPr>
                <w:b/>
                <w:color w:val="1F4E79"/>
              </w:rPr>
              <w:t xml:space="preserve">LEITURA. </w:t>
            </w:r>
            <w:r>
              <w:t>O IAN é administrativo (fase × idade) e o IPP é o olhar pedagógico. Eles não se contradizem, mas a diferença é pequena demais para o IPP identificar a defasagem sozinho.</w:t>
            </w:r>
          </w:p>
        </w:tc>
      </w:tr>
    </w:tbl>
    <w:p/>
    <w:p>
      <w:pPr>
        <w:pStyle w:val="Heading1"/>
      </w:pPr>
      <w:r>
        <w:t>Q7 — Ponto de virada (IPV)</w:t>
      </w:r>
    </w:p>
    <w:p>
      <w:r>
        <w:rPr>
          <w:b/>
          <w:color w:val="1F4E79"/>
        </w:rPr>
        <w:t xml:space="preserve">Pergunta: </w:t>
      </w:r>
      <w:r>
        <w:rPr>
          <w:i/>
        </w:rPr>
        <w:t>Quais comportamentos — acadêmicos, emocionais ou de engajamento — mais influenciam o IPV ao longo do tempo?</w:t>
      </w:r>
    </w:p>
    <w:p>
      <w:r>
        <w:rPr>
          <w:b/>
          <w:color w:val="1F4E79"/>
        </w:rPr>
        <w:t xml:space="preserve">Resposta: </w:t>
      </w:r>
      <w:r>
        <w:rPr>
          <w:b/>
        </w:rPr>
        <w:t>Os indicadores mais associados ao IPV são os acadêmicos e de engajamento (IDA e IEG) e, a partir de 2023, o IPP. IPS e IAA têm associação pequena.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332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7_ipv_associaco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3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8 — Coeficientes padronizados de regressão linear do IPV sobre os demais indicadores, por ano.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D9EAF7"/>
          </w:tcPr>
          <w:p>
            <w:r>
              <w:rPr>
                <w:b/>
                <w:sz w:val="19"/>
              </w:rPr>
              <w:t>Indicador</w:t>
            </w:r>
          </w:p>
        </w:tc>
        <w:tc>
          <w:tcPr>
            <w:tcW w:type="dxa" w:w="1701"/>
            <w:shd w:val="clear" w:color="auto" w:fill="D9EAF7"/>
          </w:tcPr>
          <w:p>
            <w:r>
              <w:rPr>
                <w:b/>
                <w:sz w:val="19"/>
              </w:rPr>
              <w:t>2022</w:t>
            </w:r>
          </w:p>
        </w:tc>
        <w:tc>
          <w:tcPr>
            <w:tcW w:type="dxa" w:w="1701"/>
            <w:shd w:val="clear" w:color="auto" w:fill="D9EAF7"/>
          </w:tcPr>
          <w:p>
            <w:r>
              <w:rPr>
                <w:b/>
                <w:sz w:val="19"/>
              </w:rPr>
              <w:t>2023</w:t>
            </w:r>
          </w:p>
        </w:tc>
        <w:tc>
          <w:tcPr>
            <w:tcW w:type="dxa" w:w="1701"/>
            <w:shd w:val="clear" w:color="auto" w:fill="D9EAF7"/>
          </w:tcPr>
          <w:p>
            <w:r>
              <w:rPr>
                <w:b/>
                <w:sz w:val="19"/>
              </w:rPr>
              <w:t>2024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IDA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0,41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0,29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0,16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IEG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0,32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0,19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0,20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IPP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0,38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0,60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IAA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0,11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0,10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0,02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IPS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0,10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0,05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-0,04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IAN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-0,02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0,04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0,07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R²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0,48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0,47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0,65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n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821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745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1034</w:t>
            </w:r>
          </w:p>
        </w:tc>
      </w:tr>
    </w:tbl>
    <w:p>
      <w:pPr>
        <w:jc w:val="center"/>
      </w:pPr>
      <w:r>
        <w:rPr>
          <w:i/>
          <w:color w:val="646464"/>
          <w:sz w:val="18"/>
        </w:rPr>
        <w:t>Tabela 5 — Coeficientes padronizados (associação; IAA sem zeros; IPP não medido em 2022)</w:t>
      </w:r>
    </w:p>
    <w:p>
      <w:pPr>
        <w:pStyle w:val="ListBullet"/>
      </w:pPr>
      <w:r>
        <w:t>Ao longo do tempo, o IPV de 2024 se correlaciona mais com IPV (0,47), IDA (0,42), IPP (0,41) e IEG (0,36) de 2023 do que com IPS (0,08) ou IAA (0,03).</w:t>
      </w:r>
    </w:p>
    <w:p>
      <w:pPr>
        <w:pStyle w:val="ListBullet"/>
      </w:pPr>
      <w:r>
        <w:t>Os modelos diferem entre anos (sem IPP em 2022), então os coeficientes não são diretamente comparáveis de um ano para o outro.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8"/>
          </w:tcPr>
          <w:p>
            <w:r>
              <w:rPr>
                <w:b/>
                <w:color w:val="1F4E79"/>
              </w:rPr>
              <w:t xml:space="preserve">CUIDADO. </w:t>
            </w:r>
            <w:r>
              <w:t>Os coeficientes descrevem associação, não influência causal. IPV e IPP vêm da avaliação da mesma equipe de educadores, o que ajuda a explicar a relação forte entre eles.</w:t>
            </w:r>
          </w:p>
        </w:tc>
      </w:tr>
    </w:tbl>
    <w:p/>
    <w:p>
      <w:pPr>
        <w:pStyle w:val="Heading1"/>
      </w:pPr>
      <w:r>
        <w:t>Q8 — Multidimensionalidade (INDE)</w:t>
      </w:r>
    </w:p>
    <w:p>
      <w:r>
        <w:rPr>
          <w:b/>
          <w:color w:val="1F4E79"/>
        </w:rPr>
        <w:t xml:space="preserve">Pergunta: </w:t>
      </w:r>
      <w:r>
        <w:rPr>
          <w:i/>
        </w:rPr>
        <w:t>Quais combinações de indicadores (IDA + IEG + IPS + IPP) elevam mais a nota global do aluno (INDE)?</w:t>
      </w:r>
    </w:p>
    <w:p>
      <w:r>
        <w:rPr>
          <w:b/>
          <w:color w:val="1F4E79"/>
        </w:rPr>
        <w:t xml:space="preserve">Resposta: </w:t>
      </w:r>
      <w:r>
        <w:rPr>
          <w:b/>
        </w:rPr>
        <w:t>Como o INDE é uma soma ponderada, cada combinação soma os pesos. Entre as quatro dimensões, IDA e IEG pesam 20% cada; IPS e IPP, 10%. O par IDA + IEG na mediana ou acima tem o maior INDE médio.</w:t>
      </w:r>
    </w:p>
    <w:p>
      <w:r>
        <w:rPr>
          <w:i w:val="0"/>
        </w:rPr>
        <w:t>A fórmula oficial (INDE = 0,1·IAN + 0,2·IDA + 0,2·IEG + 0,1·IAA + 0,1·IPS + 0,1·IPP + 0,2·IPV) reproduz o INDE de 2024 com R² = 1,000 (n = 1054).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352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8_potencial_aritmetico_in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35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9 — Potencial aritmético: ganho de INDE se cada indicador chegasse a 10 (média de 2024, fases 0–7).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805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8_inde_por_numero_de_dimenso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80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10 — INDE médio pelo número de dimensões (IDA, IEG, IPS, IPP) na mediana do ano ou acima.</w:t>
      </w:r>
    </w:p>
    <w:p>
      <w:pPr>
        <w:pStyle w:val="ListBullet"/>
      </w:pPr>
      <w:r>
        <w:t>Cada ponto a mais em IDA, IEG ou IPV soma 0,2 ao INDE; em IPS ou IPP, 0,1.</w:t>
      </w:r>
    </w:p>
    <w:p>
      <w:pPr>
        <w:pStyle w:val="ListBullet"/>
      </w:pPr>
      <w:r>
        <w:t>Alunos com as quatro dimensões na mediana ou acima têm INDE médio 8,40 (n = 193); com nenhuma, 5,95 (n = 101) (2024).</w:t>
      </w:r>
    </w:p>
    <w:p>
      <w:pPr>
        <w:pStyle w:val="ListBullet"/>
      </w:pPr>
      <w:r>
        <w:t>Pares (2024): IDA + IEG = 8,29 (n = 369); IPS + IPP = 7,83 (n = 442).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8"/>
          </w:tcPr>
          <w:p>
            <w:r>
              <w:rPr>
                <w:b/>
                <w:color w:val="1F4E79"/>
              </w:rPr>
              <w:t xml:space="preserve">LEITURA. </w:t>
            </w:r>
            <w:r>
              <w:t>O IDA tem o maior espaço aritmético de ganho porque combina peso alto e média baixa. Isso indica onde há mais margem no índice, não qual intervenção traria mais retorno: essa comparação exigiria custos, viabilidade e efeito estimado das ações.</w:t>
            </w:r>
          </w:p>
        </w:tc>
      </w:tr>
    </w:tbl>
    <w:p/>
    <w:p>
      <w:r>
        <w:br w:type="page"/>
      </w:r>
    </w:p>
    <w:p>
      <w:pPr>
        <w:pStyle w:val="Heading1"/>
      </w:pPr>
      <w:r>
        <w:t>Q9 — Previsão de risco com Machine Learning</w:t>
      </w:r>
    </w:p>
    <w:p>
      <w:r>
        <w:rPr>
          <w:b/>
          <w:color w:val="1F4E79"/>
        </w:rPr>
        <w:t xml:space="preserve">Pergunta: </w:t>
      </w:r>
      <w:r>
        <w:rPr>
          <w:i/>
        </w:rPr>
        <w:t>Quais padrões nos indicadores permitem identificar alunos em risco antes de queda no desempenho ou aumento da defasagem? Construa um modelo preditivo que mostre a probabilidade de o aluno entrar em risco de defasagem.</w:t>
      </w:r>
    </w:p>
    <w:p>
      <w:r>
        <w:rPr>
          <w:b/>
          <w:color w:val="1F4E79"/>
        </w:rPr>
        <w:t xml:space="preserve">Resposta: </w:t>
      </w:r>
      <w:r>
        <w:rPr>
          <w:b/>
        </w:rPr>
        <w:t>O modelo estima o risco de redução de D (fase efetiva − fase ideal) no ano seguinte, com ROC-AUC 0,866 (IC 95% 0,831–0,899) no teste temporal. Os sinais mais associados são idade, defasagem atual e IPV.</w:t>
      </w:r>
    </w:p>
    <w:p>
      <w:pPr>
        <w:pStyle w:val="Heading2"/>
      </w:pPr>
      <w:r>
        <w:t>Evento previsto e população</w:t>
      </w:r>
    </w:p>
    <w:p>
      <w:r>
        <w:rPr>
          <w:i w:val="0"/>
        </w:rPr>
        <w:t>Evento: D diminui de um ano para o outro, ou seja, a adequação de nível piora (aumento da defasagem na definição da PEDE). População: alunos das fases 0 a 7 presentes em dois anos consecutivos; a probabilidade é condicional a o aluno aparecer no ano seguinte. Prevalência: 17,3% (2022→23) e 18,4% (2023→24).</w:t>
      </w:r>
    </w:p>
    <w:p>
      <w:pPr>
        <w:pStyle w:val="ListBullet"/>
      </w:pPr>
      <w:r>
        <w:rPr>
          <w:b/>
        </w:rPr>
        <w:t xml:space="preserve">O evento reúne três situações: </w:t>
      </w:r>
      <w:r>
        <w:t>entrada em defasagem (144 casos), agravamento de quem já estava defasado (68) e perda de vantagem de quem continua em fase (22).</w:t>
      </w:r>
    </w:p>
    <w:p>
      <w:pPr>
        <w:pStyle w:val="ListBullet"/>
      </w:pPr>
      <w:r>
        <w:rPr>
          <w:b/>
        </w:rPr>
        <w:t xml:space="preserve">Relação com a promoção: </w:t>
      </w:r>
      <w:r>
        <w:t>quase todo evento ocorre entre não promovidos (2 entre 917 promovidos), mas 157 dos 389 não promovidos (40,4%) não tiveram o evento. O evento não equivale à retenção.</w:t>
      </w:r>
    </w:p>
    <w:p>
      <w:pPr>
        <w:pStyle w:val="Heading2"/>
      </w:pPr>
      <w:r>
        <w:t>Método</w:t>
      </w:r>
    </w:p>
    <w:p>
      <w:pPr>
        <w:pStyle w:val="ListBullet"/>
      </w:pPr>
      <w:r>
        <w:rPr>
          <w:b/>
        </w:rPr>
        <w:t xml:space="preserve">Separação temporal: </w:t>
      </w:r>
      <w:r>
        <w:t>treino com atributos de 2022 e evento em 2023 (600 alunos); teste com 2023 → 2024 (706).</w:t>
      </w:r>
    </w:p>
    <w:p>
      <w:pPr>
        <w:pStyle w:val="ListBullet"/>
      </w:pPr>
      <w:r>
        <w:rPr>
          <w:b/>
        </w:rPr>
        <w:t xml:space="preserve">Atributos (fechamento do ano t): </w:t>
      </w:r>
      <w:r>
        <w:t>fase, idade, idade relativa à fase, defasagem, anos no programa, gênero, tipo de escola, IDA, IEG, IAA, IPV, Matemática, Português e INDE. IPP (ausente em 2022) e IPS (distribuição de 2023 atípica) ficaram de fora.</w:t>
      </w:r>
    </w:p>
    <w:p>
      <w:pPr>
        <w:pStyle w:val="ListBullet"/>
      </w:pPr>
      <w:r>
        <w:rPr>
          <w:b/>
        </w:rPr>
        <w:t xml:space="preserve">Seleção e calibração: </w:t>
      </w:r>
      <w:r>
        <w:t>cinco candidatos comparados por validação cruzada só no treino; escolhido: Random Forest (folha ≥ 20) + calibração sigmoide. A calibração sigmoide foi definida antes de consultar o teste, porque o enunciado pede uma probabilidade.</w:t>
      </w:r>
    </w:p>
    <w:p>
      <w:pPr>
        <w:pStyle w:val="ListBullet"/>
      </w:pPr>
      <w:r>
        <w:rPr>
          <w:b/>
        </w:rPr>
        <w:t xml:space="preserve">Limiares: </w:t>
      </w:r>
      <w:r>
        <w:t>definidos no treino. Alto ≥ 0,203 (máximo F1); médio ≥ 0,106 (captura 85% dos eventos).</w:t>
      </w:r>
    </w:p>
    <w:p>
      <w:pPr>
        <w:pStyle w:val="ListBullet"/>
      </w:pPr>
      <w:r>
        <w:rPr>
          <w:b/>
        </w:rPr>
        <w:t xml:space="preserve">Transparência: </w:t>
      </w:r>
      <w:r>
        <w:t>a formulação do evento foi escolhida após explorar alvos alternativos no período 2023→24. O teste é independente para modelo, calibração e limiares, mas não totalmente para a formulação; por isso também se reporta a direção inversa.</w:t>
      </w:r>
    </w:p>
    <w:p>
      <w:pPr>
        <w:pStyle w:val="Heading2"/>
      </w:pPr>
      <w:r>
        <w:t>Resultados no teste (2023 → 2024)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535"/>
            <w:shd w:val="clear" w:color="auto" w:fill="D9EAF7"/>
          </w:tcPr>
          <w:p>
            <w:r>
              <w:rPr>
                <w:b/>
                <w:sz w:val="19"/>
              </w:rPr>
              <w:t>Modelo</w:t>
            </w:r>
          </w:p>
        </w:tc>
        <w:tc>
          <w:tcPr>
            <w:tcW w:type="dxa" w:w="1474"/>
            <w:shd w:val="clear" w:color="auto" w:fill="D9EAF7"/>
          </w:tcPr>
          <w:p>
            <w:r>
              <w:rPr>
                <w:b/>
                <w:sz w:val="19"/>
              </w:rPr>
              <w:t>ROC-AUC</w:t>
            </w:r>
          </w:p>
        </w:tc>
        <w:tc>
          <w:tcPr>
            <w:tcW w:type="dxa" w:w="1474"/>
            <w:shd w:val="clear" w:color="auto" w:fill="D9EAF7"/>
          </w:tcPr>
          <w:p>
            <w:r>
              <w:rPr>
                <w:b/>
                <w:sz w:val="19"/>
              </w:rPr>
              <w:t>AP</w:t>
            </w:r>
          </w:p>
        </w:tc>
        <w:tc>
          <w:tcPr>
            <w:tcW w:type="dxa" w:w="1474"/>
            <w:shd w:val="clear" w:color="auto" w:fill="D9EAF7"/>
          </w:tcPr>
          <w:p>
            <w:r>
              <w:rPr>
                <w:b/>
                <w:sz w:val="19"/>
              </w:rPr>
              <w:t>Brier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Regressão Logística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0,825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0,537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0,115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Random Forest (folha ≥ 5)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0,870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0,602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0,109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Random Forest (folha ≥ 10)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0,862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0,632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0,110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Random Forest (folha ≥ 20)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0,866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0,662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0,113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Gradient Boosting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0,815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0,538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0,119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Random Forest (folha ≥ 20) + calibração (escolhido)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0,866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0,662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0,103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Baseline: só defasagem atual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0,726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0,329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Referência: prevalência do treino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0,500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0,184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0,150</w:t>
            </w:r>
          </w:p>
        </w:tc>
      </w:tr>
    </w:tbl>
    <w:p>
      <w:pPr>
        <w:jc w:val="center"/>
      </w:pPr>
      <w:r>
        <w:rPr>
          <w:i/>
          <w:color w:val="646464"/>
          <w:sz w:val="18"/>
        </w:rPr>
        <w:t>Tabela 6 — Desempenho no teste (n = 706). AP = average precision; referência sem informação = prevalência</w:t>
      </w:r>
    </w:p>
    <w:p>
      <w:r>
        <w:rPr>
          <w:i w:val="0"/>
        </w:rPr>
        <w:t>Intervalos de confiança (bootstrap, 2.000 reamostragens): ROC-AUC 0,831–0,899; AP 0,580–0,740. Na direção inversa (treino 2023→24, teste 2022→23), ROC-AUC 0,843. Os intervalos são condicionais ao ano de teste e não medem estabilidade em anos futuros.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024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9_roc_calibrac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0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11 — Curva ROC e calibração no teste (antes e depois da calibração ajustada no treino).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D9EAF7"/>
          </w:tcPr>
          <w:p>
            <w:r>
              <w:rPr>
                <w:b/>
                <w:sz w:val="19"/>
              </w:rPr>
              <w:t>Faixa</w:t>
            </w:r>
          </w:p>
        </w:tc>
        <w:tc>
          <w:tcPr>
            <w:tcW w:type="dxa" w:w="2268"/>
            <w:shd w:val="clear" w:color="auto" w:fill="D9EAF7"/>
          </w:tcPr>
          <w:p>
            <w:r>
              <w:rPr>
                <w:b/>
                <w:sz w:val="19"/>
              </w:rPr>
              <w:t>Alunos sinalizados</w:t>
            </w:r>
          </w:p>
        </w:tc>
        <w:tc>
          <w:tcPr>
            <w:tcW w:type="dxa" w:w="1701"/>
            <w:shd w:val="clear" w:color="auto" w:fill="D9EAF7"/>
          </w:tcPr>
          <w:p>
            <w:r>
              <w:rPr>
                <w:b/>
                <w:sz w:val="19"/>
              </w:rPr>
              <w:t>Precisão</w:t>
            </w:r>
          </w:p>
        </w:tc>
        <w:tc>
          <w:tcPr>
            <w:tcW w:type="dxa" w:w="1701"/>
            <w:shd w:val="clear" w:color="auto" w:fill="D9EAF7"/>
          </w:tcPr>
          <w:p>
            <w:r>
              <w:rPr>
                <w:b/>
                <w:sz w:val="19"/>
              </w:rPr>
              <w:t>Recall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179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50,8%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70,0%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Médio ou alto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310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36,5%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86,9%</w:t>
            </w:r>
          </w:p>
        </w:tc>
      </w:tr>
    </w:tbl>
    <w:p>
      <w:pPr>
        <w:jc w:val="center"/>
      </w:pPr>
      <w:r>
        <w:rPr>
          <w:i/>
          <w:color w:val="646464"/>
          <w:sz w:val="18"/>
        </w:rPr>
        <w:t>Tabela 7 — Uso operacional no teste (706 alunos)</w:t>
      </w:r>
    </w:p>
    <w:p>
      <w:pPr>
        <w:pStyle w:val="ListBullet"/>
      </w:pPr>
      <w:r>
        <w:t>Acompanhando os 10% (71 alunos) com maior risco, a equipe encontra 55 eventos (42,3% do total), 4,2 vezes a taxa de uma escolha aleatória; com os 20% (141 alunos), 62,3%.</w:t>
      </w:r>
    </w:p>
    <w:p>
      <w:pPr>
        <w:pStyle w:val="ListBullet"/>
      </w:pPr>
      <w:r>
        <w:t>Composição da faixa Alto no teste (n = 179): 81 entradas em defasagem, 9 agravamentos, 1 perdas de vantagem e 88 sem evento.</w:t>
      </w:r>
    </w:p>
    <w:p>
      <w:pPr>
        <w:pStyle w:val="ListBullet"/>
      </w:pPr>
      <w:r>
        <w:t>Calibração por fase: a maior diferença entre previsto e observado ocorre em Fase 7 (9% previsto vs 35% observado, n = 20) e Fase 5 (11% previsto vs 35% observado, n = 43), onde a promoção caiu entre os anos.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886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9_importanci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12 — Importância por permutação no teste (queda de ROC-AUC ao embaralhar cada atributo).</w:t>
      </w:r>
    </w:p>
    <w:p>
      <w:pPr>
        <w:pStyle w:val="Heading2"/>
      </w:pPr>
      <w:r>
        <w:t>Sensibilidades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236"/>
            <w:shd w:val="clear" w:color="auto" w:fill="D9EAF7"/>
          </w:tcPr>
          <w:p>
            <w:r>
              <w:rPr>
                <w:b/>
                <w:sz w:val="19"/>
              </w:rPr>
              <w:t>Análise</w:t>
            </w:r>
          </w:p>
        </w:tc>
        <w:tc>
          <w:tcPr>
            <w:tcW w:type="dxa" w:w="2268"/>
            <w:shd w:val="clear" w:color="auto" w:fill="D9EAF7"/>
          </w:tcPr>
          <w:p>
            <w:r>
              <w:rPr>
                <w:b/>
                <w:sz w:val="19"/>
              </w:rPr>
              <w:t>ROC-AUC (teste)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Especificação adotada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0,866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IAA com zeros da fonte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0,865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Sem IAA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0,864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Sem INDE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0,861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Com IPS (padronizado no ano)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0,865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Alvo anterior (queda IDA ≥ 0,5 ou redução de D)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0,592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Rótulos de 2024 pela regra idade → fase de 2022/23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0,783 (IC 0,746–0,820)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Só alunos novos (n = 255)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0,890</w:t>
            </w:r>
          </w:p>
        </w:tc>
      </w:tr>
      <w:tr>
        <w:tc>
          <w:tcPr>
            <w:tcW w:type="dxa" w:w="6236"/>
          </w:tcPr>
          <w:p>
            <w:r>
              <w:rPr>
                <w:sz w:val="19"/>
              </w:rPr>
              <w:t>Só alunos já vistos no treino (n = 451)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0,770</w:t>
            </w:r>
          </w:p>
        </w:tc>
      </w:tr>
    </w:tbl>
    <w:p>
      <w:pPr>
        <w:jc w:val="center"/>
      </w:pPr>
      <w:r>
        <w:rPr>
          <w:i/>
          <w:color w:val="646464"/>
          <w:sz w:val="18"/>
        </w:rPr>
        <w:t>Tabela 8 — Sensibilidade do modelo a decisões de dados e de formulação (nenhuma usada para escolher o modelo)</w:t>
      </w:r>
    </w:p>
    <w:p>
      <w:pPr>
        <w:pStyle w:val="ListBullet"/>
      </w:pPr>
      <w:r>
        <w:t>As decisões sobre IAA, INDE e IPS mudam pouco a ordenação (ROC-AUC entre 0,861 e 0,866).</w:t>
      </w:r>
    </w:p>
    <w:p>
      <w:pPr>
        <w:pStyle w:val="ListBullet"/>
      </w:pPr>
      <w:r>
        <w:t>Com a regra de fase ideal de 2022/23, 69 rótulos do teste mudam (130 → 159 eventos) e a ROC-AUC cai para 0,783. É um cenário alternativo, não uma correção.</w:t>
      </w:r>
    </w:p>
    <w:p>
      <w:pPr>
        <w:pStyle w:val="ListBullet"/>
      </w:pPr>
      <w:r>
        <w:t>O alvo da versão anterior, com os mesmos atributos e protocolo, atinge ROC-AUC 0,592.</w:t>
      </w:r>
    </w:p>
    <w:p>
      <w:pPr>
        <w:pStyle w:val="Heading2"/>
      </w:pPr>
      <w:r>
        <w:t>Modelo final</w:t>
      </w:r>
    </w:p>
    <w:p>
      <w:r>
        <w:rPr>
          <w:i w:val="0"/>
        </w:rPr>
        <w:t>O modelo usado na aplicação é reajustado com as duas transições (1306 pares), com calibração e limiares obtidos por validação cruzada agrupada por aluno (ROC-AUC 0,869). Ele não tem teste futuro. Aplicado aos 1054 alunos de 2024 das fases 0–7, classifica 367 como Alto, 141 como Médio e 546 como Baixo. A proporção em Alto é maior que no teste, em parte porque a regra de 2024 deixa mais alunos em fase, o que os coloca em risco de perder essa condição.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8"/>
          </w:tcPr>
          <w:p>
            <w:r>
              <w:rPr>
                <w:b/>
                <w:color w:val="1F4E79"/>
              </w:rPr>
              <w:t xml:space="preserve">USO RECOMENDADO. </w:t>
            </w:r>
            <w:r>
              <w:t>Usar o ranking e as faixas para priorizar acompanhamento, com os indicadores do fechamento do ano anterior. Não ler a probabilidade como diagnóstico individual, principalmente nas Fases 5 e 7. O modelo não estima risco de saída da base nem prova causas: a importância dos atributos é associação preditiva.</w:t>
            </w:r>
          </w:p>
        </w:tc>
      </w:tr>
    </w:tbl>
    <w:p/>
    <w:p>
      <w:r>
        <w:br w:type="page"/>
      </w:r>
    </w:p>
    <w:p>
      <w:pPr>
        <w:pStyle w:val="Heading1"/>
      </w:pPr>
      <w:r>
        <w:t>Q10 — Efetividade do programa (Pedras)</w:t>
      </w:r>
    </w:p>
    <w:p>
      <w:r>
        <w:rPr>
          <w:b/>
          <w:color w:val="1F4E79"/>
        </w:rPr>
        <w:t xml:space="preserve">Pergunta: </w:t>
      </w:r>
      <w:r>
        <w:rPr>
          <w:i/>
        </w:rPr>
        <w:t>Os indicadores mostram melhora consistente ao longo do ciclo nas diferentes fases (Quartzo, Ágata, Ametista e Topázio), confirmando o impacto real do programa?</w:t>
      </w:r>
    </w:p>
    <w:p>
      <w:r>
        <w:rPr>
          <w:b/>
          <w:color w:val="1F4E79"/>
        </w:rPr>
        <w:t xml:space="preserve">Resposta: </w:t>
      </w:r>
      <w:r>
        <w:rPr>
          <w:b/>
        </w:rPr>
        <w:t>Não de forma consistente. A distribuição das Pedras oficiais melhora, mas, acompanhando os mesmos alunos, o INDE fica estável, exceto no grupo que começou como Quartzo. Sem grupo de comparação, os dados não permitem medir impacto causal.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281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distribuicao_pedr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28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13 — Distribuição das Pedras oficiais por ano (alunos com Pedra atribuída).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EAF7"/>
          </w:tcPr>
          <w:p>
            <w:r>
              <w:rPr>
                <w:b/>
                <w:sz w:val="19"/>
              </w:rPr>
              <w:t>Ano</w:t>
            </w:r>
          </w:p>
        </w:tc>
        <w:tc>
          <w:tcPr>
            <w:tcW w:type="dxa" w:w="1701"/>
            <w:shd w:val="clear" w:color="auto" w:fill="D9EAF7"/>
          </w:tcPr>
          <w:p>
            <w:r>
              <w:rPr>
                <w:b/>
                <w:sz w:val="19"/>
              </w:rPr>
              <w:t>Ágata (máx.)</w:t>
            </w:r>
          </w:p>
        </w:tc>
        <w:tc>
          <w:tcPr>
            <w:tcW w:type="dxa" w:w="2268"/>
            <w:shd w:val="clear" w:color="auto" w:fill="D9EAF7"/>
          </w:tcPr>
          <w:p>
            <w:r>
              <w:rPr>
                <w:b/>
                <w:sz w:val="19"/>
              </w:rPr>
              <w:t>Ametista (mín.–máx.)</w:t>
            </w:r>
          </w:p>
        </w:tc>
        <w:tc>
          <w:tcPr>
            <w:tcW w:type="dxa" w:w="1701"/>
            <w:shd w:val="clear" w:color="auto" w:fill="D9EAF7"/>
          </w:tcPr>
          <w:p>
            <w:r>
              <w:rPr>
                <w:b/>
                <w:sz w:val="19"/>
              </w:rPr>
              <w:t>Topázio (mín.)</w:t>
            </w:r>
          </w:p>
        </w:tc>
        <w:tc>
          <w:tcPr>
            <w:tcW w:type="dxa" w:w="2551"/>
            <w:shd w:val="clear" w:color="auto" w:fill="D9EAF7"/>
          </w:tcPr>
          <w:p>
            <w:r>
              <w:rPr>
                <w:b/>
                <w:sz w:val="19"/>
              </w:rPr>
              <w:t>Divergências com cortes 6/7/8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2022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7,028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7,035–8,058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8,060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22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2023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6,994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7,000–7,997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8,003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2024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7,000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7,003–7,994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8,003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0</w:t>
            </w:r>
          </w:p>
        </w:tc>
      </w:tr>
    </w:tbl>
    <w:p>
      <w:pPr>
        <w:jc w:val="center"/>
      </w:pPr>
      <w:r>
        <w:rPr>
          <w:i/>
          <w:color w:val="646464"/>
          <w:sz w:val="18"/>
        </w:rPr>
        <w:t>Tabela 9 — Limites de INDE observados em cada Pedra oficial (não são os cortes oficiais)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350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coorte_inde_por_pedr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35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14 — INDE médio dos mesmos 434 alunos nos três anos, agrupados pela Pedra de 2022.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587"/>
            <w:shd w:val="clear" w:color="auto" w:fill="D9EAF7"/>
          </w:tcPr>
          <w:p>
            <w:r>
              <w:rPr>
                <w:b/>
                <w:sz w:val="19"/>
              </w:rPr>
              <w:t>Transição</w:t>
            </w:r>
          </w:p>
        </w:tc>
        <w:tc>
          <w:tcPr>
            <w:tcW w:type="dxa" w:w="1134"/>
            <w:shd w:val="clear" w:color="auto" w:fill="D9EAF7"/>
          </w:tcPr>
          <w:p>
            <w:r>
              <w:rPr>
                <w:b/>
                <w:sz w:val="19"/>
              </w:rPr>
              <w:t>Alunos</w:t>
            </w:r>
          </w:p>
        </w:tc>
        <w:tc>
          <w:tcPr>
            <w:tcW w:type="dxa" w:w="1361"/>
            <w:shd w:val="clear" w:color="auto" w:fill="D9EAF7"/>
          </w:tcPr>
          <w:p>
            <w:r>
              <w:rPr>
                <w:b/>
                <w:sz w:val="19"/>
              </w:rPr>
              <w:t>Avançou</w:t>
            </w:r>
          </w:p>
        </w:tc>
        <w:tc>
          <w:tcPr>
            <w:tcW w:type="dxa" w:w="1474"/>
            <w:shd w:val="clear" w:color="auto" w:fill="D9EAF7"/>
          </w:tcPr>
          <w:p>
            <w:r>
              <w:rPr>
                <w:b/>
                <w:sz w:val="19"/>
              </w:rPr>
              <w:t>Permaneceu</w:t>
            </w:r>
          </w:p>
        </w:tc>
        <w:tc>
          <w:tcPr>
            <w:tcW w:type="dxa" w:w="1361"/>
            <w:shd w:val="clear" w:color="auto" w:fill="D9EAF7"/>
          </w:tcPr>
          <w:p>
            <w:r>
              <w:rPr>
                <w:b/>
                <w:sz w:val="19"/>
              </w:rPr>
              <w:t>Recuou</w:t>
            </w:r>
          </w:p>
        </w:tc>
        <w:tc>
          <w:tcPr>
            <w:tcW w:type="dxa" w:w="2041"/>
            <w:shd w:val="clear" w:color="auto" w:fill="D9EAF7"/>
          </w:tcPr>
          <w:p>
            <w:r>
              <w:rPr>
                <w:b/>
                <w:sz w:val="19"/>
              </w:rPr>
              <w:t>Variação média do INDE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2022→2023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570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24,4%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51,2%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24,4%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-0,02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2023→2024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678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24,2%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50,0%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25,8%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-0,05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2022→2024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445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29,7%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44,7%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25,6%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0,00</w:t>
            </w:r>
          </w:p>
        </w:tc>
      </w:tr>
    </w:tbl>
    <w:p>
      <w:pPr>
        <w:jc w:val="center"/>
      </w:pPr>
      <w:r>
        <w:rPr>
          <w:i/>
          <w:color w:val="646464"/>
          <w:sz w:val="18"/>
        </w:rPr>
        <w:t>Tabela 10 — Mobilidade entre Pedras oficiais de cada ano (mesmos alunos)</w:t>
      </w:r>
    </w:p>
    <w:p>
      <w:pPr>
        <w:pStyle w:val="ListBullet"/>
      </w:pPr>
      <w:r>
        <w:t>Topázio passa de 15,1% para 30,9% dos alunos; Quartzo, de 15,3% para 10,6%.</w:t>
      </w:r>
    </w:p>
    <w:p>
      <w:pPr>
        <w:pStyle w:val="ListBullet"/>
      </w:pPr>
      <w:r>
        <w:t>Os limites das Pedras em 2022 não coincidem com os de 2023 e 2024: aplicar cortes 6/7/8 a 2022 mudaria 22 classificações. A mobilidade entre Pedras mistura mudança de INDE e possível mudança de critério.</w:t>
      </w:r>
    </w:p>
    <w:p>
      <w:pPr>
        <w:pStyle w:val="ListBullet"/>
      </w:pPr>
      <w:r>
        <w:t>Nas transições anuais, avanços e recuos se equilibram, e a variação média do INDE dos mesmos alunos fica próxima de zero.</w:t>
      </w:r>
    </w:p>
    <w:p>
      <w:pPr>
        <w:pStyle w:val="ListBullet"/>
      </w:pPr>
      <w:r>
        <w:t>Na coorte, só o grupo Quartzo sobe (5,42 → 6,41, n = 26); parte dessa subida, e da oscilação do Topázio, é esperada por regressão à média.</w:t>
      </w:r>
    </w:p>
    <w:p>
      <w:pPr>
        <w:pStyle w:val="ListBullet"/>
      </w:pPr>
      <w:r>
        <w:t>Os alunos que deixam de aparecer na base são, em média, de Pedras mais baixas (Q11), então a distribuição agregada também reflete mudança de composição.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8"/>
          </w:tcPr>
          <w:p>
            <w:r>
              <w:rPr>
                <w:b/>
                <w:color w:val="1F4E79"/>
              </w:rPr>
              <w:t xml:space="preserve">LEITURA. </w:t>
            </w:r>
            <w:r>
              <w:t>O resultado observado é estabilidade do INDE entre os alunos que permanecem, com melhora descritiva no grupo de partida mais baixo. Atribuir isso ao programa exigiria um grupo de comparação.</w:t>
            </w:r>
          </w:p>
        </w:tc>
      </w:tr>
    </w:tbl>
    <w:p/>
    <w:p>
      <w:pPr>
        <w:pStyle w:val="Heading1"/>
      </w:pPr>
      <w:r>
        <w:t>Q11 — Insights adicionais e recomendações</w:t>
      </w:r>
    </w:p>
    <w:p>
      <w:pPr>
        <w:pStyle w:val="Heading2"/>
      </w:pPr>
      <w:r>
        <w:t>1. Não reaparecimento na base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767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1_nao_reaparecimento_por_pedr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6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15 — Percentual de alunos ausentes na base do ano seguinte, por Pedra.</w:t>
      </w:r>
    </w:p>
    <w:p>
      <w:r>
        <w:rPr>
          <w:i w:val="0"/>
        </w:rPr>
        <w:t>30,2% dos alunos de 2022 não aparecem na base de 2023; o INDE médio desses alunos era 6,51, contra 7,26 dos que aparecem. A base não diz se a ausência é desligamento, conclusão, interrupção ou falta de avaliação, e 4 dos 260 ausentes reaparecem em 2024. Por isso, isto não é uma taxa de evasão comprovada. É um sinal a investigar com os registros de matrícula.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color="auto" w:fill="D9EAF7"/>
          </w:tcPr>
          <w:p>
            <w:r>
              <w:rPr>
                <w:b/>
                <w:sz w:val="19"/>
              </w:rPr>
              <w:t>Transição</w:t>
            </w:r>
          </w:p>
        </w:tc>
        <w:tc>
          <w:tcPr>
            <w:tcW w:type="dxa" w:w="1928"/>
            <w:shd w:val="clear" w:color="auto" w:fill="D9EAF7"/>
          </w:tcPr>
          <w:p>
            <w:r>
              <w:rPr>
                <w:b/>
                <w:sz w:val="19"/>
              </w:rPr>
              <w:t>Quartzo</w:t>
            </w:r>
          </w:p>
        </w:tc>
        <w:tc>
          <w:tcPr>
            <w:tcW w:type="dxa" w:w="1928"/>
            <w:shd w:val="clear" w:color="auto" w:fill="D9EAF7"/>
          </w:tcPr>
          <w:p>
            <w:r>
              <w:rPr>
                <w:b/>
                <w:sz w:val="19"/>
              </w:rPr>
              <w:t>Ágata</w:t>
            </w:r>
          </w:p>
        </w:tc>
        <w:tc>
          <w:tcPr>
            <w:tcW w:type="dxa" w:w="1928"/>
            <w:shd w:val="clear" w:color="auto" w:fill="D9EAF7"/>
          </w:tcPr>
          <w:p>
            <w:r>
              <w:rPr>
                <w:b/>
                <w:sz w:val="19"/>
              </w:rPr>
              <w:t>Ametista</w:t>
            </w:r>
          </w:p>
        </w:tc>
        <w:tc>
          <w:tcPr>
            <w:tcW w:type="dxa" w:w="1928"/>
            <w:shd w:val="clear" w:color="auto" w:fill="D9EAF7"/>
          </w:tcPr>
          <w:p>
            <w:r>
              <w:rPr>
                <w:b/>
                <w:sz w:val="19"/>
              </w:rPr>
              <w:t>Topázio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2022→2023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59,8% (n = 132)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34,0% (n = 250)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24,1% (n = 348)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9,2% (n = 130)</w:t>
            </w:r>
          </w:p>
        </w:tc>
      </w:tr>
      <w:tr>
        <w:tc>
          <w:tcPr>
            <w:tcW w:type="dxa" w:w="1587"/>
          </w:tcPr>
          <w:p>
            <w:r>
              <w:rPr>
                <w:sz w:val="19"/>
              </w:rPr>
              <w:t>2023→2024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41,7% (n = 72)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37,8% (n = 246)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19,2% (n = 381)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19,4% (n = 232)</w:t>
            </w:r>
          </w:p>
        </w:tc>
      </w:tr>
    </w:tbl>
    <w:p>
      <w:pPr>
        <w:jc w:val="center"/>
      </w:pPr>
      <w:r>
        <w:rPr>
          <w:i/>
          <w:color w:val="646464"/>
          <w:sz w:val="18"/>
        </w:rPr>
        <w:t>Tabela 11 — Não reaparecimento na base do ano seguinte, por Pedra</w:t>
      </w:r>
    </w:p>
    <w:p>
      <w:pPr>
        <w:pStyle w:val="Heading2"/>
      </w:pPr>
      <w:r>
        <w:t>2. Promoção de fase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29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1_taxa_promoca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 16 — Taxa de promoção à fase seguinte entre alunos presentes nos dois anos (fases 0–7).</w:t>
      </w:r>
    </w:p>
    <w:p>
      <w:r>
        <w:rPr>
          <w:i w:val="0"/>
        </w:rPr>
        <w:t>A promoção é mais baixa no ALFA (48% e 56%). Em 2023→24 caiu na Fase 5 (80% → 46%; n = 43) e na Fase 7 (91% → 45%; n = 20). Como quase todo evento de redução de D ocorre entre não promovidos, essas fases concentram o risco.</w:t>
      </w:r>
    </w:p>
    <w:p>
      <w:pPr>
        <w:pStyle w:val="Heading2"/>
      </w:pPr>
      <w:r>
        <w:t>3. O INDE sozinho não ordena o risco</w:t>
      </w:r>
    </w:p>
    <w:p>
      <w:r>
        <w:rPr>
          <w:i w:val="0"/>
        </w:rPr>
        <w:t>O percentual de alunos com redução de D é parecido nos quatro quartis de INDE (Q1: 18,0%, n = 323, Q2: 18,3%, n = 322, Q3: 14,6%, n = 322, Q4: 19,5%, n = 323), e o INDE, usado sozinho, tem ROC-AUC 0,502 para esse evento. Isso não prova que o risco independa do INDE quando se consideram outros fatores, mas mostra que acompanhar apenas a Pedra não identifica esses alunos.</w:t>
      </w:r>
    </w:p>
    <w:p>
      <w:pPr>
        <w:pStyle w:val="Heading2"/>
      </w:pPr>
      <w:r>
        <w:t>Recomendações à Passos Mágicos</w:t>
      </w:r>
    </w:p>
    <w:p>
      <w:pPr>
        <w:pStyle w:val="ListBullet"/>
      </w:pPr>
      <w:r>
        <w:rPr>
          <w:b/>
        </w:rPr>
        <w:t xml:space="preserve">Priorização preventiva: </w:t>
      </w:r>
      <w:r>
        <w:t>com os indicadores do fechamento de cada ano, aplicar o modelo e acompanhar primeiro os alunos da faixa Alto, com atenção ao ALFA e ao Ensino Médio.</w:t>
      </w:r>
    </w:p>
    <w:p>
      <w:pPr>
        <w:pStyle w:val="ListBullet"/>
      </w:pPr>
      <w:r>
        <w:rPr>
          <w:b/>
        </w:rPr>
        <w:t xml:space="preserve">Reforço acadêmico na Fase 3: </w:t>
      </w:r>
      <w:r>
        <w:t>é a fase com menor IDA nos três anos.</w:t>
      </w:r>
    </w:p>
    <w:p>
      <w:pPr>
        <w:pStyle w:val="ListBullet"/>
      </w:pPr>
      <w:r>
        <w:rPr>
          <w:b/>
        </w:rPr>
        <w:t xml:space="preserve">Investigar ausências na base: </w:t>
      </w:r>
      <w:r>
        <w:t>cruzar com matrícula, conclusão e desligamento para saber quanto é evasão e por quê.</w:t>
      </w:r>
    </w:p>
    <w:p>
      <w:pPr>
        <w:pStyle w:val="ListBullet"/>
      </w:pPr>
      <w:r>
        <w:rPr>
          <w:b/>
        </w:rPr>
        <w:t xml:space="preserve">Documentar critérios: </w:t>
      </w:r>
      <w:r>
        <w:t>registrar a regra de fase ideal, os cortes de Pedra e os critérios de promoção de cada ano.</w:t>
      </w:r>
    </w:p>
    <w:p>
      <w:pPr>
        <w:pStyle w:val="ListBullet"/>
      </w:pPr>
      <w:r>
        <w:rPr>
          <w:b/>
        </w:rPr>
        <w:t xml:space="preserve">Qualidade dos dados: </w:t>
      </w:r>
      <w:r>
        <w:t>padronizar códigos entre anos, distinguir zero de não avaliado (IEG, IAA), manter a escala do IPS e registrar o IPP em todas as fases.</w:t>
      </w:r>
    </w:p>
    <w:p>
      <w:pPr>
        <w:pStyle w:val="ListBullet"/>
      </w:pPr>
      <w:r>
        <w:rPr>
          <w:b/>
        </w:rPr>
        <w:t xml:space="preserve">Autoavaliação: </w:t>
      </w:r>
      <w:r>
        <w:t>separar as perguntas sobre estudos das demais, para comparar percepção e desempenho acadêmico de forma válida.</w:t>
      </w:r>
    </w:p>
    <w:p>
      <w:pPr>
        <w:pStyle w:val="Heading1"/>
      </w:pPr>
      <w:r>
        <w:t>Cuidados metodológicos</w:t>
      </w:r>
    </w:p>
    <w:p>
      <w:pPr>
        <w:pStyle w:val="ListBullet"/>
      </w:pPr>
      <w:r>
        <w:t>Os resultados são observacionais: associação não significa causalidade.</w:t>
      </w:r>
    </w:p>
    <w:p>
      <w:pPr>
        <w:pStyle w:val="ListBullet"/>
      </w:pPr>
      <w:r>
        <w:t>A base tem uma fotografia por ano; a composição muda entre anos (entradas e ausências). Por isso foram incluídas análises dos mesmos alunos.</w:t>
      </w:r>
    </w:p>
    <w:p>
      <w:pPr>
        <w:pStyle w:val="ListBullet"/>
      </w:pPr>
      <w:r>
        <w:t>A regra de fase ideal de 2024 difere da de 2022/23; resultados que dependem da defasagem trazem a sensibilidade correspondente.</w:t>
      </w:r>
    </w:p>
    <w:p>
      <w:pPr>
        <w:pStyle w:val="ListBullet"/>
      </w:pPr>
      <w:r>
        <w:t>IAN, Pedra e INDE são derivados de outros indicadores; relações entre eles são parcialmente estruturais.</w:t>
      </w:r>
    </w:p>
    <w:p>
      <w:pPr>
        <w:pStyle w:val="ListBullet"/>
      </w:pPr>
      <w:r>
        <w:t>Valores ausentes não foram tratados como zero; os tratamentos analíticos (IAA, IEG) são hipóteses documentadas, com a fonte preservada.</w:t>
      </w:r>
    </w:p>
    <w:p>
      <w:r>
        <w:rPr>
          <w:i/>
          <w:color w:val="646464"/>
          <w:sz w:val="17"/>
        </w:rPr>
        <w:t>Documento gerado por src/documento.py a partir dos resultados do pipeline (outputs/resultados_analises.json e outputs/resultados_modelo.json).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1F4E7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