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27B55" w14:textId="0BCB1D22" w:rsidR="00342FF7" w:rsidRPr="003C4B0F" w:rsidRDefault="00E4721E" w:rsidP="003C4B0F">
      <w:pPr>
        <w:spacing w:after="80"/>
        <w:jc w:val="center"/>
        <w:rPr>
          <w:color w:val="000000" w:themeColor="text1"/>
          <w:sz w:val="52"/>
          <w:szCs w:val="52"/>
        </w:rPr>
      </w:pPr>
      <w:r w:rsidRPr="003C4B0F">
        <w:rPr>
          <w:b/>
          <w:color w:val="000000" w:themeColor="text1"/>
          <w:sz w:val="52"/>
          <w:szCs w:val="52"/>
        </w:rPr>
        <w:t>Data Collection and Preprocessing Phase Report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342FF7" w14:paraId="6EDEB79B" w14:textId="77777777" w:rsidTr="003C4B0F">
        <w:trPr>
          <w:jc w:val="center"/>
        </w:trPr>
        <w:tc>
          <w:tcPr>
            <w:tcW w:w="4680" w:type="dxa"/>
            <w:shd w:val="clear" w:color="auto" w:fill="BFBFBF" w:themeFill="background1" w:themeFillShade="BF"/>
            <w:tcMar>
              <w:top w:w="100" w:type="dxa"/>
              <w:left w:w="120" w:type="dxa"/>
              <w:bottom w:w="100" w:type="dxa"/>
              <w:right w:w="120" w:type="dxa"/>
            </w:tcMar>
          </w:tcPr>
          <w:p w14:paraId="61926DE1" w14:textId="77777777" w:rsidR="00342FF7" w:rsidRPr="003C4B0F" w:rsidRDefault="00E4721E">
            <w:pPr>
              <w:spacing w:after="80"/>
              <w:rPr>
                <w:color w:val="000000" w:themeColor="text1"/>
                <w:sz w:val="24"/>
                <w:szCs w:val="24"/>
              </w:rPr>
            </w:pPr>
            <w:r w:rsidRPr="003C4B0F">
              <w:rPr>
                <w:b/>
                <w:color w:val="000000" w:themeColor="text1"/>
                <w:sz w:val="24"/>
                <w:szCs w:val="24"/>
              </w:rPr>
              <w:t>Team ID:</w:t>
            </w:r>
          </w:p>
        </w:tc>
        <w:tc>
          <w:tcPr>
            <w:tcW w:w="4680" w:type="dxa"/>
            <w:shd w:val="clear" w:color="auto" w:fill="FFFFFF"/>
            <w:tcMar>
              <w:top w:w="100" w:type="dxa"/>
              <w:left w:w="120" w:type="dxa"/>
              <w:bottom w:w="100" w:type="dxa"/>
              <w:right w:w="120" w:type="dxa"/>
            </w:tcMar>
          </w:tcPr>
          <w:p w14:paraId="498E3046" w14:textId="77777777" w:rsidR="00342FF7" w:rsidRPr="003C4B0F" w:rsidRDefault="00E4721E">
            <w:pPr>
              <w:spacing w:after="80"/>
              <w:rPr>
                <w:color w:val="000000" w:themeColor="text1"/>
                <w:sz w:val="24"/>
                <w:szCs w:val="24"/>
              </w:rPr>
            </w:pPr>
            <w:r w:rsidRPr="003C4B0F">
              <w:rPr>
                <w:color w:val="000000" w:themeColor="text1"/>
                <w:sz w:val="24"/>
                <w:szCs w:val="24"/>
              </w:rPr>
              <w:t>MCA</w:t>
            </w:r>
          </w:p>
        </w:tc>
      </w:tr>
      <w:tr w:rsidR="00342FF7" w14:paraId="54C96D84" w14:textId="77777777" w:rsidTr="003C4B0F">
        <w:trPr>
          <w:jc w:val="center"/>
        </w:trPr>
        <w:tc>
          <w:tcPr>
            <w:tcW w:w="4680" w:type="dxa"/>
            <w:shd w:val="clear" w:color="auto" w:fill="BFBFBF" w:themeFill="background1" w:themeFillShade="BF"/>
            <w:tcMar>
              <w:top w:w="100" w:type="dxa"/>
              <w:left w:w="120" w:type="dxa"/>
              <w:bottom w:w="100" w:type="dxa"/>
              <w:right w:w="120" w:type="dxa"/>
            </w:tcMar>
          </w:tcPr>
          <w:p w14:paraId="7136AEC4" w14:textId="77777777" w:rsidR="00342FF7" w:rsidRPr="003C4B0F" w:rsidRDefault="00E4721E">
            <w:pPr>
              <w:spacing w:after="80"/>
              <w:rPr>
                <w:color w:val="000000" w:themeColor="text1"/>
                <w:sz w:val="24"/>
                <w:szCs w:val="24"/>
              </w:rPr>
            </w:pPr>
            <w:r w:rsidRPr="003C4B0F">
              <w:rPr>
                <w:b/>
                <w:color w:val="000000" w:themeColor="text1"/>
                <w:sz w:val="24"/>
                <w:szCs w:val="24"/>
              </w:rPr>
              <w:t>Project Title:</w:t>
            </w:r>
          </w:p>
        </w:tc>
        <w:tc>
          <w:tcPr>
            <w:tcW w:w="4680" w:type="dxa"/>
            <w:shd w:val="clear" w:color="auto" w:fill="FFFFFF"/>
            <w:tcMar>
              <w:top w:w="100" w:type="dxa"/>
              <w:left w:w="120" w:type="dxa"/>
              <w:bottom w:w="100" w:type="dxa"/>
              <w:right w:w="120" w:type="dxa"/>
            </w:tcMar>
          </w:tcPr>
          <w:p w14:paraId="59DB7FFA" w14:textId="77777777" w:rsidR="00342FF7" w:rsidRPr="003C4B0F" w:rsidRDefault="00E4721E">
            <w:pPr>
              <w:spacing w:after="80"/>
              <w:rPr>
                <w:color w:val="000000" w:themeColor="text1"/>
                <w:sz w:val="24"/>
                <w:szCs w:val="24"/>
              </w:rPr>
            </w:pPr>
            <w:r w:rsidRPr="003C4B0F">
              <w:rPr>
                <w:color w:val="000000" w:themeColor="text1"/>
                <w:sz w:val="24"/>
                <w:szCs w:val="24"/>
              </w:rPr>
              <w:t>Smartphone Usage, Digital Addiction &amp; Well-Being Analytics</w:t>
            </w:r>
          </w:p>
        </w:tc>
      </w:tr>
      <w:tr w:rsidR="00342FF7" w14:paraId="1251D547" w14:textId="77777777" w:rsidTr="003C4B0F">
        <w:trPr>
          <w:jc w:val="center"/>
        </w:trPr>
        <w:tc>
          <w:tcPr>
            <w:tcW w:w="4680" w:type="dxa"/>
            <w:shd w:val="clear" w:color="auto" w:fill="BFBFBF" w:themeFill="background1" w:themeFillShade="BF"/>
            <w:tcMar>
              <w:top w:w="100" w:type="dxa"/>
              <w:left w:w="120" w:type="dxa"/>
              <w:bottom w:w="100" w:type="dxa"/>
              <w:right w:w="120" w:type="dxa"/>
            </w:tcMar>
          </w:tcPr>
          <w:p w14:paraId="4E7B36AC" w14:textId="77777777" w:rsidR="00342FF7" w:rsidRPr="003C4B0F" w:rsidRDefault="00E4721E">
            <w:pPr>
              <w:spacing w:after="80"/>
              <w:rPr>
                <w:color w:val="000000" w:themeColor="text1"/>
                <w:sz w:val="24"/>
                <w:szCs w:val="24"/>
              </w:rPr>
            </w:pPr>
            <w:r w:rsidRPr="003C4B0F">
              <w:rPr>
                <w:b/>
                <w:color w:val="000000" w:themeColor="text1"/>
                <w:sz w:val="24"/>
                <w:szCs w:val="24"/>
              </w:rPr>
              <w:t>Maximum Marks:</w:t>
            </w:r>
          </w:p>
        </w:tc>
        <w:tc>
          <w:tcPr>
            <w:tcW w:w="4680" w:type="dxa"/>
            <w:shd w:val="clear" w:color="auto" w:fill="FFFFFF"/>
            <w:tcMar>
              <w:top w:w="100" w:type="dxa"/>
              <w:left w:w="120" w:type="dxa"/>
              <w:bottom w:w="100" w:type="dxa"/>
              <w:right w:w="120" w:type="dxa"/>
            </w:tcMar>
          </w:tcPr>
          <w:p w14:paraId="67ED3687" w14:textId="77777777" w:rsidR="00342FF7" w:rsidRPr="003C4B0F" w:rsidRDefault="00E4721E">
            <w:pPr>
              <w:spacing w:after="80"/>
              <w:rPr>
                <w:color w:val="000000" w:themeColor="text1"/>
                <w:sz w:val="24"/>
                <w:szCs w:val="24"/>
              </w:rPr>
            </w:pPr>
            <w:r w:rsidRPr="003C4B0F">
              <w:rPr>
                <w:color w:val="000000" w:themeColor="text1"/>
                <w:sz w:val="24"/>
                <w:szCs w:val="24"/>
              </w:rPr>
              <w:t>10 Marks</w:t>
            </w:r>
          </w:p>
        </w:tc>
      </w:tr>
    </w:tbl>
    <w:p w14:paraId="686FBE69" w14:textId="77777777" w:rsidR="00342FF7" w:rsidRDefault="00342FF7">
      <w:pPr>
        <w:spacing w:after="240"/>
      </w:pPr>
    </w:p>
    <w:p w14:paraId="21E8B623" w14:textId="77777777" w:rsidR="00342FF7" w:rsidRPr="003C4B0F" w:rsidRDefault="00E4721E">
      <w:pPr>
        <w:spacing w:before="360" w:after="160"/>
        <w:rPr>
          <w:color w:val="000000" w:themeColor="text1"/>
        </w:rPr>
      </w:pPr>
      <w:r w:rsidRPr="003C4B0F">
        <w:rPr>
          <w:b/>
          <w:color w:val="000000" w:themeColor="text1"/>
          <w:sz w:val="32"/>
        </w:rPr>
        <w:t>1. Technical Transformation Blueprint</w:t>
      </w:r>
    </w:p>
    <w:p w14:paraId="77A01715" w14:textId="77777777" w:rsidR="00342FF7" w:rsidRPr="003C4B0F" w:rsidRDefault="00E4721E">
      <w:pPr>
        <w:spacing w:after="280"/>
        <w:rPr>
          <w:sz w:val="26"/>
          <w:szCs w:val="26"/>
        </w:rPr>
      </w:pPr>
      <w:r w:rsidRPr="003C4B0F">
        <w:rPr>
          <w:sz w:val="26"/>
          <w:szCs w:val="26"/>
        </w:rPr>
        <w:t>This technical ledger outlines data streams, profiles overall scope structure, evaluates multi-attribute structural risks, and establishes automated backend pipelines. The matrix layout below details the discrete engineering components applied to convert volatile user device telemetry logs into structured analytical matrices ready for Star Schema deployment</w:t>
      </w:r>
      <w:r w:rsidRPr="003C4B0F">
        <w:rPr>
          <w:sz w:val="26"/>
          <w:szCs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342FF7" w:rsidRPr="003C4B0F" w14:paraId="257F776F" w14:textId="77777777" w:rsidTr="003C4B0F">
        <w:trPr>
          <w:jc w:val="center"/>
        </w:trPr>
        <w:tc>
          <w:tcPr>
            <w:tcW w:w="3120" w:type="dxa"/>
            <w:shd w:val="clear" w:color="auto" w:fill="BFBFBF" w:themeFill="background1" w:themeFillShade="BF"/>
            <w:tcMar>
              <w:top w:w="140" w:type="dxa"/>
              <w:left w:w="150" w:type="dxa"/>
              <w:bottom w:w="140" w:type="dxa"/>
              <w:right w:w="150" w:type="dxa"/>
            </w:tcMar>
          </w:tcPr>
          <w:p w14:paraId="53A26D93" w14:textId="77777777" w:rsidR="00342FF7" w:rsidRPr="003C4B0F" w:rsidRDefault="00E4721E">
            <w:pPr>
              <w:spacing w:after="0"/>
              <w:rPr>
                <w:color w:val="000000" w:themeColor="text1"/>
                <w:sz w:val="26"/>
                <w:szCs w:val="26"/>
              </w:rPr>
            </w:pPr>
            <w:r w:rsidRPr="003C4B0F">
              <w:rPr>
                <w:b/>
                <w:color w:val="000000" w:themeColor="text1"/>
                <w:sz w:val="26"/>
                <w:szCs w:val="26"/>
              </w:rPr>
              <w:t>Blueprint Phase</w:t>
            </w:r>
          </w:p>
        </w:tc>
        <w:tc>
          <w:tcPr>
            <w:tcW w:w="3120" w:type="dxa"/>
            <w:shd w:val="clear" w:color="auto" w:fill="BFBFBF" w:themeFill="background1" w:themeFillShade="BF"/>
            <w:tcMar>
              <w:top w:w="140" w:type="dxa"/>
              <w:left w:w="150" w:type="dxa"/>
              <w:bottom w:w="140" w:type="dxa"/>
              <w:right w:w="150" w:type="dxa"/>
            </w:tcMar>
          </w:tcPr>
          <w:p w14:paraId="19527E71" w14:textId="77777777" w:rsidR="00342FF7" w:rsidRPr="003C4B0F" w:rsidRDefault="00E4721E">
            <w:pPr>
              <w:spacing w:after="0"/>
              <w:rPr>
                <w:color w:val="000000" w:themeColor="text1"/>
                <w:sz w:val="26"/>
                <w:szCs w:val="26"/>
              </w:rPr>
            </w:pPr>
            <w:r w:rsidRPr="003C4B0F">
              <w:rPr>
                <w:b/>
                <w:color w:val="000000" w:themeColor="text1"/>
                <w:sz w:val="26"/>
                <w:szCs w:val="26"/>
              </w:rPr>
              <w:t>Technical Execution Framework</w:t>
            </w:r>
          </w:p>
        </w:tc>
        <w:tc>
          <w:tcPr>
            <w:tcW w:w="3120" w:type="dxa"/>
            <w:shd w:val="clear" w:color="auto" w:fill="BFBFBF" w:themeFill="background1" w:themeFillShade="BF"/>
            <w:tcMar>
              <w:top w:w="140" w:type="dxa"/>
              <w:left w:w="150" w:type="dxa"/>
              <w:bottom w:w="140" w:type="dxa"/>
              <w:right w:w="150" w:type="dxa"/>
            </w:tcMar>
          </w:tcPr>
          <w:p w14:paraId="0CC966F5" w14:textId="77777777" w:rsidR="00342FF7" w:rsidRPr="003C4B0F" w:rsidRDefault="00E4721E">
            <w:pPr>
              <w:spacing w:after="0"/>
              <w:rPr>
                <w:color w:val="000000" w:themeColor="text1"/>
                <w:sz w:val="26"/>
                <w:szCs w:val="26"/>
              </w:rPr>
            </w:pPr>
            <w:r w:rsidRPr="003C4B0F">
              <w:rPr>
                <w:b/>
                <w:color w:val="000000" w:themeColor="text1"/>
                <w:sz w:val="26"/>
                <w:szCs w:val="26"/>
              </w:rPr>
              <w:t>Target Fields &amp; Core Telemetry Variables</w:t>
            </w:r>
          </w:p>
        </w:tc>
      </w:tr>
      <w:tr w:rsidR="00342FF7" w14:paraId="7EF360F2" w14:textId="77777777" w:rsidTr="003C4B0F">
        <w:trPr>
          <w:jc w:val="center"/>
        </w:trPr>
        <w:tc>
          <w:tcPr>
            <w:tcW w:w="3120" w:type="dxa"/>
            <w:tcMar>
              <w:top w:w="120" w:type="dxa"/>
              <w:left w:w="150" w:type="dxa"/>
              <w:bottom w:w="120" w:type="dxa"/>
              <w:right w:w="150" w:type="dxa"/>
            </w:tcMar>
          </w:tcPr>
          <w:p w14:paraId="26159A2B" w14:textId="77777777" w:rsidR="00342FF7" w:rsidRPr="003C4B0F" w:rsidRDefault="00E4721E">
            <w:pPr>
              <w:spacing w:after="0"/>
              <w:rPr>
                <w:color w:val="000000" w:themeColor="text1"/>
                <w:sz w:val="24"/>
                <w:szCs w:val="24"/>
              </w:rPr>
            </w:pPr>
            <w:r w:rsidRPr="003C4B0F">
              <w:rPr>
                <w:b/>
                <w:color w:val="000000" w:themeColor="text1"/>
                <w:sz w:val="24"/>
                <w:szCs w:val="24"/>
              </w:rPr>
              <w:t>Data Overview</w:t>
            </w:r>
          </w:p>
        </w:tc>
        <w:tc>
          <w:tcPr>
            <w:tcW w:w="3120" w:type="dxa"/>
            <w:tcMar>
              <w:top w:w="120" w:type="dxa"/>
              <w:left w:w="150" w:type="dxa"/>
              <w:bottom w:w="120" w:type="dxa"/>
              <w:right w:w="150" w:type="dxa"/>
            </w:tcMar>
          </w:tcPr>
          <w:p w14:paraId="25C829FB" w14:textId="77777777" w:rsidR="00342FF7" w:rsidRPr="003C4B0F" w:rsidRDefault="00E4721E">
            <w:pPr>
              <w:spacing w:after="0"/>
              <w:rPr>
                <w:color w:val="000000" w:themeColor="text1"/>
                <w:sz w:val="24"/>
                <w:szCs w:val="24"/>
              </w:rPr>
            </w:pPr>
            <w:r w:rsidRPr="003C4B0F">
              <w:rPr>
                <w:color w:val="000000" w:themeColor="text1"/>
                <w:sz w:val="24"/>
                <w:szCs w:val="24"/>
              </w:rPr>
              <w:t>Profiles raw schema volumes, telemetry tracking boundaries, high-frequency logging intervals, and primary diagnostic origins.</w:t>
            </w:r>
          </w:p>
        </w:tc>
        <w:tc>
          <w:tcPr>
            <w:tcW w:w="3120" w:type="dxa"/>
            <w:tcMar>
              <w:top w:w="120" w:type="dxa"/>
              <w:left w:w="150" w:type="dxa"/>
              <w:bottom w:w="120" w:type="dxa"/>
              <w:right w:w="150" w:type="dxa"/>
            </w:tcMar>
          </w:tcPr>
          <w:p w14:paraId="0AFF4B2B" w14:textId="77777777" w:rsidR="00342FF7" w:rsidRPr="003C4B0F" w:rsidRDefault="00E4721E">
            <w:pPr>
              <w:spacing w:after="0"/>
              <w:rPr>
                <w:color w:val="000000" w:themeColor="text1"/>
                <w:sz w:val="24"/>
                <w:szCs w:val="24"/>
              </w:rPr>
            </w:pPr>
            <w:r w:rsidRPr="003C4B0F">
              <w:rPr>
                <w:color w:val="000000" w:themeColor="text1"/>
                <w:sz w:val="24"/>
                <w:szCs w:val="24"/>
              </w:rPr>
              <w:t xml:space="preserve">Monitors </w:t>
            </w:r>
            <w:r w:rsidRPr="003C4B0F">
              <w:rPr>
                <w:b/>
                <w:color w:val="000000" w:themeColor="text1"/>
                <w:sz w:val="24"/>
                <w:szCs w:val="24"/>
              </w:rPr>
              <w:t xml:space="preserve">7,500 </w:t>
            </w:r>
            <w:r w:rsidRPr="003C4B0F">
              <w:rPr>
                <w:color w:val="000000" w:themeColor="text1"/>
                <w:sz w:val="24"/>
                <w:szCs w:val="24"/>
              </w:rPr>
              <w:t xml:space="preserve">profiles compiling over </w:t>
            </w:r>
            <w:r w:rsidRPr="003C4B0F">
              <w:rPr>
                <w:b/>
                <w:color w:val="000000" w:themeColor="text1"/>
                <w:sz w:val="24"/>
                <w:szCs w:val="24"/>
              </w:rPr>
              <w:t xml:space="preserve">56 </w:t>
            </w:r>
            <w:proofErr w:type="gramStart"/>
            <w:r w:rsidRPr="003C4B0F">
              <w:rPr>
                <w:b/>
                <w:color w:val="000000" w:themeColor="text1"/>
                <w:sz w:val="24"/>
                <w:szCs w:val="24"/>
              </w:rPr>
              <w:t>Million</w:t>
            </w:r>
            <w:proofErr w:type="gramEnd"/>
            <w:r w:rsidRPr="003C4B0F">
              <w:rPr>
                <w:b/>
                <w:color w:val="000000" w:themeColor="text1"/>
                <w:sz w:val="24"/>
                <w:szCs w:val="24"/>
              </w:rPr>
              <w:t xml:space="preserve"> </w:t>
            </w:r>
            <w:r w:rsidRPr="003C4B0F">
              <w:rPr>
                <w:color w:val="000000" w:themeColor="text1"/>
                <w:sz w:val="24"/>
                <w:szCs w:val="24"/>
              </w:rPr>
              <w:t xml:space="preserve">cumulative rows tracking daily screens, app triggers, and focus tracking gaps. </w:t>
            </w:r>
          </w:p>
        </w:tc>
      </w:tr>
      <w:tr w:rsidR="00342FF7" w14:paraId="038BC09D" w14:textId="77777777" w:rsidTr="003C4B0F">
        <w:trPr>
          <w:jc w:val="center"/>
        </w:trPr>
        <w:tc>
          <w:tcPr>
            <w:tcW w:w="3120" w:type="dxa"/>
            <w:tcMar>
              <w:top w:w="120" w:type="dxa"/>
              <w:left w:w="150" w:type="dxa"/>
              <w:bottom w:w="120" w:type="dxa"/>
              <w:right w:w="150" w:type="dxa"/>
            </w:tcMar>
          </w:tcPr>
          <w:p w14:paraId="59DB2A2F" w14:textId="77777777" w:rsidR="00342FF7" w:rsidRPr="003C4B0F" w:rsidRDefault="00E4721E">
            <w:pPr>
              <w:spacing w:after="0"/>
              <w:rPr>
                <w:color w:val="000000" w:themeColor="text1"/>
                <w:sz w:val="24"/>
                <w:szCs w:val="24"/>
              </w:rPr>
            </w:pPr>
            <w:r w:rsidRPr="003C4B0F">
              <w:rPr>
                <w:b/>
                <w:color w:val="000000" w:themeColor="text1"/>
                <w:sz w:val="24"/>
                <w:szCs w:val="24"/>
              </w:rPr>
              <w:t>Data Cleaning</w:t>
            </w:r>
          </w:p>
        </w:tc>
        <w:tc>
          <w:tcPr>
            <w:tcW w:w="3120" w:type="dxa"/>
            <w:tcMar>
              <w:top w:w="120" w:type="dxa"/>
              <w:left w:w="150" w:type="dxa"/>
              <w:bottom w:w="120" w:type="dxa"/>
              <w:right w:w="150" w:type="dxa"/>
            </w:tcMar>
          </w:tcPr>
          <w:p w14:paraId="47EE3A18" w14:textId="77777777" w:rsidR="00342FF7" w:rsidRPr="003C4B0F" w:rsidRDefault="00E4721E">
            <w:pPr>
              <w:spacing w:after="0"/>
              <w:rPr>
                <w:color w:val="000000" w:themeColor="text1"/>
                <w:sz w:val="24"/>
                <w:szCs w:val="24"/>
              </w:rPr>
            </w:pPr>
            <w:r w:rsidRPr="003C4B0F">
              <w:rPr>
                <w:color w:val="000000" w:themeColor="text1"/>
                <w:sz w:val="24"/>
                <w:szCs w:val="24"/>
              </w:rPr>
              <w:t>Isolates system anomalies, drops duplicate client-side network pings, and executes rule-based null value imputation arrays.</w:t>
            </w:r>
          </w:p>
        </w:tc>
        <w:tc>
          <w:tcPr>
            <w:tcW w:w="3120" w:type="dxa"/>
            <w:tcMar>
              <w:top w:w="120" w:type="dxa"/>
              <w:left w:w="150" w:type="dxa"/>
              <w:bottom w:w="120" w:type="dxa"/>
              <w:right w:w="150" w:type="dxa"/>
            </w:tcMar>
          </w:tcPr>
          <w:p w14:paraId="19378F93" w14:textId="77777777" w:rsidR="00342FF7" w:rsidRPr="003C4B0F" w:rsidRDefault="00E4721E">
            <w:pPr>
              <w:spacing w:after="0"/>
              <w:rPr>
                <w:color w:val="000000" w:themeColor="text1"/>
                <w:sz w:val="24"/>
                <w:szCs w:val="24"/>
              </w:rPr>
            </w:pPr>
            <w:r w:rsidRPr="003C4B0F">
              <w:rPr>
                <w:color w:val="000000" w:themeColor="text1"/>
                <w:sz w:val="24"/>
                <w:szCs w:val="24"/>
              </w:rPr>
              <w:t xml:space="preserve">Resolves vacant sleep duration logging rows using age-stratified mean algorithms. Purges redundant logs via </w:t>
            </w:r>
            <w:r w:rsidRPr="003C4B0F">
              <w:rPr>
                <w:color w:val="000000" w:themeColor="text1"/>
                <w:sz w:val="24"/>
                <w:szCs w:val="24"/>
              </w:rPr>
              <w:t xml:space="preserve">custom composite indices. </w:t>
            </w:r>
          </w:p>
        </w:tc>
      </w:tr>
      <w:tr w:rsidR="00342FF7" w14:paraId="76051CA3" w14:textId="77777777" w:rsidTr="003C4B0F">
        <w:trPr>
          <w:jc w:val="center"/>
        </w:trPr>
        <w:tc>
          <w:tcPr>
            <w:tcW w:w="3120" w:type="dxa"/>
            <w:tcMar>
              <w:top w:w="120" w:type="dxa"/>
              <w:left w:w="150" w:type="dxa"/>
              <w:bottom w:w="120" w:type="dxa"/>
              <w:right w:w="150" w:type="dxa"/>
            </w:tcMar>
          </w:tcPr>
          <w:p w14:paraId="23690215" w14:textId="77777777" w:rsidR="00342FF7" w:rsidRPr="003C4B0F" w:rsidRDefault="00E4721E">
            <w:pPr>
              <w:spacing w:after="0"/>
              <w:rPr>
                <w:color w:val="000000" w:themeColor="text1"/>
                <w:sz w:val="24"/>
                <w:szCs w:val="24"/>
              </w:rPr>
            </w:pPr>
            <w:r w:rsidRPr="003C4B0F">
              <w:rPr>
                <w:b/>
                <w:color w:val="000000" w:themeColor="text1"/>
                <w:sz w:val="24"/>
                <w:szCs w:val="24"/>
              </w:rPr>
              <w:lastRenderedPageBreak/>
              <w:t>Data Transformation</w:t>
            </w:r>
          </w:p>
        </w:tc>
        <w:tc>
          <w:tcPr>
            <w:tcW w:w="3120" w:type="dxa"/>
            <w:tcMar>
              <w:top w:w="120" w:type="dxa"/>
              <w:left w:w="150" w:type="dxa"/>
              <w:bottom w:w="120" w:type="dxa"/>
              <w:right w:w="150" w:type="dxa"/>
            </w:tcMar>
          </w:tcPr>
          <w:p w14:paraId="0E819834" w14:textId="77777777" w:rsidR="00342FF7" w:rsidRPr="003C4B0F" w:rsidRDefault="00E4721E">
            <w:pPr>
              <w:spacing w:after="0"/>
              <w:rPr>
                <w:color w:val="000000" w:themeColor="text1"/>
                <w:sz w:val="24"/>
                <w:szCs w:val="24"/>
              </w:rPr>
            </w:pPr>
            <w:r w:rsidRPr="003C4B0F">
              <w:rPr>
                <w:color w:val="000000" w:themeColor="text1"/>
                <w:sz w:val="24"/>
                <w:szCs w:val="24"/>
              </w:rPr>
              <w:t>Implements conditional logic routines via Power Query functional architectures to flag extreme behavior shifts.</w:t>
            </w:r>
          </w:p>
        </w:tc>
        <w:tc>
          <w:tcPr>
            <w:tcW w:w="3120" w:type="dxa"/>
            <w:tcMar>
              <w:top w:w="120" w:type="dxa"/>
              <w:left w:w="150" w:type="dxa"/>
              <w:bottom w:w="120" w:type="dxa"/>
              <w:right w:w="150" w:type="dxa"/>
            </w:tcMar>
          </w:tcPr>
          <w:p w14:paraId="1CB8BBB0" w14:textId="77777777" w:rsidR="00342FF7" w:rsidRPr="003C4B0F" w:rsidRDefault="00E4721E">
            <w:pPr>
              <w:spacing w:after="0"/>
              <w:rPr>
                <w:color w:val="000000" w:themeColor="text1"/>
                <w:sz w:val="24"/>
                <w:szCs w:val="24"/>
              </w:rPr>
            </w:pPr>
            <w:r w:rsidRPr="003C4B0F">
              <w:rPr>
                <w:color w:val="000000" w:themeColor="text1"/>
                <w:sz w:val="24"/>
                <w:szCs w:val="24"/>
              </w:rPr>
              <w:t xml:space="preserve">Isolates regular weekdays from weekend expansion spikes. Instantiates strategic flags separating </w:t>
            </w:r>
            <w:r w:rsidRPr="003C4B0F">
              <w:rPr>
                <w:b/>
                <w:color w:val="000000" w:themeColor="text1"/>
                <w:sz w:val="24"/>
                <w:szCs w:val="24"/>
              </w:rPr>
              <w:t xml:space="preserve">High Usage Users (33.87% </w:t>
            </w:r>
            <w:r w:rsidRPr="003C4B0F">
              <w:rPr>
                <w:color w:val="000000" w:themeColor="text1"/>
                <w:sz w:val="24"/>
                <w:szCs w:val="24"/>
              </w:rPr>
              <w:t xml:space="preserve">of volume). </w:t>
            </w:r>
          </w:p>
        </w:tc>
      </w:tr>
      <w:tr w:rsidR="00342FF7" w:rsidRPr="003C4B0F" w14:paraId="008A6064" w14:textId="77777777" w:rsidTr="003C4B0F">
        <w:trPr>
          <w:jc w:val="center"/>
        </w:trPr>
        <w:tc>
          <w:tcPr>
            <w:tcW w:w="3120" w:type="dxa"/>
            <w:shd w:val="clear" w:color="auto" w:fill="FFFFFF"/>
            <w:tcMar>
              <w:top w:w="120" w:type="dxa"/>
              <w:left w:w="150" w:type="dxa"/>
              <w:bottom w:w="120" w:type="dxa"/>
              <w:right w:w="150" w:type="dxa"/>
            </w:tcMar>
          </w:tcPr>
          <w:p w14:paraId="3D2880EB" w14:textId="77777777" w:rsidR="00342FF7" w:rsidRPr="003C4B0F" w:rsidRDefault="00E4721E">
            <w:pPr>
              <w:spacing w:after="0"/>
              <w:rPr>
                <w:color w:val="000000" w:themeColor="text1"/>
                <w:sz w:val="24"/>
                <w:szCs w:val="24"/>
              </w:rPr>
            </w:pPr>
            <w:r w:rsidRPr="003C4B0F">
              <w:rPr>
                <w:b/>
                <w:color w:val="000000" w:themeColor="text1"/>
                <w:sz w:val="24"/>
                <w:szCs w:val="24"/>
              </w:rPr>
              <w:t>Data Type Conversion</w:t>
            </w:r>
          </w:p>
        </w:tc>
        <w:tc>
          <w:tcPr>
            <w:tcW w:w="3120" w:type="dxa"/>
            <w:shd w:val="clear" w:color="auto" w:fill="FFFFFF"/>
            <w:tcMar>
              <w:top w:w="120" w:type="dxa"/>
              <w:left w:w="150" w:type="dxa"/>
              <w:bottom w:w="120" w:type="dxa"/>
              <w:right w:w="150" w:type="dxa"/>
            </w:tcMar>
          </w:tcPr>
          <w:p w14:paraId="55E679D5" w14:textId="77777777" w:rsidR="00342FF7" w:rsidRPr="003C4B0F" w:rsidRDefault="00E4721E">
            <w:pPr>
              <w:spacing w:after="0"/>
              <w:rPr>
                <w:color w:val="000000" w:themeColor="text1"/>
                <w:sz w:val="24"/>
                <w:szCs w:val="24"/>
              </w:rPr>
            </w:pPr>
            <w:r w:rsidRPr="003C4B0F">
              <w:rPr>
                <w:color w:val="000000" w:themeColor="text1"/>
                <w:sz w:val="24"/>
                <w:szCs w:val="24"/>
              </w:rPr>
              <w:t>Enforces strict type casting rules to secure computational consistency and eliminate floating-point arithmetic drift.</w:t>
            </w:r>
          </w:p>
        </w:tc>
        <w:tc>
          <w:tcPr>
            <w:tcW w:w="3120" w:type="dxa"/>
            <w:shd w:val="clear" w:color="auto" w:fill="FFFFFF"/>
            <w:tcMar>
              <w:top w:w="120" w:type="dxa"/>
              <w:left w:w="150" w:type="dxa"/>
              <w:bottom w:w="120" w:type="dxa"/>
              <w:right w:w="150" w:type="dxa"/>
            </w:tcMar>
          </w:tcPr>
          <w:p w14:paraId="05DCBEA4" w14:textId="77777777" w:rsidR="00342FF7" w:rsidRPr="003C4B0F" w:rsidRDefault="00E4721E">
            <w:pPr>
              <w:spacing w:after="0"/>
              <w:rPr>
                <w:color w:val="000000" w:themeColor="text1"/>
                <w:sz w:val="24"/>
                <w:szCs w:val="24"/>
              </w:rPr>
            </w:pPr>
            <w:r w:rsidRPr="003C4B0F">
              <w:rPr>
                <w:color w:val="000000" w:themeColor="text1"/>
                <w:sz w:val="24"/>
                <w:szCs w:val="24"/>
              </w:rPr>
              <w:t xml:space="preserve">Converts plain text inputs into </w:t>
            </w:r>
            <w:r w:rsidRPr="003C4B0F">
              <w:rPr>
                <w:b/>
                <w:color w:val="000000" w:themeColor="text1"/>
                <w:sz w:val="24"/>
                <w:szCs w:val="24"/>
              </w:rPr>
              <w:t xml:space="preserve">Fixed Decimal </w:t>
            </w:r>
            <w:r w:rsidRPr="003C4B0F">
              <w:rPr>
                <w:color w:val="000000" w:themeColor="text1"/>
                <w:sz w:val="24"/>
                <w:szCs w:val="24"/>
              </w:rPr>
              <w:t xml:space="preserve">configurations for </w:t>
            </w:r>
            <w:r w:rsidRPr="003C4B0F">
              <w:rPr>
                <w:color w:val="000000" w:themeColor="text1"/>
                <w:sz w:val="24"/>
                <w:szCs w:val="24"/>
              </w:rPr>
              <w:t xml:space="preserve">telemetry metrics and applies system-aware </w:t>
            </w:r>
            <w:r w:rsidRPr="003C4B0F">
              <w:rPr>
                <w:b/>
                <w:color w:val="000000" w:themeColor="text1"/>
                <w:sz w:val="24"/>
                <w:szCs w:val="24"/>
              </w:rPr>
              <w:t xml:space="preserve">DateTime </w:t>
            </w:r>
            <w:r w:rsidRPr="003C4B0F">
              <w:rPr>
                <w:color w:val="000000" w:themeColor="text1"/>
                <w:sz w:val="24"/>
                <w:szCs w:val="24"/>
              </w:rPr>
              <w:t xml:space="preserve">indexing maps. </w:t>
            </w:r>
          </w:p>
        </w:tc>
      </w:tr>
      <w:tr w:rsidR="00342FF7" w:rsidRPr="003C4B0F" w14:paraId="5ECEB28A" w14:textId="77777777" w:rsidTr="003C4B0F">
        <w:trPr>
          <w:jc w:val="center"/>
        </w:trPr>
        <w:tc>
          <w:tcPr>
            <w:tcW w:w="3120" w:type="dxa"/>
            <w:shd w:val="clear" w:color="auto" w:fill="F7F9FB"/>
            <w:tcMar>
              <w:top w:w="120" w:type="dxa"/>
              <w:left w:w="150" w:type="dxa"/>
              <w:bottom w:w="120" w:type="dxa"/>
              <w:right w:w="150" w:type="dxa"/>
            </w:tcMar>
          </w:tcPr>
          <w:p w14:paraId="57A08264" w14:textId="77777777" w:rsidR="00342FF7" w:rsidRPr="003C4B0F" w:rsidRDefault="00E4721E">
            <w:pPr>
              <w:spacing w:after="0"/>
              <w:rPr>
                <w:color w:val="000000" w:themeColor="text1"/>
                <w:sz w:val="24"/>
                <w:szCs w:val="24"/>
              </w:rPr>
            </w:pPr>
            <w:r w:rsidRPr="003C4B0F">
              <w:rPr>
                <w:b/>
                <w:color w:val="000000" w:themeColor="text1"/>
                <w:sz w:val="24"/>
                <w:szCs w:val="24"/>
              </w:rPr>
              <w:t>Column Splitting &amp; Merging</w:t>
            </w:r>
          </w:p>
        </w:tc>
        <w:tc>
          <w:tcPr>
            <w:tcW w:w="3120" w:type="dxa"/>
            <w:shd w:val="clear" w:color="auto" w:fill="F7F9FB"/>
            <w:tcMar>
              <w:top w:w="120" w:type="dxa"/>
              <w:left w:w="150" w:type="dxa"/>
              <w:bottom w:w="120" w:type="dxa"/>
              <w:right w:w="150" w:type="dxa"/>
            </w:tcMar>
          </w:tcPr>
          <w:p w14:paraId="43B71AA9" w14:textId="77777777" w:rsidR="00342FF7" w:rsidRPr="003C4B0F" w:rsidRDefault="00E4721E">
            <w:pPr>
              <w:spacing w:after="0"/>
              <w:rPr>
                <w:color w:val="000000" w:themeColor="text1"/>
                <w:sz w:val="24"/>
                <w:szCs w:val="24"/>
              </w:rPr>
            </w:pPr>
            <w:r w:rsidRPr="003C4B0F">
              <w:rPr>
                <w:color w:val="000000" w:themeColor="text1"/>
                <w:sz w:val="24"/>
                <w:szCs w:val="24"/>
              </w:rPr>
              <w:t>Parses multi-attribute delimited string lines and merges foundational structural dimensions to form clean visualization labels.</w:t>
            </w:r>
          </w:p>
        </w:tc>
        <w:tc>
          <w:tcPr>
            <w:tcW w:w="3120" w:type="dxa"/>
            <w:shd w:val="clear" w:color="auto" w:fill="F7F9FB"/>
            <w:tcMar>
              <w:top w:w="120" w:type="dxa"/>
              <w:left w:w="150" w:type="dxa"/>
              <w:bottom w:w="120" w:type="dxa"/>
              <w:right w:w="150" w:type="dxa"/>
            </w:tcMar>
          </w:tcPr>
          <w:p w14:paraId="62868CA6" w14:textId="77777777" w:rsidR="00342FF7" w:rsidRPr="003C4B0F" w:rsidRDefault="00E4721E">
            <w:pPr>
              <w:spacing w:after="0"/>
              <w:rPr>
                <w:color w:val="000000" w:themeColor="text1"/>
                <w:sz w:val="24"/>
                <w:szCs w:val="24"/>
              </w:rPr>
            </w:pPr>
            <w:r w:rsidRPr="003C4B0F">
              <w:rPr>
                <w:color w:val="000000" w:themeColor="text1"/>
                <w:sz w:val="24"/>
                <w:szCs w:val="24"/>
              </w:rPr>
              <w:t xml:space="preserve">Extracts independent system alerts across defined text delimiters. Binds core demographic age groups and gender variables dynamically. </w:t>
            </w:r>
          </w:p>
        </w:tc>
      </w:tr>
      <w:tr w:rsidR="00342FF7" w:rsidRPr="003C4B0F" w14:paraId="44A49EC1" w14:textId="77777777" w:rsidTr="003C4B0F">
        <w:trPr>
          <w:jc w:val="center"/>
        </w:trPr>
        <w:tc>
          <w:tcPr>
            <w:tcW w:w="3120" w:type="dxa"/>
            <w:shd w:val="clear" w:color="auto" w:fill="FFFFFF"/>
            <w:tcMar>
              <w:top w:w="120" w:type="dxa"/>
              <w:left w:w="150" w:type="dxa"/>
              <w:bottom w:w="120" w:type="dxa"/>
              <w:right w:w="150" w:type="dxa"/>
            </w:tcMar>
          </w:tcPr>
          <w:p w14:paraId="3AA44A19" w14:textId="77777777" w:rsidR="00342FF7" w:rsidRPr="003C4B0F" w:rsidRDefault="00E4721E">
            <w:pPr>
              <w:spacing w:after="0"/>
              <w:rPr>
                <w:color w:val="000000" w:themeColor="text1"/>
                <w:sz w:val="24"/>
                <w:szCs w:val="24"/>
              </w:rPr>
            </w:pPr>
            <w:r w:rsidRPr="003C4B0F">
              <w:rPr>
                <w:b/>
                <w:color w:val="000000" w:themeColor="text1"/>
                <w:sz w:val="24"/>
                <w:szCs w:val="24"/>
              </w:rPr>
              <w:t>Data Modeling</w:t>
            </w:r>
          </w:p>
        </w:tc>
        <w:tc>
          <w:tcPr>
            <w:tcW w:w="3120" w:type="dxa"/>
            <w:shd w:val="clear" w:color="auto" w:fill="FFFFFF"/>
            <w:tcMar>
              <w:top w:w="120" w:type="dxa"/>
              <w:left w:w="150" w:type="dxa"/>
              <w:bottom w:w="120" w:type="dxa"/>
              <w:right w:w="150" w:type="dxa"/>
            </w:tcMar>
          </w:tcPr>
          <w:p w14:paraId="4BBB857C" w14:textId="77777777" w:rsidR="00342FF7" w:rsidRPr="003C4B0F" w:rsidRDefault="00E4721E">
            <w:pPr>
              <w:spacing w:after="0"/>
              <w:rPr>
                <w:color w:val="000000" w:themeColor="text1"/>
                <w:sz w:val="24"/>
                <w:szCs w:val="24"/>
              </w:rPr>
            </w:pPr>
            <w:r w:rsidRPr="003C4B0F">
              <w:rPr>
                <w:color w:val="000000" w:themeColor="text1"/>
                <w:sz w:val="24"/>
                <w:szCs w:val="24"/>
              </w:rPr>
              <w:t>Constructs a high-performance Star Schema model, builds clear entity filter flows, and compiles business logic indicators.</w:t>
            </w:r>
          </w:p>
        </w:tc>
        <w:tc>
          <w:tcPr>
            <w:tcW w:w="3120" w:type="dxa"/>
            <w:shd w:val="clear" w:color="auto" w:fill="FFFFFF"/>
            <w:tcMar>
              <w:top w:w="120" w:type="dxa"/>
              <w:left w:w="150" w:type="dxa"/>
              <w:bottom w:w="120" w:type="dxa"/>
              <w:right w:w="150" w:type="dxa"/>
            </w:tcMar>
          </w:tcPr>
          <w:p w14:paraId="73FCCF2B" w14:textId="77777777" w:rsidR="00342FF7" w:rsidRPr="003C4B0F" w:rsidRDefault="00E4721E">
            <w:pPr>
              <w:spacing w:after="0"/>
              <w:rPr>
                <w:color w:val="000000" w:themeColor="text1"/>
                <w:sz w:val="24"/>
                <w:szCs w:val="24"/>
              </w:rPr>
            </w:pPr>
            <w:r w:rsidRPr="003C4B0F">
              <w:rPr>
                <w:color w:val="000000" w:themeColor="text1"/>
                <w:sz w:val="24"/>
                <w:szCs w:val="24"/>
              </w:rPr>
              <w:t xml:space="preserve">Binds </w:t>
            </w:r>
            <w:r w:rsidRPr="003C4B0F">
              <w:rPr>
                <w:color w:val="000000" w:themeColor="text1"/>
                <w:sz w:val="24"/>
                <w:szCs w:val="24"/>
              </w:rPr>
              <w:t xml:space="preserve">central usage Fact tables out to dedicated Dimension maps. Embeds explicit </w:t>
            </w:r>
            <w:r w:rsidRPr="003C4B0F">
              <w:rPr>
                <w:b/>
                <w:color w:val="000000" w:themeColor="text1"/>
                <w:sz w:val="24"/>
                <w:szCs w:val="24"/>
              </w:rPr>
              <w:t xml:space="preserve">DAX </w:t>
            </w:r>
            <w:r w:rsidRPr="003C4B0F">
              <w:rPr>
                <w:color w:val="000000" w:themeColor="text1"/>
                <w:sz w:val="24"/>
                <w:szCs w:val="24"/>
              </w:rPr>
              <w:t xml:space="preserve">formulas tracking addiction multipliers </w:t>
            </w:r>
            <w:r w:rsidRPr="003C4B0F">
              <w:rPr>
                <w:b/>
                <w:color w:val="000000" w:themeColor="text1"/>
                <w:sz w:val="24"/>
                <w:szCs w:val="24"/>
              </w:rPr>
              <w:t xml:space="preserve">(25.75x). </w:t>
            </w:r>
          </w:p>
        </w:tc>
      </w:tr>
      <w:tr w:rsidR="00342FF7" w:rsidRPr="003C4B0F" w14:paraId="22A9FF4B" w14:textId="77777777" w:rsidTr="003C4B0F">
        <w:trPr>
          <w:jc w:val="center"/>
        </w:trPr>
        <w:tc>
          <w:tcPr>
            <w:tcW w:w="3120" w:type="dxa"/>
            <w:shd w:val="clear" w:color="auto" w:fill="F7F9FB"/>
            <w:tcMar>
              <w:top w:w="120" w:type="dxa"/>
              <w:left w:w="150" w:type="dxa"/>
              <w:bottom w:w="120" w:type="dxa"/>
              <w:right w:w="150" w:type="dxa"/>
            </w:tcMar>
          </w:tcPr>
          <w:p w14:paraId="7A6B2EF2" w14:textId="77777777" w:rsidR="00342FF7" w:rsidRPr="003C4B0F" w:rsidRDefault="00E4721E">
            <w:pPr>
              <w:spacing w:after="0"/>
              <w:rPr>
                <w:color w:val="000000" w:themeColor="text1"/>
                <w:sz w:val="24"/>
                <w:szCs w:val="24"/>
              </w:rPr>
            </w:pPr>
            <w:r w:rsidRPr="003C4B0F">
              <w:rPr>
                <w:b/>
                <w:color w:val="000000" w:themeColor="text1"/>
                <w:sz w:val="24"/>
                <w:szCs w:val="24"/>
              </w:rPr>
              <w:t>Save Processed Data</w:t>
            </w:r>
          </w:p>
        </w:tc>
        <w:tc>
          <w:tcPr>
            <w:tcW w:w="3120" w:type="dxa"/>
            <w:shd w:val="clear" w:color="auto" w:fill="F7F9FB"/>
            <w:tcMar>
              <w:top w:w="120" w:type="dxa"/>
              <w:left w:w="150" w:type="dxa"/>
              <w:bottom w:w="120" w:type="dxa"/>
              <w:right w:w="150" w:type="dxa"/>
            </w:tcMar>
          </w:tcPr>
          <w:p w14:paraId="7CF4FC23" w14:textId="77777777" w:rsidR="00342FF7" w:rsidRPr="003C4B0F" w:rsidRDefault="00E4721E">
            <w:pPr>
              <w:spacing w:after="0"/>
              <w:rPr>
                <w:color w:val="000000" w:themeColor="text1"/>
                <w:sz w:val="24"/>
                <w:szCs w:val="24"/>
              </w:rPr>
            </w:pPr>
            <w:r w:rsidRPr="003C4B0F">
              <w:rPr>
                <w:color w:val="000000" w:themeColor="text1"/>
                <w:sz w:val="24"/>
                <w:szCs w:val="24"/>
              </w:rPr>
              <w:t>Commits fully clean, partitioned data structures into secondary staging layers to secure absolute operational analytics continuity.</w:t>
            </w:r>
          </w:p>
        </w:tc>
        <w:tc>
          <w:tcPr>
            <w:tcW w:w="3120" w:type="dxa"/>
            <w:shd w:val="clear" w:color="auto" w:fill="F7F9FB"/>
            <w:tcMar>
              <w:top w:w="120" w:type="dxa"/>
              <w:left w:w="150" w:type="dxa"/>
              <w:bottom w:w="120" w:type="dxa"/>
              <w:right w:w="150" w:type="dxa"/>
            </w:tcMar>
          </w:tcPr>
          <w:p w14:paraId="5D79BF3A" w14:textId="77777777" w:rsidR="00342FF7" w:rsidRPr="003C4B0F" w:rsidRDefault="00E4721E">
            <w:pPr>
              <w:spacing w:after="0"/>
              <w:rPr>
                <w:color w:val="000000" w:themeColor="text1"/>
                <w:sz w:val="24"/>
                <w:szCs w:val="24"/>
              </w:rPr>
            </w:pPr>
            <w:r w:rsidRPr="003C4B0F">
              <w:rPr>
                <w:color w:val="000000" w:themeColor="text1"/>
                <w:sz w:val="24"/>
                <w:szCs w:val="24"/>
              </w:rPr>
              <w:t xml:space="preserve">Extracts verified records directly into compressed </w:t>
            </w:r>
            <w:r w:rsidRPr="003C4B0F">
              <w:rPr>
                <w:b/>
                <w:color w:val="000000" w:themeColor="text1"/>
                <w:sz w:val="24"/>
                <w:szCs w:val="24"/>
              </w:rPr>
              <w:t xml:space="preserve">Parquet </w:t>
            </w:r>
            <w:r w:rsidRPr="003C4B0F">
              <w:rPr>
                <w:color w:val="000000" w:themeColor="text1"/>
                <w:sz w:val="24"/>
                <w:szCs w:val="24"/>
              </w:rPr>
              <w:t xml:space="preserve">repositories and schedules automated pipeline gateway synchronization. </w:t>
            </w:r>
          </w:p>
        </w:tc>
      </w:tr>
    </w:tbl>
    <w:p w14:paraId="6EB3B74F" w14:textId="77777777" w:rsidR="00E4721E" w:rsidRPr="003C4B0F" w:rsidRDefault="00E4721E">
      <w:pPr>
        <w:rPr>
          <w:color w:val="000000" w:themeColor="text1"/>
          <w:sz w:val="24"/>
          <w:szCs w:val="24"/>
        </w:rPr>
      </w:pPr>
    </w:p>
    <w:sectPr w:rsidR="00E4721E" w:rsidRPr="003C4B0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9035423">
    <w:abstractNumId w:val="8"/>
  </w:num>
  <w:num w:numId="2" w16cid:durableId="1152285135">
    <w:abstractNumId w:val="6"/>
  </w:num>
  <w:num w:numId="3" w16cid:durableId="614675016">
    <w:abstractNumId w:val="5"/>
  </w:num>
  <w:num w:numId="4" w16cid:durableId="1347975065">
    <w:abstractNumId w:val="4"/>
  </w:num>
  <w:num w:numId="5" w16cid:durableId="562914052">
    <w:abstractNumId w:val="7"/>
  </w:num>
  <w:num w:numId="6" w16cid:durableId="604003888">
    <w:abstractNumId w:val="3"/>
  </w:num>
  <w:num w:numId="7" w16cid:durableId="2116944479">
    <w:abstractNumId w:val="2"/>
  </w:num>
  <w:num w:numId="8" w16cid:durableId="1344815923">
    <w:abstractNumId w:val="1"/>
  </w:num>
  <w:num w:numId="9" w16cid:durableId="133301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607"/>
    <w:rsid w:val="0029639D"/>
    <w:rsid w:val="002D4587"/>
    <w:rsid w:val="00326F90"/>
    <w:rsid w:val="00342FF7"/>
    <w:rsid w:val="003C4B0F"/>
    <w:rsid w:val="00AA1D8D"/>
    <w:rsid w:val="00B47730"/>
    <w:rsid w:val="00CB0664"/>
    <w:rsid w:val="00E472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ED763F"/>
  <w14:defaultImageDpi w14:val="300"/>
  <w15:docId w15:val="{41EA1B69-5830-422F-B936-81ECC6726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385</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Ananda Sowjanya</cp:lastModifiedBy>
  <cp:revision>2</cp:revision>
  <dcterms:created xsi:type="dcterms:W3CDTF">2026-09-20T13:39:00Z</dcterms:created>
  <dcterms:modified xsi:type="dcterms:W3CDTF">2026-09-20T13:39:00Z</dcterms:modified>
  <cp:category/>
</cp:coreProperties>
</file>