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Personal Chief of Staff Agent</w:t>
      </w:r>
    </w:p>
    <w:p>
      <w:pPr>
        <w:spacing w:after="40"/>
      </w:pPr>
      <w:r>
        <w:rPr>
          <w:color w:val="2E75B6"/>
          <w:sz w:val="32"/>
          <w:szCs w:val="32"/>
        </w:rPr>
        <w:t xml:space="preserve">Requirements Specification</w:t>
      </w:r>
    </w:p>
    <w:p>
      <w:pPr>
        <w:pBdr>
          <w:bottom w:val="single" w:color="BF9000" w:sz="12" w:space="4"/>
        </w:pBdr>
        <w:spacing w:after="160"/>
      </w:pPr>
      <w:r>
        <w:rPr>
          <w:color w:val="595959"/>
          <w:sz w:val="20"/>
          <w:szCs w:val="20"/>
        </w:rPr>
        <w:t xml:space="preserve">Version 2.4  ·  Two-user household build, single-user build</w:t>
      </w:r>
    </w:p>
    <w:p>
      <w:pPr>
        <w:spacing w:after="120" w:line="276"/>
      </w:pPr>
      <w:r>
        <w:t xml:space="preserve">This revision consolidates four rounds of design refinement on top of v1.0: a coverage review (NFRs, expanded data model, proactive capabilities), a personal single-user scoping with no office-system integration, the introduction of an advisory “System of Judgment,” and a portfolio-agnostic Initiative engine validated against an externally-researched certification goal.</w:t>
      </w:r>
    </w:p>
    <w:p>
      <w:pPr>
        <w:spacing w:after="60"/>
      </w:pPr>
      <w:r>
        <w:t xml:space="preserve"/>
      </w:r>
    </w:p>
    <w:p>
      <w:pPr>
        <w:spacing w:after="80"/>
      </w:pPr>
      <w:r>
        <w:rPr>
          <w:b/>
          <w:bCs/>
          <w:color w:val="1F3864"/>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Change Log (v1.0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Round</w:t>
            </w:r>
          </w:p>
        </w:tc>
        <w:tc>
          <w:tcPr>
            <w:tcW w:type="dxa" w:w="7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What changed</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R1 — Coverage review</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Added Non-Functional Requirements; expanded data model; added Blocked/Waiting and Delegated lifecycle states; introduced proactive capabilities (overload detection, follow-up tracking, slippage prediction, daily briefing, approval-first execution, preference learning); split the system into System of Record vs System of Action; added MoSCoW prioritisation and scenario traceability.</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R2 — Personal scoping</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Re-architected as a single-user personal agent with no office Outlook/calendar access. Introduced the two-speed model (integration-driven personal half; capture/template-driven professional half), the capture layer as top priority, the end-of-day completeness sweep, the Schedule-Exception entity, the calendar-bridge fallback ladder, the office data-handling boundary, and removed all multi-user/sharing scope.</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R3 — System of Judgment</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Added the advisory loop (recommend → confirm → operationalise), the Initiative object with stage gates, the anti-ideation invariant, momentum/stall detection, notes-to-action ingestion, and the People/stakeholder enablement register.</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R4 — Portfolio-agnostic engine</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Added knowledge_source modes and external_deadline to the Initiative object, autonomous requirement research, and a knowledge re-validation cadence. Wired study-plan generation (FR9) and capacity scheduling (FR5) into the Initiative engine so the same loop serves Office, Personal Development, and Personal Life goals.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R5 — Views &amp; multi-modal capture</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Added today / day / week calendar views of all scheduled activities (FR28); formalised multi-modal capture — text, voice, and image — as first-class input with provenance (FR29); and confirmed that Personal Life activities such as vacation planning are fully in scope (Personal Life portfolio + Task &amp; Event entities + recurrence), with that coverage now stated explicitly in Section 10.</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R6 — MCP connector layer</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Added MCP as the integration fabric: a connector layer and recommended trusted servers (Section 17.1), three new capabilities they unlock — a persistent memory layer (FR30), knowledge retrieval over the owner’s own notes (FR31), and approval-gated web action (FR32) — a connector trust &amp; scoping policy (NFR-8), and a correction to Scenario A noting that connectors may remind and track renewals but may not execute payment under the Anthropic MCP Directory Policy.</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R7 — Consult mode &amp; investments</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Added a non-directive conversational / sounding-board mode (FR33) as the second register of the System of Judgment — talking and seeking opinion without forced filing or planning — with two supporting clarifications (a conversation-vs-actionable gate on capture, and the anti-ideation invariant restated as initiative-scoped). Added read-only investment/portfolio status (FR34) via the official first-party Robinhood MCP — information only, never trading — extending NFR-8 accordingly.</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R8 — Multi-user household</w:t>
            </w:r>
          </w:p>
        </w:tc>
        <w:tc>
          <w:tcPr>
            <w:tcW w:type="dxa" w:w="7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Reversed the single-user assumption: the app now serves two independent, fully isolated tenants (e.g. two spouses) with no data exchange except one consent-gated bridge. Added multi-tenant tenancy with database-enforced isolation (FR35, NFR-7 rewritten), authentication via Clerk as individual users (FR36, NFR-9), a cross-user hand-off — invitation → accept/decline → copy-on-accept (FR37), and scheduled / interval push reminders (FR38). Updated scope, data model, architecture, and out-of-scope accordingly.</w:t>
            </w:r>
          </w:p>
        </w:tc>
      </w:tr>
    </w:tbl>
    <w:p>
      <w:pPr>
        <w:pStyle w:val="Heading1"/>
      </w:pPr>
      <w:r>
        <w:t xml:space="preserve">1. Vision</w:t>
      </w:r>
    </w:p>
    <w:p>
      <w:pPr>
        <w:spacing w:after="120" w:line="276"/>
      </w:pPr>
      <w:r>
        <w:t xml:space="preserve">Build a Personal Chief of Staff Agent — a private, single-user system — that manages Office, Personal Development, and Personal Life activity through one natural-language entry point. Beyond capture, planning, reminders, replanning, reporting, and persistent history, the agent advises: given a situation, discussion note, or goal, it recommends a course of action, and once confirmed, turns that recommendation into a tracked plan with owners, dates, and a heartbeat.</w:t>
      </w:r>
    </w:p>
    <w:p>
      <w:pPr>
        <w:spacing w:after="120" w:line="276"/>
      </w:pPr>
      <w:r>
        <w:rPr>
          <w:b/>
          <w:bCs/>
        </w:rPr>
        <w:t xml:space="preserve">Three operating modes. </w:t>
      </w:r>
      <w:r>
        <w:t xml:space="preserve">The agent is defined by three layers working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Mode</w:t>
            </w:r>
          </w:p>
        </w:tc>
        <w:tc>
          <w:tcPr>
            <w:tcW w:type="dxa" w:w="4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Purpose</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Primary requirements</w:t>
            </w:r>
          </w:p>
        </w:tc>
      </w:tr>
      <w:tr>
        <w:trPr>
          <w:tblHeader w:val="false"/>
        </w:trPr>
        <w:tc>
          <w:tcPr>
            <w:tcW w:type="dxa" w:w="2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System of Record</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Never lose anything. Persistent ledger, decisions, events, audit, history.</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FR1–FR3, FR11–FR14</w:t>
            </w:r>
          </w:p>
        </w:tc>
      </w:tr>
      <w:tr>
        <w:trPr>
          <w:tblHeader w:val="false"/>
        </w:trPr>
        <w:tc>
          <w:tcPr>
            <w:tcW w:type="dxa" w:w="2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System of Action</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Plan, schedule, remind, detect misses, replan, report, brief.</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FR4–FR10</w:t>
            </w:r>
          </w:p>
        </w:tc>
      </w:tr>
      <w:tr>
        <w:trPr>
          <w:tblHeader w:val="false"/>
        </w:trPr>
        <w:tc>
          <w:tcPr>
            <w:tcW w:type="dxa" w:w="2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System of Judgment</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Recommend, decide with the user, operationalise, drive initiatives to outcomes.</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FR15–FR21</w:t>
            </w:r>
          </w:p>
        </w:tc>
      </w:tr>
    </w:tbl>
    <w:p>
      <w:pPr>
        <w:spacing w:after="120" w:line="276"/>
      </w:pPr>
      <w:r>
        <w:t xml:space="preserve">Most of v1 covered the System of Record well and the System of Action thinly. v2 completes the System of Action and adds the System of Judgment, which is what makes this a chief of staff rather than a task list.</w:t>
      </w:r>
    </w:p>
    <w:p>
      <w:pPr>
        <w:pStyle w:val="Heading1"/>
      </w:pPr>
      <w:r>
        <w:t xml:space="preserve">2. Core Problem Statement</w:t>
      </w:r>
    </w:p>
    <w:p>
      <w:pPr>
        <w:spacing w:after="120" w:line="276"/>
      </w:pPr>
      <w:r>
        <w:t xml:space="preserve">Tasks, deadlines, decisions, study plans, commitments, and follow-ups are lost across work and personal life. Chat history alone is insufficient and non-persistent. Two failure modes matter most:</w:t>
      </w:r>
    </w:p>
    <w:p>
      <w:pPr>
        <w:pStyle w:val="ListParagraph"/>
        <w:numPr>
          <w:ilvl w:val="0"/>
          <w:numId w:val="2"/>
        </w:numPr>
        <w:spacing w:after="60" w:line="276"/>
      </w:pPr>
      <w:r>
        <w:rPr>
          <w:b/>
          <w:bCs/>
        </w:rPr>
        <w:t xml:space="preserve">Loss: </w:t>
      </w:r>
      <w:r>
        <w:t xml:space="preserve">commitments and context disappear because nothing durable captured them.</w:t>
      </w:r>
    </w:p>
    <w:p>
      <w:pPr>
        <w:pStyle w:val="ListParagraph"/>
        <w:numPr>
          <w:ilvl w:val="0"/>
          <w:numId w:val="2"/>
        </w:numPr>
        <w:spacing w:after="60" w:line="276"/>
      </w:pPr>
      <w:r>
        <w:rPr>
          <w:b/>
          <w:bCs/>
        </w:rPr>
        <w:t xml:space="preserve">Stalling: </w:t>
      </w:r>
      <w:r>
        <w:t xml:space="preserve">good ideas (initiatives, certifications, improvements) never convert into outcomes because no mechanism forces a next concrete action.</w:t>
      </w:r>
    </w:p>
    <w:p>
      <w:pPr>
        <w:spacing w:after="120" w:line="276"/>
      </w:pPr>
      <w:r>
        <w:t xml:space="preserve">The system must provide a persistent, searchable execution platform that also actively prevents stalling.</w:t>
      </w:r>
    </w:p>
    <w:p>
      <w:pPr>
        <w:pStyle w:val="Heading1"/>
      </w:pPr>
      <w:r>
        <w:t xml:space="preserve">3. Scope &amp; Operating Constraints</w:t>
      </w:r>
    </w:p>
    <w:p>
      <w:pPr>
        <w:pStyle w:val="ListParagraph"/>
        <w:numPr>
          <w:ilvl w:val="0"/>
          <w:numId w:val="2"/>
        </w:numPr>
        <w:spacing w:after="60" w:line="276"/>
      </w:pPr>
      <w:r>
        <w:rPr>
          <w:b/>
          <w:bCs/>
        </w:rPr>
        <w:t xml:space="preserve">Two private tenants, fully isolated. </w:t>
      </w:r>
      <w:r>
        <w:t xml:space="preserve">The app serves two independent users (e.g. two spouses), each with their own complete Chief of Staff. There is absolutely no data exchange between tenants — enforced at the database layer (NFR-7), not just in application code.</w:t>
      </w:r>
    </w:p>
    <w:p>
      <w:pPr>
        <w:pStyle w:val="ListParagraph"/>
        <w:numPr>
          <w:ilvl w:val="0"/>
          <w:numId w:val="2"/>
        </w:numPr>
        <w:spacing w:after="60" w:line="276"/>
      </w:pPr>
      <w:r>
        <w:rPr>
          <w:b/>
          <w:bCs/>
        </w:rPr>
        <w:t xml:space="preserve">One consent-gated bridge. </w:t>
      </w:r>
      <w:r>
        <w:t xml:space="preserve">The single permitted cross-tenant action is a hand-off: either user may send the other a task or reminder, which the recipient must accept before anything enters their ledger (Section 3.1, FR37).</w:t>
      </w:r>
    </w:p>
    <w:p>
      <w:pPr>
        <w:pStyle w:val="ListParagraph"/>
        <w:numPr>
          <w:ilvl w:val="0"/>
          <w:numId w:val="2"/>
        </w:numPr>
        <w:spacing w:after="60" w:line="276"/>
      </w:pPr>
      <w:r>
        <w:rPr>
          <w:b/>
          <w:bCs/>
        </w:rPr>
        <w:t xml:space="preserve">No office-system integration. </w:t>
      </w:r>
      <w:r>
        <w:t xml:space="preserve">Neither user’s agent has direct access to office Outlook, office calendar, or any client system. The professional half is fed manually.</w:t>
      </w:r>
    </w:p>
    <w:p>
      <w:pPr>
        <w:pStyle w:val="ListParagraph"/>
        <w:numPr>
          <w:ilvl w:val="0"/>
          <w:numId w:val="2"/>
        </w:numPr>
        <w:spacing w:after="60" w:line="276"/>
      </w:pPr>
      <w:r>
        <w:rPr>
          <w:b/>
          <w:bCs/>
        </w:rPr>
        <w:t xml:space="preserve">Two-speed by design. </w:t>
      </w:r>
      <w:r>
        <w:t xml:space="preserve">The personal half may integrate normally (personal calendar/email); the professional half is capture- and template-driven. See Section 5.</w:t>
      </w:r>
    </w:p>
    <w:p>
      <w:pPr>
        <w:pStyle w:val="ListParagraph"/>
        <w:numPr>
          <w:ilvl w:val="0"/>
          <w:numId w:val="2"/>
        </w:numPr>
        <w:spacing w:after="60" w:line="276"/>
      </w:pPr>
      <w:r>
        <w:rPr>
          <w:b/>
          <w:bCs/>
        </w:rPr>
        <w:t xml:space="preserve">Per-tenant data boundary. </w:t>
      </w:r>
      <w:r>
        <w:t xml:space="preserve">Each tenant’s sensitive context (coded office references, finances) is isolated and never visible to the other; the abstraction convention and model routing still apply (NFR-2).</w:t>
      </w:r>
    </w:p>
    <w:p>
      <w:pPr>
        <w:pStyle w:val="Heading2"/>
      </w:pPr>
      <w:r>
        <w:t xml:space="preserve">3.1 Multi-tenant model &amp; the cross-user hand-off</w:t>
      </w:r>
    </w:p>
    <w:p>
      <w:pPr>
        <w:spacing w:after="120" w:line="276"/>
      </w:pPr>
      <w:r>
        <w:t xml:space="preserve">Conceptually the system is two separate Chief of Staff instances sharing one app shell, with exactly one narrow channel between them.</w:t>
      </w:r>
    </w:p>
    <w:p>
      <w:pPr>
        <w:spacing w:after="120" w:line="276"/>
      </w:pPr>
      <w:r>
        <w:rPr>
          <w:b/>
          <w:bCs/>
        </w:rPr>
        <w:t xml:space="preserve">Isolation. </w:t>
      </w:r>
      <w:r>
        <w:t xml:space="preserve">Every record carries an owner; isolation is enforced by Postgres Row-Level Security, so a query for one user physically cannot return the other’s rows. Authentication (Clerk, FR36) supplies the verified user identity that the row-level policies key on — Clerk authenticates who you are; row-level security isolates the data.</w:t>
      </w:r>
    </w:p>
    <w:p>
      <w:pPr>
        <w:spacing w:after="120" w:line="276"/>
      </w:pPr>
      <w:r>
        <w:rPr>
          <w:b/>
          <w:bCs/>
        </w:rPr>
        <w:t xml:space="preserve">The hand-off (copy-on-accept). </w:t>
      </w:r>
      <w:r>
        <w:t xml:space="preserve">A hand-off is not shared data; it is a message the recipient chooses to instantiate. The sender composes a task/reminder and picks the recipient; this creates an invitation carrying only the typed fields — nothing is read from or written to the recipient’s ledger. The recipient is notified and may Accept or Decline. On Accept, a new task is created in the recipient’s own ledger and calendar and then decoupled; the sender sees only accepted/declined status, never anything downstream. This one-time consented transfer is the only object permitted to cross tenants.</w:t>
      </w:r>
    </w:p>
    <w:p>
      <w:pPr>
        <w:spacing w:after="120" w:line="276"/>
      </w:pPr>
      <w:r>
        <w:rPr>
          <w:b/>
          <w:bCs/>
        </w:rPr>
        <w:t xml:space="preserve">Shared metadata is minimal. </w:t>
      </w:r>
      <w:r>
        <w:t xml:space="preserve">Only a two-person household roster (to select each other by name) and the accept/decline status of sent invitations. Nothing else is shared.</w:t>
      </w:r>
    </w:p>
    <w:p>
      <w:pPr>
        <w:pStyle w:val="Heading1"/>
      </w:pPr>
      <w:r>
        <w:t xml:space="preserve">4. User Schedule &amp; Planning Template</w:t>
      </w:r>
    </w:p>
    <w:p>
      <w:pPr>
        <w:spacing w:after="120" w:line="276"/>
      </w:pPr>
      <w:r>
        <w:t xml:space="preserve">The owner runs a deterministic weekly template. The agent plans against this template by default and only requires the owner to log exceptions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Weekday block</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Time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Study (deep focus)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4:30–5:30 AM</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Office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7:30 AM–5:00 PM</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Gym / Walk</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6:00–8:00 PM</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Family</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8:00–9:00 PM</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Reading</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9:15–10:00 PM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Weekend block</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Allocation</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Badminton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2 hours</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Household chores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As needed</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Self-work</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2 hours/day</w:t>
            </w:r>
          </w:p>
        </w:tc>
      </w:tr>
    </w:tbl>
    <w:p>
      <w:pPr>
        <w:spacing w:after="120" w:line="276"/>
      </w:pPr>
      <w:r>
        <w:rPr>
          <w:b/>
          <w:bCs/>
        </w:rPr>
        <w:t xml:space="preserve">Planning rules. </w:t>
      </w:r>
      <w:r>
        <w:t xml:space="preserve">(1) Office work is scheduled within office hours unless an explicit exception overrides it. (2) Task type is matched to block character — deep/cognitive work to the 4:30–5:30 study slot and weekend self-work; admin and quick actions to gaps. (3) Family (8–9 PM) and Reading (9:15–10 PM) are quiet hours: no non-critical notifications.</w:t>
      </w:r>
    </w:p>
    <w:p>
      <w:pPr>
        <w:pStyle w:val="Heading1"/>
      </w:pPr>
      <w:r>
        <w:t xml:space="preserve">5. Two-Speed Architecture</w:t>
      </w:r>
    </w:p>
    <w:p>
      <w:pPr>
        <w:spacing w:after="120" w:line="276"/>
      </w:pPr>
      <w:r>
        <w:t xml:space="preserve">One unified ledger, fed by two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Half</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Mechanism</w:t>
            </w:r>
          </w:p>
        </w:tc>
        <w:tc>
          <w:tcPr>
            <w:tcW w:type="dxa" w:w="5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Sources &amp; behaviour</w:t>
            </w:r>
          </w:p>
        </w:tc>
      </w:tr>
      <w:tr>
        <w:trPr>
          <w:tblHeader w:val="false"/>
        </w:trPr>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Personal</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Integration-driven</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Personal calendar/email, finance reminders (e.g. LIC), bookings. Retains full proactive features — conflict detection, real reminders, auto-capture where a connector exists.</w:t>
            </w:r>
          </w:p>
        </w:tc>
      </w:tr>
      <w:tr>
        <w:trPr>
          <w:tblHeader w:val="false"/>
        </w:trPr>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Professional</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Capture + template-driven</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 manually maintained shadow ledger. The agent never reads work systems. It plans the office block against the weekly template and the owner logs only deltas (a 2 PM call, an offsite, a slipped deadline) plus discussion notes and activities to plan.</w:t>
            </w:r>
          </w:p>
        </w:tc>
      </w:tr>
    </w:tbl>
    <w:p>
      <w:pPr>
        <w:pStyle w:val="Heading2"/>
      </w:pPr>
      <w:r>
        <w:t xml:space="preserve">5.1 Calendar-Bridge Fallback Ladder</w:t>
      </w:r>
    </w:p>
    <w:p>
      <w:pPr>
        <w:spacing w:after="120" w:line="276"/>
      </w:pPr>
      <w:r>
        <w:t xml:space="preserve">Design for graceful degradation; use the highest tier office IT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900"/>
        <w:gridCol w:w="28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Tier</w:t>
            </w:r>
          </w:p>
        </w:tc>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Approach</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Access required</w:t>
            </w:r>
          </w:p>
        </w:tc>
        <w:tc>
          <w:tcPr>
            <w:tcW w:type="dxa" w:w="2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Trade-off</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1 (best)</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Read-only ICS subscription</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Published read-only internet calendar URL (no credentials, no write, no app perms)</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Near-zero loss on planning; lowest security bar IT usually allows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2 (middle)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Personal-calendar mirror</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Owner mirrors key office deadlines into the personal calendar</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Manual but durable; only key items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3 (worst, still fine)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Morning paste / voice / screenshot sync</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None</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~5 min/day; combined with the template this is genuinely workable</w:t>
            </w:r>
          </w:p>
        </w:tc>
      </w:tr>
    </w:tbl>
    <w:p>
      <w:pPr>
        <w:pStyle w:val="Heading1"/>
      </w:pPr>
      <w:r>
        <w:t xml:space="preserve">6. Capture Layer (Top Priority)</w:t>
      </w:r>
    </w:p>
    <w:p>
      <w:pPr>
        <w:spacing w:after="120" w:line="276"/>
      </w:pPr>
      <w:r>
        <w:t xml:space="preserve">With no office auto-capture, capture friction is the single make-or-break factor. Every office commitment enters by hand, so capture must be near-frictionless and completeness must be guaranteed by a closing ritual.</w:t>
      </w:r>
    </w:p>
    <w:p>
      <w:pPr>
        <w:pStyle w:val="Heading2"/>
      </w:pPr>
      <w:r>
        <w:t xml:space="preserve">6.1 Input modalities — text, voice, image (FR29)</w:t>
      </w:r>
    </w:p>
    <w:p>
      <w:pPr>
        <w:spacing w:after="120" w:line="276"/>
      </w:pPr>
      <w:r>
        <w:t xml:space="preserve">The single entry point accepts three modalities, all routed to the same classifier and ledger, each retaining its Source/Provenance in the audit trail:</w:t>
      </w:r>
    </w:p>
    <w:p>
      <w:pPr>
        <w:pStyle w:val="ListParagraph"/>
        <w:numPr>
          <w:ilvl w:val="0"/>
          <w:numId w:val="2"/>
        </w:numPr>
        <w:spacing w:after="60" w:line="276"/>
      </w:pPr>
      <w:r>
        <w:rPr>
          <w:b/>
          <w:bCs/>
        </w:rPr>
        <w:t xml:space="preserve">Text — </w:t>
      </w:r>
      <w:r>
        <w:t xml:space="preserve">typed quick-add and conversational situations for the advisory loop.</w:t>
      </w:r>
    </w:p>
    <w:p>
      <w:pPr>
        <w:pStyle w:val="ListParagraph"/>
        <w:numPr>
          <w:ilvl w:val="0"/>
          <w:numId w:val="2"/>
        </w:numPr>
        <w:spacing w:after="60" w:line="276"/>
      </w:pPr>
      <w:r>
        <w:rPr>
          <w:b/>
          <w:bCs/>
        </w:rPr>
        <w:t xml:space="preserve">Voice — </w:t>
      </w:r>
      <w:r>
        <w:t xml:space="preserve">a spoken note is transcribed then classified; ideal for hands-free capture during the commute, a walk, or the gym block.</w:t>
      </w:r>
    </w:p>
    <w:p>
      <w:pPr>
        <w:pStyle w:val="ListParagraph"/>
        <w:numPr>
          <w:ilvl w:val="0"/>
          <w:numId w:val="2"/>
        </w:numPr>
        <w:spacing w:after="60" w:line="276"/>
      </w:pPr>
      <w:r>
        <w:rPr>
          <w:b/>
          <w:bCs/>
        </w:rPr>
        <w:t xml:space="preserve">Image — </w:t>
      </w:r>
      <w:r>
        <w:t xml:space="preserve">a photo or screenshot (a travel itinerary, a whiteboard, an Outlook day, a bill/renewal notice) is read with vision OCR and parsed into tasks, events, or due dates — the same Vision pattern used elsewhere, repurposed for capture.</w:t>
      </w:r>
    </w:p>
    <w:p>
      <w:pPr>
        <w:spacing w:after="120" w:line="276"/>
      </w:pPr>
      <w:r>
        <w:rPr>
          <w:b/>
          <w:bCs/>
        </w:rPr>
        <w:t xml:space="preserve">Conversation-vs-actionable gate. </w:t>
      </w:r>
      <w:r>
        <w:t xml:space="preserve">Before filing, the classifier decides whether an input is actionable (a task/event/decision) or conversational (the owner thinking out loud or seeking an opinion). Conversational input is routed to consult mode (FR33) and is not auto-filed; only an explicit confirmation turns it into a ledger entry.</w:t>
      </w:r>
    </w:p>
    <w:p>
      <w:pPr>
        <w:pStyle w:val="Heading2"/>
      </w:pPr>
      <w:r>
        <w:t xml:space="preserve">6.2 Channels</w:t>
      </w:r>
    </w:p>
    <w:p>
      <w:pPr>
        <w:pStyle w:val="ListParagraph"/>
        <w:numPr>
          <w:ilvl w:val="0"/>
          <w:numId w:val="2"/>
        </w:numPr>
        <w:spacing w:after="60" w:line="276"/>
      </w:pPr>
      <w:r>
        <w:rPr>
          <w:b/>
          <w:bCs/>
        </w:rPr>
        <w:t xml:space="preserve">Quick-add: </w:t>
      </w:r>
      <w:r>
        <w:t xml:space="preserve">Telegram bot and voice note → transcription as the primary fast path (suits the Telegram + SQLite + cron stack already scoped).</w:t>
      </w:r>
    </w:p>
    <w:p>
      <w:pPr>
        <w:pStyle w:val="ListParagraph"/>
        <w:numPr>
          <w:ilvl w:val="0"/>
          <w:numId w:val="2"/>
        </w:numPr>
        <w:spacing w:after="60" w:line="276"/>
      </w:pPr>
      <w:r>
        <w:rPr>
          <w:b/>
          <w:bCs/>
        </w:rPr>
        <w:t xml:space="preserve">Paste / screenshot ingestion: </w:t>
      </w:r>
      <w:r>
        <w:t xml:space="preserve">paste an agenda or screenshot the Outlook day; the agent parses it into the day’s plan (Claude Vision pattern).</w:t>
      </w:r>
    </w:p>
    <w:p>
      <w:pPr>
        <w:pStyle w:val="ListParagraph"/>
        <w:numPr>
          <w:ilvl w:val="0"/>
          <w:numId w:val="2"/>
        </w:numPr>
        <w:spacing w:after="60" w:line="276"/>
      </w:pPr>
      <w:r>
        <w:rPr>
          <w:b/>
          <w:bCs/>
        </w:rPr>
        <w:t xml:space="preserve">Conversational: </w:t>
      </w:r>
      <w:r>
        <w:t xml:space="preserve">free-text situations, notes, and queries for the advisory loop (Section 9).</w:t>
      </w:r>
    </w:p>
    <w:p>
      <w:pPr>
        <w:pStyle w:val="Heading2"/>
      </w:pPr>
      <w:r>
        <w:t xml:space="preserve">6.3 End-of-Day Completeness Sweep</w:t>
      </w:r>
    </w:p>
    <w:p>
      <w:pPr>
        <w:spacing w:after="120" w:line="276"/>
      </w:pPr>
      <w:r>
        <w:t xml:space="preserve">A ~90-second evening prompt closes the loop and replaces inbox triage on the office side: “What did you commit to today, and what are you waiting on from whom?” This ritual is what keeps the professional ledger honest. Without it, completeness cannot be assured — the agent is only as complete as the owner’s capture discipline, and this is the mitigation.</w:t>
      </w:r>
    </w:p>
    <w:p>
      <w:pPr>
        <w:pStyle w:val="Heading1"/>
      </w:pPr>
      <w:r>
        <w:t xml:space="preserve">7. Functional Requirements</w:t>
      </w:r>
    </w:p>
    <w:p>
      <w:pPr>
        <w:spacing w:after="120" w:line="276"/>
      </w:pPr>
      <w:r>
        <w:t xml:space="preserve">MoSCoW: M = Must (MVP), S = Should, C = Could.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60"/>
        <w:gridCol w:w="2400"/>
        <w:gridCol w:w="13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ID</w:t>
            </w:r>
          </w:p>
        </w:tc>
        <w:tc>
          <w:tcPr>
            <w:tcW w:type="dxa" w:w="4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Requirement</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System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Priority</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Natural-language task capture (multi-channel)</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Automatic classification (Office / Personal Dev / Personal Life)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Goal &amp; Initiative management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 / 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FR4</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Calendar-aware planning (personal: integrated; office: template + manual)</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FR5</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Capacity-based scheduling (effort × available blocks; feeds the Initiative engine)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FR6</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Reminder engine (channel- and quiet-hours-aware)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Missed-task detection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FR8</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Automatic replanning (priority/dependency/deadline-aware)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FR9</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Study-plan generation (backward-planned; an output of the Initiative engine)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 / 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FR10</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Weekly &amp; monthly reporting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FR11</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Persistent task &amp; initiative ledger</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Decision &amp; recommendation repository (linked to tasks/initiatives)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 / 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FR13</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Search &amp; retrieval (vector + structured)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FR14</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Audit trail (extended to an approval/receipts log)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 / 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FR15</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Advisory / recommendation mode (options + reasoned pick)</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FR16</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Initiative management with stage gates &amp; never-empty next action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Momentum / stall detection (heartbeat per initiative)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FR18</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Notes-to-action extraction (decisions, actions, questions, waiting-ons)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FR19</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People / stakeholder enablement register</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FR20</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Autonomous requirement research (externally-researched goals)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FR21</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Knowledge re-validation cadence (re-check external requirements; flag drift)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C</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Proactive overload &amp; conflict detection (“what to drop”)</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 / 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FR23</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Commitment &amp; follow-up (“waiting-on”) tracking with auto-nudges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FR24</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Slippage / deadline-risk prediction (variance fed forward)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C</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FR25</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Daily briefing as a synthesised artifact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FR26</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Approval-first execution with graduated trust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Preference &amp; estimation learning (calibrate from history)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C</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FR28</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Calendar &amp; date views — today, day, and week — of all scheduled activities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FR29</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Multi-modal capture (text, voice, image) with provenance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 / 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FR30</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Persistent memory layer via MCP (learned estimation, stakeholders, cadences)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 / 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FR31</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Knowledge retrieval over the owner’s own notes via MCP (“second brain”)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Approval-gated web action via MCP browser automation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C</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FR33</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Conversational / sounding-board mode — talk &amp; seek opinion, no forced filing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Judgment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FR34</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Investment / portfolio status (read-only) via official Robinhood MCP — no trading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 / 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S</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FR35</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Multi-user tenancy with database-enforced isolation (row-level security)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All</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FR36</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Authentication via Clerk — individual users (email / Google / passkey), not orgs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All</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Cross-user hand-off — invitation → accept/decline → copy-on-accept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Record / 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FR38</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Scheduled / interval push reminders (Web Push primary; Pushover / Telegram / email)</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Action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M</w:t>
            </w:r>
          </w:p>
        </w:tc>
      </w:tr>
    </w:tbl>
    <w:p>
      <w:pPr>
        <w:pStyle w:val="Heading1"/>
      </w:pPr>
      <w:r>
        <w:t xml:space="preserve">8. Task &amp; Initiative Lifecycle</w:t>
      </w:r>
    </w:p>
    <w:p>
      <w:pPr>
        <w:pStyle w:val="Heading2"/>
      </w:pPr>
      <w:r>
        <w:t xml:space="preserve">8.1 Task states</w:t>
      </w:r>
    </w:p>
    <w:p>
      <w:pPr>
        <w:spacing w:after="120" w:line="276"/>
      </w:pPr>
      <w:r>
        <w:t xml:space="preserve">v1’s lifecycle was too clean — real work stalls on other people. Added states: Blocked, Waiting (on someone), Delegated.</w:t>
      </w:r>
    </w:p>
    <w:p>
      <w:pPr>
        <w:pStyle w:val="ListParagraph"/>
        <w:numPr>
          <w:ilvl w:val="0"/>
          <w:numId w:val="2"/>
        </w:numPr>
        <w:spacing w:after="60" w:line="276"/>
      </w:pPr>
      <w:r>
        <w:t xml:space="preserve">Created → Planned → In Progress → Completed</w:t>
      </w:r>
    </w:p>
    <w:p>
      <w:pPr>
        <w:pStyle w:val="ListParagraph"/>
        <w:numPr>
          <w:ilvl w:val="0"/>
          <w:numId w:val="2"/>
        </w:numPr>
        <w:spacing w:after="60" w:line="276"/>
      </w:pPr>
      <w:r>
        <w:t xml:space="preserve">Created → Planned → Overdue → Replanned → Completed</w:t>
      </w:r>
    </w:p>
    <w:p>
      <w:pPr>
        <w:pStyle w:val="ListParagraph"/>
        <w:numPr>
          <w:ilvl w:val="0"/>
          <w:numId w:val="2"/>
        </w:numPr>
        <w:spacing w:after="60" w:line="276"/>
      </w:pPr>
      <w:r>
        <w:t xml:space="preserve">Created → Planned → Blocked / Waiting → (unblocked) → In Progress → Completed</w:t>
      </w:r>
    </w:p>
    <w:p>
      <w:pPr>
        <w:pStyle w:val="ListParagraph"/>
        <w:numPr>
          <w:ilvl w:val="0"/>
          <w:numId w:val="2"/>
        </w:numPr>
        <w:spacing w:after="60" w:line="276"/>
      </w:pPr>
      <w:r>
        <w:t xml:space="preserve">Created → Delegated → Waiting → Completed (with follow-up nudges)</w:t>
      </w:r>
    </w:p>
    <w:p>
      <w:pPr>
        <w:pStyle w:val="ListParagraph"/>
        <w:numPr>
          <w:ilvl w:val="0"/>
          <w:numId w:val="2"/>
        </w:numPr>
        <w:spacing w:after="60" w:line="276"/>
      </w:pPr>
      <w:r>
        <w:t xml:space="preserve">Created → Cancelled</w:t>
      </w:r>
    </w:p>
    <w:p>
      <w:pPr>
        <w:pStyle w:val="Heading2"/>
      </w:pPr>
      <w:r>
        <w:t xml:space="preserve">8.2 Initiative stages</w:t>
      </w:r>
    </w:p>
    <w:p>
      <w:pPr>
        <w:spacing w:after="120" w:line="276"/>
      </w:pPr>
      <w:r>
        <w:t xml:space="preserve">Initiatives (above tasks) progress through stage gates:</w:t>
      </w:r>
    </w:p>
    <w:p>
      <w:pPr>
        <w:spacing w:after="120" w:line="276"/>
      </w:pPr>
      <w:r>
        <w:rPr>
          <w:b/>
          <w:bCs/>
        </w:rPr>
        <w:t xml:space="preserve">Idea → Validated → In Dev → Piloted → Adopted</w:t>
      </w:r>
      <w:r>
        <w:t xml:space="preserve">  — with a Stalled flag (Section 9.2) that can attach at any active stage.</w:t>
      </w:r>
    </w:p>
    <w:p>
      <w:pPr>
        <w:pStyle w:val="Heading1"/>
      </w:pPr>
      <w:r>
        <w:t xml:space="preserve">9. Initiative &amp; Advisory Model (System of Judgment)</w:t>
      </w:r>
    </w:p>
    <w:p>
      <w:pPr>
        <w:pStyle w:val="Heading2"/>
      </w:pPr>
      <w:r>
        <w:t xml:space="preserve">9.1 The Initiative object &amp; the advisory loop</w:t>
      </w:r>
    </w:p>
    <w:p>
      <w:pPr>
        <w:spacing w:after="120" w:line="276"/>
      </w:pPr>
      <w:r>
        <w:t xml:space="preserve">An Initiative sits above Task and represents something driven to an outcome (e.g. a tool taken to adoption, a certification earned, a behaviour established on a team). The advisory loop is the core flow:</w:t>
      </w:r>
    </w:p>
    <w:p>
      <w:pPr>
        <w:pStyle w:val="ListParagraph"/>
        <w:numPr>
          <w:ilvl w:val="0"/>
          <w:numId w:val="3"/>
        </w:numPr>
        <w:spacing w:after="60" w:line="276"/>
      </w:pPr>
      <w:r>
        <w:rPr>
          <w:b/>
          <w:bCs/>
        </w:rPr>
        <w:t xml:space="preserve">Situation in. </w:t>
      </w:r>
      <w:r>
        <w:t xml:space="preserve">A free-text situation, a goal, or pasted discussion notes.</w:t>
      </w:r>
    </w:p>
    <w:p>
      <w:pPr>
        <w:pStyle w:val="ListParagraph"/>
        <w:numPr>
          <w:ilvl w:val="0"/>
          <w:numId w:val="3"/>
        </w:numPr>
        <w:spacing w:after="60" w:line="276"/>
      </w:pPr>
      <w:r>
        <w:rPr>
          <w:b/>
          <w:bCs/>
        </w:rPr>
        <w:t xml:space="preserve">Recommend. </w:t>
      </w:r>
      <w:r>
        <w:t xml:space="preserve">The agent returns 2–3 options with explicit trade-offs and a reasoned pick — not just tone variants.</w:t>
      </w:r>
    </w:p>
    <w:p>
      <w:pPr>
        <w:pStyle w:val="ListParagraph"/>
        <w:numPr>
          <w:ilvl w:val="0"/>
          <w:numId w:val="3"/>
        </w:numPr>
        <w:spacing w:after="60" w:line="276"/>
      </w:pPr>
      <w:r>
        <w:rPr>
          <w:b/>
          <w:bCs/>
        </w:rPr>
        <w:t xml:space="preserve">Confirm. </w:t>
      </w:r>
      <w:r>
        <w:t xml:space="preserve">The owner confirms or edits the chosen path.</w:t>
      </w:r>
    </w:p>
    <w:p>
      <w:pPr>
        <w:pStyle w:val="ListParagraph"/>
        <w:numPr>
          <w:ilvl w:val="0"/>
          <w:numId w:val="3"/>
        </w:numPr>
        <w:spacing w:after="60" w:line="276"/>
      </w:pPr>
      <w:r>
        <w:rPr>
          <w:b/>
          <w:bCs/>
        </w:rPr>
        <w:t xml:space="preserve">Operationalise. </w:t>
      </w:r>
      <w:r>
        <w:t xml:space="preserve">The agent decomposes the choice into next steps with owners and dates, writes them to the ledger, and links them back to the originating decision (FR12).</w:t>
      </w:r>
    </w:p>
    <w:p>
      <w:pPr>
        <w:pStyle w:val="Heading2"/>
      </w:pPr>
      <w:r>
        <w:t xml:space="preserve">9.2 The anti-ideation invariant</w:t>
      </w:r>
    </w:p>
    <w:p>
      <w:pPr>
        <w:spacing w:after="120" w:line="276"/>
      </w:pPr>
      <w:r>
        <w:rPr>
          <w:b/>
          <w:bCs/>
          <w:i/>
          <w:iCs/>
        </w:rPr>
        <w:t xml:space="preserve">Every active initiative must always have a next concrete action and a next review date. If either is empty, it is flagged Stalled and surfaced in the daily brief.</w:t>
      </w:r>
    </w:p>
    <w:p>
      <w:pPr>
        <w:spacing w:after="120" w:line="276"/>
      </w:pPr>
      <w:r>
        <w:t xml:space="preserve">Two reinforcing mechanics:</w:t>
      </w:r>
    </w:p>
    <w:p>
      <w:pPr>
        <w:pStyle w:val="ListParagraph"/>
        <w:numPr>
          <w:ilvl w:val="0"/>
          <w:numId w:val="2"/>
        </w:numPr>
        <w:spacing w:after="60" w:line="276"/>
      </w:pPr>
      <w:r>
        <w:rPr>
          <w:b/>
          <w:bCs/>
        </w:rPr>
        <w:t xml:space="preserve">Outcome-not-activity. </w:t>
      </w:r>
      <w:r>
        <w:t xml:space="preserve">A step counts only if it produced an artifact or a decision. “Drafted the pilot scope” counts; “discussed it” does not.</w:t>
      </w:r>
    </w:p>
    <w:p>
      <w:pPr>
        <w:pStyle w:val="ListParagraph"/>
        <w:numPr>
          <w:ilvl w:val="0"/>
          <w:numId w:val="2"/>
        </w:numPr>
        <w:spacing w:after="60" w:line="276"/>
      </w:pPr>
      <w:r>
        <w:rPr>
          <w:b/>
          <w:bCs/>
        </w:rPr>
        <w:t xml:space="preserve">Stage-gate forcing question. </w:t>
      </w:r>
      <w:r>
        <w:t xml:space="preserve">To advance Idea → In Dev, the agent asks: “What is the smallest version that produces a real outcome, and who owns the first step by when?”</w:t>
      </w:r>
    </w:p>
    <w:p>
      <w:pPr>
        <w:pStyle w:val="Heading2"/>
      </w:pPr>
      <w:r>
        <w:t xml:space="preserve">9.3 Knowledge source modes</w:t>
      </w:r>
    </w:p>
    <w:p>
      <w:pPr>
        <w:spacing w:after="120" w:line="276"/>
      </w:pPr>
      <w:r>
        <w:t xml:space="preserve">What changes between initiatives is not the machinery but the source of the required knowledge. The Initiative object carries a knowledge_source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Mode</w:t>
            </w:r>
          </w:p>
        </w:tc>
        <w:tc>
          <w:tcPr>
            <w:tcW w:type="dxa" w:w="7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Meaning &amp; example</w:t>
            </w:r>
          </w:p>
        </w:tc>
      </w:tr>
      <w:tr>
        <w:trPr>
          <w:tblHeader w:val="false"/>
        </w:trPr>
        <w:tc>
          <w:tcPr>
            <w:tcW w:type="dxa" w:w="2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Self-supplied</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The owner is the domain expert and provides the content (e.g. an internal tool taken to adoption; a delivery initiative).</w:t>
            </w:r>
          </w:p>
        </w:tc>
      </w:tr>
      <w:tr>
        <w:trPr>
          <w:tblHeader w:val="false"/>
        </w:trPr>
        <w:tc>
          <w:tcPr>
            <w:tcW w:type="dxa" w:w="2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User-provided document</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The owner hands over a syllabus, PDF, or brief and the agent structures it (this is the original Scenario D pattern: “user provides exam date and syllabus”).</w:t>
            </w:r>
          </w:p>
        </w:tc>
      </w:tr>
      <w:tr>
        <w:trPr>
          <w:tblHeader w:val="false"/>
        </w:trPr>
        <w:tc>
          <w:tcPr>
            <w:tcW w:type="dxa" w:w="2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Agent-researched</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The agent autonomously researches what the goal requires (FR20) — e.g. a professional certification — and structures the requirement, then re-validates it on a cadence (FR21) because external requirements drift.</w:t>
            </w:r>
          </w:p>
        </w:tc>
      </w:tr>
    </w:tbl>
    <w:p>
      <w:pPr>
        <w:spacing w:after="120" w:line="276"/>
      </w:pPr>
      <w:r>
        <w:t xml:space="preserve">Once the requirement is structured, an externally-researched goal is just an Initiative with a fixed external_deadline and a known curriculum. The advisory loop, the capacity scheduler (backward-planning into study windows, weighted by curriculum), momentum tracking (now readiness tracking against the curriculum and practice scores), and replanning (missed-session rebalancing) all apply unchanged. This is what makes the engine portfolio-agnostic across Office, Personal Development, and Personal Life.</w:t>
      </w:r>
    </w:p>
    <w:p>
      <w:pPr>
        <w:pStyle w:val="Heading2"/>
      </w:pPr>
      <w:r>
        <w:t xml:space="preserve">9.4 People / stakeholder enablement register</w:t>
      </w:r>
    </w:p>
    <w:p>
      <w:pPr>
        <w:spacing w:after="120" w:line="276"/>
      </w:pPr>
      <w:r>
        <w:t xml:space="preserve">To advise on shifting behaviour, the agent keeps lightweight per-person memory: role on which initiative, what the owner is trying to enable, the last nudge tried, and what tends to motivate them. Two principles: frame everything as enablement (clarity, ownership, momentum, recognition, unblocking) rather than manipulation; and treat these notes as the most sensitive data in the system — coded references, local storage.</w:t>
      </w:r>
    </w:p>
    <w:p>
      <w:pPr>
        <w:pStyle w:val="Heading2"/>
      </w:pPr>
      <w:r>
        <w:t xml:space="preserve">9.5 Momentum engine</w:t>
      </w:r>
    </w:p>
    <w:p>
      <w:pPr>
        <w:spacing w:after="120" w:line="276"/>
      </w:pPr>
      <w:r>
        <w:t xml:space="preserve">Per initiative the agent tracks: when it last moved forward, the next action, and whether the heartbeat is overdue. A weekly initiative review surfaces anything stalled, converting reporting from “tasks done” to “are my bets progressing.”</w:t>
      </w:r>
    </w:p>
    <w:p>
      <w:pPr>
        <w:pStyle w:val="Heading2"/>
      </w:pPr>
      <w:r>
        <w:t xml:space="preserve">9.6 Two registers of Judgment — advisory and consult (FR33)</w:t>
      </w:r>
    </w:p>
    <w:p>
      <w:pPr>
        <w:spacing w:after="120" w:line="276"/>
      </w:pPr>
      <w:r>
        <w:t xml:space="preserve">The System of Judgment operates in two registers. The first is the directive advisory loop above (recommend → confirm → operationalise), which exists to produce a plan. The second is a non-directive consult / sounding-board mode: the owner shares thoughts or seeks an opinion on an official or personal topic, with no obligation to reach a decision or file anything.</w:t>
      </w:r>
    </w:p>
    <w:p>
      <w:pPr>
        <w:pStyle w:val="ListParagraph"/>
        <w:numPr>
          <w:ilvl w:val="0"/>
          <w:numId w:val="2"/>
        </w:numPr>
        <w:spacing w:after="60" w:line="276"/>
      </w:pPr>
      <w:r>
        <w:rPr>
          <w:b/>
          <w:bCs/>
        </w:rPr>
        <w:t xml:space="preserve">Dialogue is the output. </w:t>
      </w:r>
      <w:r>
        <w:t xml:space="preserve">No forced classification, no auto-filing, no required plan. The conversation itself is the value.</w:t>
      </w:r>
    </w:p>
    <w:p>
      <w:pPr>
        <w:pStyle w:val="ListParagraph"/>
        <w:numPr>
          <w:ilvl w:val="0"/>
          <w:numId w:val="2"/>
        </w:numPr>
        <w:spacing w:after="60" w:line="276"/>
      </w:pPr>
      <w:r>
        <w:rPr>
          <w:b/>
          <w:bCs/>
        </w:rPr>
        <w:t xml:space="preserve">Grounded, not generic. </w:t>
      </w:r>
      <w:r>
        <w:t xml:space="preserve">Consult draws on the memory layer, decisions, initiatives, and the people register, so its opinion reflects the owner’s actual situation.</w:t>
      </w:r>
    </w:p>
    <w:p>
      <w:pPr>
        <w:pStyle w:val="ListParagraph"/>
        <w:numPr>
          <w:ilvl w:val="0"/>
          <w:numId w:val="2"/>
        </w:numPr>
        <w:spacing w:after="60" w:line="276"/>
      </w:pPr>
      <w:r>
        <w:rPr>
          <w:b/>
          <w:bCs/>
        </w:rPr>
        <w:t xml:space="preserve">Opt-in bridge. </w:t>
      </w:r>
      <w:r>
        <w:t xml:space="preserve">At a natural pause the agent may offer to capture something; only on the owner’s yes does anything enter the ledger.</w:t>
      </w:r>
    </w:p>
    <w:p>
      <w:pPr>
        <w:pStyle w:val="ListParagraph"/>
        <w:numPr>
          <w:ilvl w:val="0"/>
          <w:numId w:val="2"/>
        </w:numPr>
        <w:spacing w:after="60" w:line="276"/>
      </w:pPr>
      <w:r>
        <w:rPr>
          <w:b/>
          <w:bCs/>
        </w:rPr>
        <w:t xml:space="preserve">Exempt from the anti-ideation invariant. </w:t>
      </w:r>
      <w:r>
        <w:t xml:space="preserve">That rule is initiative-scoped; casual conversation is explicitly outside it.</w:t>
      </w:r>
    </w:p>
    <w:p>
      <w:pPr>
        <w:pStyle w:val="ListParagraph"/>
        <w:numPr>
          <w:ilvl w:val="0"/>
          <w:numId w:val="2"/>
        </w:numPr>
        <w:spacing w:after="60" w:line="276"/>
      </w:pPr>
      <w:r>
        <w:rPr>
          <w:b/>
          <w:bCs/>
        </w:rPr>
        <w:t xml:space="preserve">Confidentiality unchanged. </w:t>
      </w:r>
      <w:r>
        <w:t xml:space="preserve">Office topics still use coded references and trusted-model routing (NFR-1/2).</w:t>
      </w:r>
    </w:p>
    <w:p>
      <w:pPr>
        <w:spacing w:after="120" w:line="276"/>
      </w:pPr>
      <w:r>
        <w:t xml:space="preserve">Two clarifications follow: the capture classifier gains a conversation-vs-actionable gate so chat is not mis-filed (Section 6.1), and the anti-ideation invariant is stated as applying only to active initiatives, never to conversation.</w:t>
      </w:r>
    </w:p>
    <w:p>
      <w:pPr>
        <w:pStyle w:val="Heading1"/>
      </w:pPr>
      <w:r>
        <w:t xml:space="preserve">10. Portfolio Model (Portfolio-Agnostic Engine)</w:t>
      </w:r>
    </w:p>
    <w:p>
      <w:pPr>
        <w:spacing w:after="120" w:line="276"/>
      </w:pPr>
      <w:r>
        <w:t xml:space="preserve">The same three-mode engine serves all three portfolios; only the knowledge source and integration depth differ. The named examples below are illustrative of the owner’s current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Office</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Personal Development</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Personal Life</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Service Operations Data Product</w:t>
            </w:r>
          </w:p>
          <w:p>
            <w:pPr>
              <w:spacing w:after="0" w:line="252"/>
              <w:jc w:val="left"/>
            </w:pPr>
            <w:r>
              <w:rPr>
                <w:b w:val="false"/>
                <w:bCs w:val="false"/>
                <w:color w:val="000000"/>
                <w:sz w:val="19"/>
                <w:szCs w:val="19"/>
              </w:rPr>
              <w:t xml:space="preserve">Impact Assessments</w:t>
            </w:r>
          </w:p>
          <w:p>
            <w:pPr>
              <w:spacing w:after="0" w:line="252"/>
              <w:jc w:val="left"/>
            </w:pPr>
            <w:r>
              <w:rPr>
                <w:b w:val="false"/>
                <w:bCs w:val="false"/>
                <w:color w:val="000000"/>
                <w:sz w:val="19"/>
                <w:szCs w:val="19"/>
              </w:rPr>
              <w:t xml:space="preserve">Client presentations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Professional certification (agent-researched)</w:t>
            </w:r>
          </w:p>
          <w:p>
            <w:pPr>
              <w:spacing w:after="0" w:line="252"/>
              <w:jc w:val="left"/>
            </w:pPr>
            <w:r>
              <w:rPr>
                <w:b w:val="false"/>
                <w:bCs w:val="false"/>
                <w:color w:val="000000"/>
                <w:sz w:val="19"/>
                <w:szCs w:val="19"/>
              </w:rPr>
              <w:t xml:space="preserve">Product/accelerator initiatives</w:t>
            </w:r>
          </w:p>
          <w:p>
            <w:pPr>
              <w:spacing w:after="0" w:line="252"/>
              <w:jc w:val="left"/>
            </w:pPr>
            <w:r>
              <w:rPr>
                <w:b w:val="false"/>
                <w:bCs w:val="false"/>
                <w:color w:val="000000"/>
                <w:sz w:val="19"/>
                <w:szCs w:val="19"/>
              </w:rPr>
              <w:t xml:space="preserve">AI / domain learning</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Insurance &amp; financial renewals</w:t>
            </w:r>
          </w:p>
          <w:p>
            <w:pPr>
              <w:spacing w:after="0" w:line="252"/>
              <w:jc w:val="left"/>
            </w:pPr>
            <w:r>
              <w:rPr>
                <w:b w:val="false"/>
                <w:bCs w:val="false"/>
                <w:color w:val="000000"/>
                <w:sz w:val="19"/>
                <w:szCs w:val="19"/>
              </w:rPr>
              <w:t xml:space="preserve">Vacation planning</w:t>
            </w:r>
          </w:p>
          <w:p>
            <w:pPr>
              <w:spacing w:after="0" w:line="252"/>
              <w:jc w:val="left"/>
            </w:pPr>
            <w:r>
              <w:rPr>
                <w:b w:val="false"/>
                <w:bCs w:val="false"/>
                <w:color w:val="000000"/>
                <w:sz w:val="19"/>
                <w:szCs w:val="19"/>
              </w:rPr>
              <w:t xml:space="preserve">Family events</w:t>
            </w:r>
          </w:p>
        </w:tc>
      </w:tr>
    </w:tbl>
    <w:p>
      <w:pPr>
        <w:spacing w:after="120" w:line="276"/>
      </w:pPr>
      <w:r>
        <w:rPr>
          <w:b/>
          <w:bCs/>
        </w:rPr>
        <w:t xml:space="preserve">Personal Life is first-class — confirmed against the spec. </w:t>
      </w:r>
      <w:r>
        <w:t xml:space="preserve">Personal activities (vacation planning, renewals such as LIC, family events) are captured, scheduled, reminded on, shown on the calendar, and reported exactly like office and development work. A multi-step personal effort — planning a vacation — can run as an Initiative with its own outcome and heartbeat, or as a set of tasks plus a tracked Event; recurrence (Section 13) covers repeating personal commitments. This was already supported via the Personal Life portfolio, the Task and Event entities, and Scenario B, and is now stated explicitly.</w:t>
      </w:r>
    </w:p>
    <w:p>
      <w:pPr>
        <w:pStyle w:val="Heading1"/>
      </w:pPr>
      <w:r>
        <w:t xml:space="preserve">11. Reminders, Briefing, Calendar &amp; Notifications</w:t>
      </w:r>
    </w:p>
    <w:p>
      <w:pPr>
        <w:pStyle w:val="ListParagraph"/>
        <w:numPr>
          <w:ilvl w:val="0"/>
          <w:numId w:val="2"/>
        </w:numPr>
        <w:spacing w:after="60" w:line="276"/>
      </w:pPr>
      <w:r>
        <w:t xml:space="preserve">Morning briefing (synthesised), midday reminders, evening review + completeness sweep</w:t>
      </w:r>
    </w:p>
    <w:p>
      <w:pPr>
        <w:pStyle w:val="ListParagraph"/>
        <w:numPr>
          <w:ilvl w:val="0"/>
          <w:numId w:val="2"/>
        </w:numPr>
        <w:spacing w:after="60" w:line="276"/>
      </w:pPr>
      <w:r>
        <w:t xml:space="preserve">Upcoming due dates, overdue alerts, high-risk deadline alerts, stalled-initiative alerts, waiting-on nudges</w:t>
      </w:r>
    </w:p>
    <w:p>
      <w:pPr>
        <w:spacing w:after="120" w:line="276"/>
      </w:pPr>
      <w:r>
        <w:rPr>
          <w:b/>
          <w:bCs/>
        </w:rPr>
        <w:t xml:space="preserve">Daily briefing as an artifact (FR25). </w:t>
      </w:r>
      <w:r>
        <w:t xml:space="preserve">Not scattered alerts but one synthesised digest: today’s plan with what needs prep, due/overdue items, waiting-ons, stalled initiatives, and goal/readiness progress.</w:t>
      </w:r>
    </w:p>
    <w:p>
      <w:pPr>
        <w:spacing w:after="120" w:line="276"/>
      </w:pPr>
      <w:r>
        <w:rPr>
          <w:b/>
          <w:bCs/>
        </w:rPr>
        <w:t xml:space="preserve">Channel governance. </w:t>
      </w:r>
      <w:r>
        <w:t xml:space="preserve">Notifications route to personal channels only (Telegram / Pushover / personal email) — never work. Quiet hours honour Family (8–9 PM) and Reading (9:15–10 PM) except for critical alerts.</w:t>
      </w:r>
    </w:p>
    <w:p>
      <w:pPr>
        <w:pStyle w:val="Heading2"/>
      </w:pPr>
      <w:r>
        <w:t xml:space="preserve">11.1 Calendar &amp; date views (FR28)</w:t>
      </w:r>
    </w:p>
    <w:p>
      <w:pPr>
        <w:spacing w:after="120" w:line="276"/>
      </w:pPr>
      <w:r>
        <w:t xml:space="preserve">Beyond the briefing, the agent presents a calendar of everything to be done so the owner can see the shape of the day and week at a glance. The current date is always the default context.</w:t>
      </w:r>
    </w:p>
    <w:p>
      <w:pPr>
        <w:pStyle w:val="ListParagraph"/>
        <w:numPr>
          <w:ilvl w:val="0"/>
          <w:numId w:val="2"/>
        </w:numPr>
        <w:spacing w:after="60" w:line="276"/>
      </w:pPr>
      <w:r>
        <w:rPr>
          <w:b/>
          <w:bCs/>
        </w:rPr>
        <w:t xml:space="preserve">Today / current-date view — </w:t>
      </w:r>
      <w:r>
        <w:t xml:space="preserve">the default landing context, showing the date and every activity due or scheduled for today across all three portfolios.</w:t>
      </w:r>
    </w:p>
    <w:p>
      <w:pPr>
        <w:pStyle w:val="ListParagraph"/>
        <w:numPr>
          <w:ilvl w:val="0"/>
          <w:numId w:val="2"/>
        </w:numPr>
        <w:spacing w:after="60" w:line="276"/>
      </w:pPr>
      <w:r>
        <w:rPr>
          <w:b/>
          <w:bCs/>
        </w:rPr>
        <w:t xml:space="preserve">Day view — </w:t>
      </w:r>
      <w:r>
        <w:t xml:space="preserve">an hour-by-hour layout fitted to the weekly template (study, office, gym, family, reading) with tasks, deadlines, and logged exceptions placed in time.</w:t>
      </w:r>
    </w:p>
    <w:p>
      <w:pPr>
        <w:pStyle w:val="ListParagraph"/>
        <w:numPr>
          <w:ilvl w:val="0"/>
          <w:numId w:val="2"/>
        </w:numPr>
        <w:spacing w:after="60" w:line="276"/>
      </w:pPr>
      <w:r>
        <w:rPr>
          <w:b/>
          <w:bCs/>
        </w:rPr>
        <w:t xml:space="preserve">Week view — </w:t>
      </w:r>
      <w:r>
        <w:t xml:space="preserve">a seven-day overview of recurring blocks and portfolio activities — office deliverables, study blocks, and personal-life items such as vacation-planning steps and renewals — colour-coded by portfolio.</w:t>
      </w:r>
    </w:p>
    <w:p>
      <w:pPr>
        <w:spacing w:after="120" w:line="276"/>
      </w:pPr>
      <w:r>
        <w:t xml:space="preserve">Office entries continue to use coded client references (NFR-1); personal entries (vacation planning, family events, renewals) appear in full.</w:t>
      </w:r>
    </w:p>
    <w:p>
      <w:pPr>
        <w:pStyle w:val="Heading1"/>
      </w:pPr>
      <w:r>
        <w:t xml:space="preserve">12. Reporting</w:t>
      </w:r>
    </w:p>
    <w:p>
      <w:pPr>
        <w:pStyle w:val="ListParagraph"/>
        <w:numPr>
          <w:ilvl w:val="0"/>
          <w:numId w:val="2"/>
        </w:numPr>
        <w:spacing w:after="60" w:line="276"/>
      </w:pPr>
      <w:r>
        <w:t xml:space="preserve">Daily dashboard, weekly review, monthly review, weekly initiative review</w:t>
      </w:r>
    </w:p>
    <w:p>
      <w:pPr>
        <w:pStyle w:val="ListParagraph"/>
        <w:numPr>
          <w:ilvl w:val="0"/>
          <w:numId w:val="2"/>
        </w:numPr>
        <w:spacing w:after="60" w:line="276"/>
      </w:pPr>
      <w:r>
        <w:t xml:space="preserve">Portfolio health, completion rate, overdue analysis, goal progress, schedule variance</w:t>
      </w:r>
    </w:p>
    <w:p>
      <w:pPr>
        <w:pStyle w:val="ListParagraph"/>
        <w:numPr>
          <w:ilvl w:val="0"/>
          <w:numId w:val="2"/>
        </w:numPr>
        <w:spacing w:after="60" w:line="276"/>
      </w:pPr>
      <w:r>
        <w:rPr>
          <w:b/>
          <w:bCs/>
        </w:rPr>
        <w:t xml:space="preserve">Readiness tracking </w:t>
      </w:r>
      <w:r>
        <w:t xml:space="preserve">for knowledge goals — curriculum coverage and practice-score trend toward target.</w:t>
      </w:r>
    </w:p>
    <w:p>
      <w:pPr>
        <w:pStyle w:val="ListParagraph"/>
        <w:numPr>
          <w:ilvl w:val="0"/>
          <w:numId w:val="2"/>
        </w:numPr>
        <w:spacing w:after="60" w:line="276"/>
      </w:pPr>
      <w:r>
        <w:rPr>
          <w:b/>
          <w:bCs/>
        </w:rPr>
        <w:t xml:space="preserve">Forward-looking variance </w:t>
      </w:r>
      <w:r>
        <w:t xml:space="preserve">— schedule variance is fed back into the planner (slippage prediction, FR24), not just reported.</w:t>
      </w:r>
    </w:p>
    <w:p>
      <w:pPr>
        <w:pStyle w:val="Heading1"/>
      </w:pPr>
      <w:r>
        <w:t xml:space="preserve">13. Data Model</w:t>
      </w:r>
    </w:p>
    <w:p>
      <w:pPr>
        <w:spacing w:after="120" w:line="276"/>
      </w:pPr>
      <w:r>
        <w:t xml:space="preserve">New fields and entities are marked (new). Recurrence, dependencies, effort, owner, and provenance were missing in v1 and are required for the scheduler, follow-ups, and a meaningful audit trail. From v2.4, every row also carries an owner_id (the tenant), and Row-Level Security policies on owner_id enforce isolation (NFR-7).</w:t>
      </w:r>
    </w:p>
    <w:p>
      <w:pPr>
        <w:pStyle w:val="Heading3"/>
      </w:pPr>
      <w:r>
        <w:t xml:space="preserve">User (new)</w:t>
      </w:r>
    </w:p>
    <w:p>
      <w:pPr>
        <w:spacing w:after="120" w:line="276"/>
      </w:pPr>
      <w:r>
        <w:t xml:space="preserve">User ID, clerk_id, Display name, Notification channels (web-push subscription, Pushover/Telegram, email), Timezone. Synced from Clerk on signup; populates the household roster.</w:t>
      </w:r>
    </w:p>
    <w:p>
      <w:pPr>
        <w:pStyle w:val="Heading3"/>
      </w:pPr>
      <w:r>
        <w:t xml:space="preserve">Invitation / Hand-off (new)</w:t>
      </w:r>
    </w:p>
    <w:p>
      <w:pPr>
        <w:spacing w:after="120" w:line="276"/>
      </w:pPr>
      <w:r>
        <w:t xml:space="preserve">Invitation ID, sender_id, recipient_id, Title, Optional due date, Note, Status (pending / accepted / declined), Created-at. Carries only the sender’s typed fields; on accept, a new Task is created owned by the recipient and the invitation is closed (copy-on-accept). The only cross-tenant object (FR37).</w:t>
      </w:r>
    </w:p>
    <w:p>
      <w:pPr>
        <w:pStyle w:val="Heading3"/>
      </w:pPr>
      <w:r>
        <w:t xml:space="preserve">Reminder-Rule (new)</w:t>
      </w:r>
    </w:p>
    <w:p>
      <w:pPr>
        <w:spacing w:after="120" w:line="276"/>
      </w:pPr>
      <w:r>
        <w:t xml:space="preserve">Rule ID, owner_id, Target (task/event/free-text), Schedule (one-off / daily / every-N-hours / custom cron), Channel, Next-fire, Active. Evaluated each minute by the scheduler (FR38).</w:t>
      </w:r>
    </w:p>
    <w:p>
      <w:pPr>
        <w:pStyle w:val="Heading3"/>
      </w:pPr>
      <w:r>
        <w:t xml:space="preserve">Task</w:t>
      </w:r>
    </w:p>
    <w:p>
      <w:pPr>
        <w:spacing w:after="120" w:line="276"/>
      </w:pPr>
      <w:r>
        <w:t xml:space="preserve">Task ID, Name, Portfolio, Goal/Initiative link (new), Due Date, Priority, Status (extended), Effort estimate (new), Recurrence (new), Dependencies (new), Owner/Stakeholder (new), Source/Provenance (new), Notes, Completion Date.</w:t>
      </w:r>
    </w:p>
    <w:p>
      <w:pPr>
        <w:pStyle w:val="Heading3"/>
      </w:pPr>
      <w:r>
        <w:t xml:space="preserve">Initiative (new)</w:t>
      </w:r>
    </w:p>
    <w:p>
      <w:pPr>
        <w:spacing w:after="120" w:line="276"/>
      </w:pPr>
      <w:r>
        <w:t xml:space="preserve">Initiative ID, Name, Portfolio, Stage, Defined outcome, Cadence/Heartbeat, Next action (never empty), Next review date, knowledge_source (self / document / researched), external_deadline, Readiness/coverage, Linked decisions &amp; tasks.</w:t>
      </w:r>
    </w:p>
    <w:p>
      <w:pPr>
        <w:pStyle w:val="Heading3"/>
      </w:pPr>
      <w:r>
        <w:t xml:space="preserve">Person (new)</w:t>
      </w:r>
    </w:p>
    <w:p>
      <w:pPr>
        <w:spacing w:after="120" w:line="276"/>
      </w:pPr>
      <w:r>
        <w:t xml:space="preserve">Person ID (coded), Role, Initiatives involved, Behaviour to enable, Last nudge, Motivators, Notes.</w:t>
      </w:r>
    </w:p>
    <w:p>
      <w:pPr>
        <w:pStyle w:val="Heading3"/>
      </w:pPr>
      <w:r>
        <w:t xml:space="preserve">Schedule-Exception (new)</w:t>
      </w:r>
    </w:p>
    <w:p>
      <w:pPr>
        <w:spacing w:after="120" w:line="276"/>
      </w:pPr>
      <w:r>
        <w:t xml:space="preserve">Exception ID, Date, Overridden block, Replacement activity, Source. The agent assumes the weekly template holds unless an exception exists for that day.</w:t>
      </w:r>
    </w:p>
    <w:p>
      <w:pPr>
        <w:pStyle w:val="Heading3"/>
      </w:pPr>
      <w:r>
        <w:t xml:space="preserve">Decision</w:t>
      </w:r>
    </w:p>
    <w:p>
      <w:pPr>
        <w:spacing w:after="120" w:line="276"/>
      </w:pPr>
      <w:r>
        <w:t xml:space="preserve">Decision ID, Context, Alternatives, Choice, Reasoning, Linked initiative/tasks (new).</w:t>
      </w:r>
    </w:p>
    <w:p>
      <w:pPr>
        <w:pStyle w:val="Heading3"/>
      </w:pPr>
      <w:r>
        <w:t xml:space="preserve">Event</w:t>
      </w:r>
    </w:p>
    <w:p>
      <w:pPr>
        <w:spacing w:after="120" w:line="276"/>
      </w:pPr>
      <w:r>
        <w:t xml:space="preserve">Event ID, Date, Type, Status, Recurrence (new).</w:t>
      </w:r>
    </w:p>
    <w:p>
      <w:pPr>
        <w:pStyle w:val="Heading3"/>
      </w:pPr>
      <w:r>
        <w:t xml:space="preserve">Audit / Receipts (extended)</w:t>
      </w:r>
    </w:p>
    <w:p>
      <w:pPr>
        <w:spacing w:after="120" w:line="276"/>
      </w:pPr>
      <w:r>
        <w:t xml:space="preserve">Timestamp, Change Type, Previous Value, New Value, plus for executed actions: action taken, approval state, trust tier.</w:t>
      </w:r>
    </w:p>
    <w:p>
      <w:pPr>
        <w:pStyle w:val="Heading1"/>
      </w:pPr>
      <w:r>
        <w:t xml:space="preserve">14. Non-Functional Requirements</w:t>
      </w:r>
    </w:p>
    <w:p>
      <w:pPr>
        <w:spacing w:after="120" w:line="276"/>
      </w:pPr>
      <w:r>
        <w:t xml:space="preserve">Absent from v1, and the first item is critical given that office context can carry client-confidential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NFR</w:t>
            </w:r>
          </w:p>
        </w:tc>
        <w:tc>
          <w:tcPr>
            <w:tcW w:type="dxa" w:w="8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Requirement</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NFR-1 Confidentiality</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Per-portfolio data classification. Office items use an abstraction convention (e.g. “Client F — [work item]”) so client-identifying detail is not stored verbatim. No client-system credentials ever enter the system.</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NFR-2 LLM data boundary</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Explicit policy on what may leave the box to a model. Optionally route the office portfolio through a local/self-hosted model while personal items use cloud — the same provider-segregation logic applied to the owner’s own data.</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NFR-3 Privacy &amp; storage</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Single-tenant, owner-hosted. Data at rest encrypted; People/stakeholder notes are the most sensitive class.</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NFR-4 Reliability &amp; backup</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No task loss is a success criterion, so durable storage with automated backups and tested restore. Capture must never silently fail.</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NFR-5 Retention</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Full historical retrieval is required; define retention and a manual purge path for sensitive items.</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NFR-6 Latency / friction</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Quick-add must be near-instant; capture friction is the system’s primary adoption risk.</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NFR-7 Multi-tenant isolation</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Two tenants, zero data exchange. Isolation is enforced in the database via Postgres Row-Level Security keyed on the authenticated user id — a query for one user physically cannot return another’s rows — not by application-layer filtering alone. The only cross-tenant object is the consent hand-off (FR37), which carries only the sender’s typed fields and never reads the recipient’s data.</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NFR-9 Identity &amp; authentication</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Authentication via Clerk, modelling each spouse as an independent individual user (not a Clerk Organization, which is built for sharing). Sign-in by email / magic link, Google, or passkey. Clerk holds only login identity (email/profile); all tasks, financial, and client-coded data stay in the app’s own Postgres and never reach Clerk. A Clerk webhook syncs each user into the database so row-level security and the household roster have an identity to key on.</w:t>
            </w:r>
          </w:p>
        </w:tc>
      </w:tr>
      <w:tr>
        <w:trPr>
          <w:tblHeader w:val="false"/>
        </w:trPr>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52"/>
              <w:jc w:val="left"/>
            </w:pPr>
            <w:r>
              <w:rPr>
                <w:b/>
                <w:bCs/>
                <w:color w:val="000000"/>
                <w:sz w:val="19"/>
                <w:szCs w:val="19"/>
              </w:rPr>
              <w:t xml:space="preserve">NFR-8 Connector trust &amp; scoping</w:t>
            </w:r>
          </w:p>
        </w:tc>
        <w:tc>
          <w:tcPr>
            <w:tcW w:type="dxa" w:w="8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Only Anthropic-directory-vetted or first-party MCP servers may be connected; reference/community servers are treated as not production-ready and reviewed before use. Connectors default to read-only scopes. The office portfolio is routed through local servers only — never third-party cloud servers (extends NFR-2). Per the MCP Directory Policy, connectors may not execute financial transactions; the agent reminds and tracks but never pays. This extends to investments (FR34): the official first-party Robinhood MCP is used with read scopes only — status and analysis, never order placement or rebalancing — and no agentic-trading account is funded, so no trade capability exists. The agent reports portfolio status; it does not give investment advice.</w:t>
            </w:r>
          </w:p>
        </w:tc>
      </w:tr>
    </w:tbl>
    <w:p>
      <w:pPr>
        <w:pStyle w:val="Heading1"/>
      </w:pPr>
      <w:r>
        <w:t xml:space="preserve">15. Scenario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360"/>
        <w:gridCol w:w="29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Scenario</w:t>
            </w:r>
          </w:p>
        </w:tc>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Description</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Exercises</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Insurance/finance renewal due-date tracking &amp; overdue detection — agent reminds and tracks but does not pay (NFR-8)</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 FR6, FR7, FR23, NFR-8</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B</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Trip booked &amp; completed — event tracking and completion history; appears on the calendar</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FR11, FR12 (Event), FR10, FR28</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Tool task completed 2 days early — schedule variance</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FR5, FR10, FR24</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Certification: requirement learned, backward-planned study roadmap</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 FR5, FR9, FR16, FR20, FR21</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E</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Lost chat history — persistent repository independent of threads</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FR11, FR13</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Presentation prepared &amp; delivered — historical reporting &amp; metrics</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FR10, FR11</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G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Initiative driven from idea to outcome with team enablement</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FR15, FR16, FR17, FR18, FR19</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H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Personal vacation planning — multi-step, scheduled on the calendar</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FR2, FR3, FR4, FR16, FR28</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Capture an itinerary photo or a spoken note hands-free</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 FR29</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Just chat / seek an opinion on a topic — no plan produced</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FR33</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K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Check read-only investment status in the morning brief</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FR34, FR25, NFR-8</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Send a spouse a task; they accept and it lands in their calendar</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FR35, FR36, FR37</w:t>
            </w:r>
          </w:p>
        </w:tc>
      </w:tr>
      <w:tr>
        <w:trPr>
          <w:tblHeader w:val="false"/>
        </w:trP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 (new)</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Recurring interval reminder pushed to the right user only</w:t>
            </w:r>
          </w:p>
        </w:tc>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FR38, NFR-7, NFR-9</w:t>
            </w:r>
          </w:p>
        </w:tc>
      </w:tr>
    </w:tbl>
    <w:p>
      <w:pPr>
        <w:pStyle w:val="Heading1"/>
      </w:pPr>
      <w:r>
        <w:t xml:space="preserve">16. MVP Cut &amp;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Phase</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Theme</w:t>
            </w:r>
          </w:p>
        </w:tc>
        <w:tc>
          <w:tcPr>
            <w:tcW w:type="dxa" w:w="4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Scope</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Phase 1 (MVP)</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System of Record + capture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FR1–FR3, FR11–FR14, capture layer (Telegram/voice/paste), end-of-day sweep, core data model, NFR-1/3/4/7. Goal: nothing is ever lost.</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Phase 2</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System of Action</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FR4–FR7, FR10, FR23, FR25 — template-based planning, reminders, waiting-on tracking, daily briefing. Goal: the day plans and reminds itself.</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Phase 3</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System of Judgment</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FR15, FR16, FR9, FR20 + anti-ideation invariant. Goal: the agent advises and drives initiatives to outcomes.</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Phase 4</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Intelligence &amp; autonomy</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FR8, FR17–FR19, FR21, FR22, FR24, FR26, FR27, FR30–FR32 — stall detection, enablement, slippage prediction, approval-first execution, learning, and the MCP connector layer (memory, knowledge retrieval, approval-gated web action).</w:t>
            </w:r>
          </w:p>
        </w:tc>
      </w:tr>
    </w:tbl>
    <w:p>
      <w:pPr>
        <w:pStyle w:val="Heading1"/>
      </w:pPr>
      <w:r>
        <w:t xml:space="preserve">17. Future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Layer</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Choice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Capture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Telegram bot + voice transcription + paste/screenshot (Vision)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Frontend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Lightweight web/mobile (multi-tenant; per-user context)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Identity &amp; auth</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Clerk — individual users (email / Google / passkey); webhook syncs users to the database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Tenant isolation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Postgres Row-Level Security keyed on owner_id (NFR-7)</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Hand-off service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Invitation → accept/decline → copy-on-accept; the only cross-tenant path (FR37)</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Backend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FastAPI or Next.js route handlers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Planner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Deterministic scheduler (template + capacity + backward-planning)</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AI layer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LLM for classification, advisory, planning; provider routing (cloud for personal, optional local for office)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Database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PostgreSQL + pgvector (RLS-enforced)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Search</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Vector + structured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Notifications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Per-user channels — Web Push (primary) / Pushover / Telegram / email; interval reminders via cron (FR38)</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Scheduling/automation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cron — evaluates reminder rules each minute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Integration fabric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MCP connector layer (see 17.1) — directory-vetted / first-party servers, scoped read-only by default</w:t>
            </w:r>
          </w:p>
        </w:tc>
      </w:tr>
    </w:tbl>
    <w:p>
      <w:pPr>
        <w:pStyle w:val="Heading2"/>
      </w:pPr>
      <w:r>
        <w:t xml:space="preserve">17.1 MCP connector layer &amp; recommended servers</w:t>
      </w:r>
    </w:p>
    <w:p>
      <w:pPr>
        <w:spacing w:after="120" w:line="276"/>
      </w:pPr>
      <w:r>
        <w:t xml:space="preserve">MCP is the integration fabric. The trust ladder, highest first: (1) the Anthropic Connectors Directory — vetted and one-click; (2) first-party vendor servers — preferred over community wrappers; (3) community servers — used only after checking namespace verification, recent publish date, and download count; (4) reference servers — educational, not production-ready, security-reviewed before use. The official MCP Registry (namespace-authenticated, reverse-DNS) is the root of trust. Two non-negotiables for this build: the office portfolio connects to local servers only (NFR-8), and no connector executes payments (Directory Policy) — the agent reminds and tracks renewals but never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050"/>
        <w:gridCol w:w="1700"/>
        <w:gridCol w:w="2260"/>
      </w:tblGrid>
      <w:tr>
        <w:trPr>
          <w:tblHeader/>
        </w:trPr>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Server</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Purpose for the agent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Trust tier</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Scope / placement</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Google Calendar / Gmail / Drive</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Personal-half calendar, email-as-capture &amp; commitment extraction, document store</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Directory / first-party</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Cloud · personal only · already connected</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Memory (Mem0 / Letta)</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Persistent learned context — estimation bias, stakeholders, cadences (FR30)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First-party / community — verify</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Local or private cloud</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Notes / knowledge (Obsidian local, or Notion)</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Second-brain retrieval over the owner’s notes &amp; decisions (FR31)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Local (Obsidian) / first-party (Notion)</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Local for any office-touching notes</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Fetch / web-search</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External research &amp; re-validation of requirements, prices, dates (FR20, FR21)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Reference / community — verify</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Cloud · non-confidential queries only</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Browser automation (Claude in Chrome / Playwright)</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Approval-gated web actions — compare flights, fill a renewal form, gather quotes (FR32, FR26)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First-party / reference</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Approval-gated · personal only</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Time</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Timezone &amp; scheduling correctness for the fixed weekly template (FR28, FR6)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Reference</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Local</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Robinhood (official)</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Read-only investment / portfolio status — value, holdings, day change, concentration (FR34)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First-party (official)</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Cloud · personal · read scope only · no agentic-trading account funded</w:t>
            </w:r>
          </w:p>
        </w:tc>
      </w:tr>
      <w:tr>
        <w:trPr>
          <w:tblHeader w:val="false"/>
        </w:trPr>
        <w:tc>
          <w:tcPr>
            <w:tcW w:type="dxa" w:w="2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bCs/>
                <w:color w:val="000000"/>
                <w:sz w:val="19"/>
                <w:szCs w:val="19"/>
              </w:rPr>
              <w:t xml:space="preserve">Todoist (optional)</w:t>
            </w:r>
          </w:p>
        </w:tc>
        <w:tc>
          <w:tcPr>
            <w:tcW w:type="dxa" w:w="3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Task backbone if not using the custom ledger (FR1, FR11)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Directory / first-party</w:t>
            </w:r>
          </w:p>
        </w:tc>
        <w:tc>
          <w:tcPr>
            <w:tcW w:type="dxa" w:w="2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Cloud · personal only</w:t>
            </w:r>
          </w:p>
        </w:tc>
      </w:tr>
    </w:tbl>
    <w:p>
      <w:pPr>
        <w:spacing w:after="120" w:line="276"/>
      </w:pPr>
      <w:r>
        <w:rPr>
          <w:b/>
          <w:bCs/>
        </w:rPr>
        <w:t xml:space="preserve">Confidentiality-safe starter set. </w:t>
      </w:r>
      <w:r>
        <w:t xml:space="preserve">Keep Calendar / Gmail / Drive; add a Memory server, Obsidian (local), and a Fetch/web-search server; gate Browser automation behind approval; hold the office portfolio to local servers only.</w:t>
      </w:r>
    </w:p>
    <w:p>
      <w:pPr>
        <w:pStyle w:val="Heading1"/>
      </w:pPr>
      <w:r>
        <w:t xml:space="preserve">18. Success Criteria</w:t>
      </w:r>
    </w:p>
    <w:p>
      <w:pPr>
        <w:pStyle w:val="ListParagraph"/>
        <w:numPr>
          <w:ilvl w:val="0"/>
          <w:numId w:val="2"/>
        </w:numPr>
        <w:spacing w:after="60" w:line="276"/>
      </w:pPr>
      <w:r>
        <w:t xml:space="preserve">No task loss; full historical retrieval (System of Record proven)</w:t>
      </w:r>
    </w:p>
    <w:p>
      <w:pPr>
        <w:pStyle w:val="ListParagraph"/>
        <w:numPr>
          <w:ilvl w:val="0"/>
          <w:numId w:val="2"/>
        </w:numPr>
        <w:spacing w:after="60" w:line="276"/>
      </w:pPr>
      <w:r>
        <w:t xml:space="preserve">Automatic reminders and accurate, capacity-aware replanning</w:t>
      </w:r>
    </w:p>
    <w:p>
      <w:pPr>
        <w:pStyle w:val="ListParagraph"/>
        <w:numPr>
          <w:ilvl w:val="0"/>
          <w:numId w:val="2"/>
        </w:numPr>
        <w:spacing w:after="60" w:line="276"/>
      </w:pPr>
      <w:r>
        <w:t xml:space="preserve">Single natural-language entry point with near-zero capture friction</w:t>
      </w:r>
    </w:p>
    <w:p>
      <w:pPr>
        <w:pStyle w:val="ListParagraph"/>
        <w:numPr>
          <w:ilvl w:val="0"/>
          <w:numId w:val="2"/>
        </w:numPr>
        <w:spacing w:after="60" w:line="276"/>
      </w:pPr>
      <w:r>
        <w:rPr>
          <w:b/>
          <w:bCs/>
        </w:rPr>
        <w:t xml:space="preserve">No active initiative ever sits without a next action </w:t>
      </w:r>
      <w:r>
        <w:t xml:space="preserve">— ideation does not stall (anti-ideation invariant holds).</w:t>
      </w:r>
    </w:p>
    <w:p>
      <w:pPr>
        <w:pStyle w:val="ListParagraph"/>
        <w:numPr>
          <w:ilvl w:val="0"/>
          <w:numId w:val="2"/>
        </w:numPr>
        <w:spacing w:after="60" w:line="276"/>
      </w:pPr>
      <w:r>
        <w:rPr>
          <w:b/>
          <w:bCs/>
        </w:rPr>
        <w:t xml:space="preserve">Advisory loop closes: </w:t>
      </w:r>
      <w:r>
        <w:t xml:space="preserve">situations in → recommendation → confirmed → tracked plan, across all three portfolios.</w:t>
      </w:r>
    </w:p>
    <w:p>
      <w:pPr>
        <w:pStyle w:val="ListParagraph"/>
        <w:numPr>
          <w:ilvl w:val="0"/>
          <w:numId w:val="2"/>
        </w:numPr>
        <w:spacing w:after="60" w:line="276"/>
      </w:pPr>
      <w:r>
        <w:t xml:space="preserve">Office confidentiality preserved (no verbatim client detail; no client-system access)</w:t>
      </w:r>
    </w:p>
    <w:p>
      <w:pPr>
        <w:pStyle w:val="ListParagraph"/>
        <w:numPr>
          <w:ilvl w:val="0"/>
          <w:numId w:val="2"/>
        </w:numPr>
        <w:spacing w:after="60" w:line="276"/>
      </w:pPr>
      <w:r>
        <w:rPr>
          <w:b/>
          <w:bCs/>
        </w:rPr>
        <w:t xml:space="preserve">Tenant isolation proven: </w:t>
      </w:r>
      <w:r>
        <w:t xml:space="preserve">no user can ever see another’s data; the only crossing is an accepted hand-off.</w:t>
      </w:r>
    </w:p>
    <w:p>
      <w:pPr>
        <w:pStyle w:val="Heading1"/>
      </w:pPr>
      <w:r>
        <w:t xml:space="preserve">19. Out of Scope</w:t>
      </w:r>
    </w:p>
    <w:p>
      <w:pPr>
        <w:pStyle w:val="ListParagraph"/>
        <w:numPr>
          <w:ilvl w:val="0"/>
          <w:numId w:val="2"/>
        </w:numPr>
        <w:spacing w:after="60" w:line="276"/>
      </w:pPr>
      <w:r>
        <w:t xml:space="preserve">Shared or collaborative live-edited lists — cross-user is consent hand-off only (copy-on-accept), never a jointly-owned object</w:t>
      </w:r>
    </w:p>
    <w:p>
      <w:pPr>
        <w:pStyle w:val="ListParagraph"/>
        <w:numPr>
          <w:ilvl w:val="0"/>
          <w:numId w:val="2"/>
        </w:numPr>
        <w:spacing w:after="60" w:line="276"/>
      </w:pPr>
      <w:r>
        <w:t xml:space="preserve">More than the household roster of users; teams, org hierarchies, or role-based access within a tenant</w:t>
      </w:r>
    </w:p>
    <w:p>
      <w:pPr>
        <w:pStyle w:val="ListParagraph"/>
        <w:numPr>
          <w:ilvl w:val="0"/>
          <w:numId w:val="2"/>
        </w:numPr>
        <w:spacing w:after="60" w:line="276"/>
      </w:pPr>
      <w:r>
        <w:t xml:space="preserve">Direct integration with office Outlook, office calendar, or any client system</w:t>
      </w:r>
    </w:p>
    <w:p>
      <w:pPr>
        <w:pStyle w:val="ListParagraph"/>
        <w:numPr>
          <w:ilvl w:val="0"/>
          <w:numId w:val="2"/>
        </w:numPr>
        <w:spacing w:after="60" w:line="276"/>
      </w:pPr>
      <w:r>
        <w:t xml:space="preserve">Acting inside client/work tools on the owner’s behalf</w:t>
      </w:r>
    </w:p>
    <w:p>
      <w:pPr>
        <w:pStyle w:val="ListParagraph"/>
        <w:numPr>
          <w:ilvl w:val="0"/>
          <w:numId w:val="2"/>
        </w:numPr>
        <w:spacing w:after="60" w:line="276"/>
      </w:pPr>
      <w:r>
        <w:t xml:space="preserve">Replacing human judgment on sensitive interpersonal or political calls — the agent advises; the owner decides</w:t>
      </w:r>
    </w:p>
    <w:p>
      <w:pPr>
        <w:rPr>
          <w:b/>
        </w:rPr>
      </w:pPr>
      <w:r>
        <w:rPr>
          <w:b/>
        </w:rPr>
        <w:t xml:space="preserve">Addendum v2.4.1 - Per-Tenant Visual Theming (Change Log R9, FR39)</w:t>
      </w:r>
    </w:p>
    <w:p>
      <w:r>
        <w:t xml:space="preserve">R9 - Per-tenant theming. Each tenant's workspace renders in its own bright palette so it is always visually clear whose isolated account is in view. User A (Anand) keeps the original blue / violet / green palette. User B (the second household member) uses a bright Yellow / White / Orange palette. Theming is a presentation-layer property only and never changes data, classification, or tenant isolation.</w:t>
      </w:r>
    </w:p>
    <w:p>
      <w:pPr>
        <w:rPr>
          <w:b/>
        </w:rPr>
      </w:pPr>
      <w:r>
        <w:rPr>
          <w:b/>
        </w:rPr>
        <w:t xml:space="preserve">FR39 (new) - Per-user visual theme. System: All. Priority: M (MVP).</w:t>
      </w:r>
    </w:p>
    <w:p>
      <w:r>
        <w:t xml:space="preserve">The application resolves a per-user theme from the authenticated identity (Clerk) and applies it across every surface - canvas, portfolio colours, gradients, and the brief hero. Attention semantics (waiting amber, overdue red, blocked pink) are shared across both themes so alert meaning stays constant regardless of which user is signed in.</w:t>
      </w:r>
    </w:p>
    <w:p>
      <w:pPr>
        <w:rPr>
          <w:b/>
        </w:rPr>
      </w:pPr>
      <w:r>
        <w:rPr>
          <w:b/>
        </w:rPr>
        <w:t xml:space="preserve">User B palette - bright Yellow / White / Orange.</w:t>
      </w:r>
    </w:p>
    <w:p>
      <w:r>
        <w:t xml:space="preserve">Warm near-white canvas with soft yellow / orange washes over crisp white surfaces; a bright golden yellow and a vivid orange. Portfolio mapping for User B: Office = deep orange, Personal Development = gold / yellow, Personal Life = light tangerine. The hero gradient runs yellow to orange and the primary CTA gradient runs orange to amber. Yellow is used as a fill paired with darker text and icons so contrast meets WCAG AA on the light theme.</w:t>
      </w:r>
    </w:p>
    <w:p>
      <w:pPr>
        <w:rPr>
          <w:b/>
        </w:rPr>
      </w:pPr>
      <w:r>
        <w:rPr>
          <w:b/>
        </w:rPr>
        <w:t xml:space="preserve">Data model note.</w:t>
      </w:r>
    </w:p>
    <w:p>
      <w:r>
        <w:t xml:space="preserve">The users entity gains a theme attribute (for example 'aurora' = blue / violet / green for User A, 'sunrise' = yellow / white / orange for User B), defaulted per user and stored alongside the synced Clerk 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Personal Chief of Staff Agent — Requirements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Chief of Staff Agent — Requirements Specification v2.0</dc:title>
  <dc:creator>Personal Chief of Staff Agent</dc:creator>
  <cp:lastModifiedBy>Un-named</cp:lastModifiedBy>
  <cp:revision>1</cp:revision>
  <dcterms:created xsi:type="dcterms:W3CDTF">2026-06-14T13:24:25.682Z</dcterms:created>
  <dcterms:modified xsi:type="dcterms:W3CDTF">2026-06-14T13:24:25.696Z</dcterms:modified>
</cp:coreProperties>
</file>

<file path=docProps/custom.xml><?xml version="1.0" encoding="utf-8"?>
<Properties xmlns="http://schemas.openxmlformats.org/officeDocument/2006/custom-properties" xmlns:vt="http://schemas.openxmlformats.org/officeDocument/2006/docPropsVTypes"/>
</file>