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84525" w14:textId="0EECAFDD" w:rsidR="00697F79" w:rsidRPr="00314E4B" w:rsidRDefault="00697F79" w:rsidP="00697F79">
      <w:pPr>
        <w:jc w:val="center"/>
        <w:rPr>
          <w:rFonts w:ascii="Times New Roman" w:hAnsi="Times New Roman" w:cs="Times New Roman"/>
        </w:rPr>
      </w:pPr>
      <w:r w:rsidRPr="00314E4B">
        <w:rPr>
          <w:rFonts w:ascii="Times New Roman" w:hAnsi="Times New Roman" w:cs="Times New Roman"/>
        </w:rPr>
        <w:t>Clustering ASP Drug Cost and Utilization Data</w:t>
      </w:r>
    </w:p>
    <w:p w14:paraId="5D084973" w14:textId="21D3E5CF" w:rsidR="00A34371" w:rsidRPr="00A34371" w:rsidRDefault="00A34371" w:rsidP="001A6F4F">
      <w:pPr>
        <w:rPr>
          <w:rFonts w:ascii="Times New Roman" w:hAnsi="Times New Roman" w:cs="Times New Roman"/>
          <w:b/>
          <w:bCs/>
        </w:rPr>
      </w:pPr>
      <w:r w:rsidRPr="00A34371">
        <w:rPr>
          <w:rFonts w:ascii="Times New Roman" w:hAnsi="Times New Roman" w:cs="Times New Roman"/>
          <w:b/>
          <w:bCs/>
        </w:rPr>
        <w:t>Executive Summary</w:t>
      </w:r>
    </w:p>
    <w:p w14:paraId="1D9A8B75" w14:textId="53E3508F" w:rsidR="00265488" w:rsidRDefault="00265488" w:rsidP="001A6F4F">
      <w:pPr>
        <w:rPr>
          <w:rFonts w:ascii="Times New Roman" w:hAnsi="Times New Roman" w:cs="Times New Roman"/>
        </w:rPr>
      </w:pPr>
    </w:p>
    <w:p w14:paraId="2349D688" w14:textId="77777777" w:rsidR="009242EF" w:rsidRDefault="00265488" w:rsidP="001A6F4F">
      <w:pPr>
        <w:rPr>
          <w:rFonts w:ascii="Times New Roman" w:hAnsi="Times New Roman" w:cs="Times New Roman"/>
        </w:rPr>
      </w:pPr>
      <w:r>
        <w:rPr>
          <w:rFonts w:ascii="Times New Roman" w:hAnsi="Times New Roman" w:cs="Times New Roman"/>
        </w:rPr>
        <w:t xml:space="preserve">This analysis focuses on average sales price (ASP) drugs prescribed and administered by physicians and other providers in Wisconsin, taken from the Medicare Fee-For-Service Provider Utilization and Payment Data. </w:t>
      </w:r>
    </w:p>
    <w:p w14:paraId="45D94375" w14:textId="77777777" w:rsidR="009242EF" w:rsidRDefault="009242EF" w:rsidP="001A6F4F">
      <w:pPr>
        <w:rPr>
          <w:rFonts w:ascii="Times New Roman" w:hAnsi="Times New Roman" w:cs="Times New Roman"/>
        </w:rPr>
      </w:pPr>
    </w:p>
    <w:p w14:paraId="5B1B9F0B" w14:textId="62B7F25A" w:rsidR="009242EF" w:rsidRDefault="00265488" w:rsidP="001A6F4F">
      <w:pPr>
        <w:rPr>
          <w:rFonts w:ascii="Times New Roman" w:hAnsi="Times New Roman" w:cs="Times New Roman"/>
        </w:rPr>
      </w:pPr>
      <w:r>
        <w:rPr>
          <w:rFonts w:ascii="Times New Roman" w:hAnsi="Times New Roman" w:cs="Times New Roman"/>
        </w:rPr>
        <w:t>Using K-means clustering, two main insights were gained. The first is a cost saving measure which is actionable in the form of a marketing or publicity push. Medicare currently covers almost all of the cost of flu/pneumococcal vaccines. However, expenditure is almost twice as much ($48 to $83), on average, when administered by a doctor, as compared to a mass immunizer or pharmacy. However, most Medic</w:t>
      </w:r>
      <w:r w:rsidR="009242EF">
        <w:rPr>
          <w:rFonts w:ascii="Times New Roman" w:hAnsi="Times New Roman" w:cs="Times New Roman"/>
        </w:rPr>
        <w:t xml:space="preserve">are recipients receive these immunizations from a doctor. If Medicare is able to market pharmacies or mass immunizers as more convenient than making an appointment with a physician, then Medicare could reduce costs on the majority of flu vaccinations. </w:t>
      </w:r>
    </w:p>
    <w:p w14:paraId="18277F05" w14:textId="3AFDB466" w:rsidR="009242EF" w:rsidRDefault="009242EF" w:rsidP="001A6F4F">
      <w:pPr>
        <w:rPr>
          <w:rFonts w:ascii="Times New Roman" w:hAnsi="Times New Roman" w:cs="Times New Roman"/>
        </w:rPr>
      </w:pPr>
    </w:p>
    <w:p w14:paraId="31FE7F2D" w14:textId="2B3242B9" w:rsidR="009242EF" w:rsidRDefault="009242EF" w:rsidP="001A6F4F">
      <w:pPr>
        <w:rPr>
          <w:rFonts w:ascii="Times New Roman" w:hAnsi="Times New Roman" w:cs="Times New Roman"/>
        </w:rPr>
      </w:pPr>
      <w:r>
        <w:rPr>
          <w:rFonts w:ascii="Times New Roman" w:hAnsi="Times New Roman" w:cs="Times New Roman"/>
        </w:rPr>
        <w:t xml:space="preserve">The second insight is one of Medicare’s coverage gaps. With regard to most drugs in most clusters, Medicare covered the vast majority of the bill. However, with three drugs related to macular degeneration, Medicare currently only covers approximately 77% of a bill that averages just over $435. Macular degeneration is chronic, and most Medicare recipients are unemployed. Furthermore, ratio of drugs to patients is very high, so the bill that a patient ends up with is considerable. Since Medicare is not a cost minimizing, profit driven business, but rather a government </w:t>
      </w:r>
      <w:r w:rsidR="0086080F">
        <w:rPr>
          <w:rFonts w:ascii="Times New Roman" w:hAnsi="Times New Roman" w:cs="Times New Roman"/>
        </w:rPr>
        <w:t xml:space="preserve">entity </w:t>
      </w:r>
      <w:r>
        <w:rPr>
          <w:rFonts w:ascii="Times New Roman" w:hAnsi="Times New Roman" w:cs="Times New Roman"/>
        </w:rPr>
        <w:t>focused on</w:t>
      </w:r>
      <w:r w:rsidR="0086080F">
        <w:rPr>
          <w:rFonts w:ascii="Times New Roman" w:hAnsi="Times New Roman" w:cs="Times New Roman"/>
        </w:rPr>
        <w:t xml:space="preserve"> providing quality health insurance,</w:t>
      </w:r>
      <w:bookmarkStart w:id="0" w:name="_GoBack"/>
      <w:bookmarkEnd w:id="0"/>
      <w:r>
        <w:rPr>
          <w:rFonts w:ascii="Times New Roman" w:hAnsi="Times New Roman" w:cs="Times New Roman"/>
        </w:rPr>
        <w:t xml:space="preserve"> Medicare should improve their coverage of the drugs that treat macular degeneration to ease the financial burden of elderly citizens with a chronic illness. </w:t>
      </w:r>
    </w:p>
    <w:p w14:paraId="4FE68081" w14:textId="77777777" w:rsidR="009242EF" w:rsidRDefault="009242EF" w:rsidP="001A6F4F">
      <w:pPr>
        <w:rPr>
          <w:rFonts w:ascii="Times New Roman" w:hAnsi="Times New Roman" w:cs="Times New Roman"/>
        </w:rPr>
      </w:pPr>
    </w:p>
    <w:p w14:paraId="19470C72" w14:textId="77777777" w:rsidR="00A34371" w:rsidRDefault="00A34371" w:rsidP="001A6F4F">
      <w:pPr>
        <w:rPr>
          <w:rFonts w:ascii="Times New Roman" w:hAnsi="Times New Roman" w:cs="Times New Roman"/>
        </w:rPr>
      </w:pPr>
    </w:p>
    <w:p w14:paraId="6B5048B7" w14:textId="1227B3FA" w:rsidR="00A34371" w:rsidRDefault="001A6F4F" w:rsidP="001A6F4F">
      <w:pPr>
        <w:rPr>
          <w:rFonts w:ascii="Times New Roman" w:hAnsi="Times New Roman" w:cs="Times New Roman"/>
          <w:b/>
          <w:bCs/>
        </w:rPr>
      </w:pPr>
      <w:r w:rsidRPr="00A34371">
        <w:rPr>
          <w:rFonts w:ascii="Times New Roman" w:hAnsi="Times New Roman" w:cs="Times New Roman"/>
          <w:b/>
          <w:bCs/>
        </w:rPr>
        <w:t xml:space="preserve">Introduction </w:t>
      </w:r>
    </w:p>
    <w:p w14:paraId="183045E7" w14:textId="77777777" w:rsidR="00265488" w:rsidRPr="00A34371" w:rsidRDefault="00265488" w:rsidP="001A6F4F">
      <w:pPr>
        <w:rPr>
          <w:rFonts w:ascii="Times New Roman" w:hAnsi="Times New Roman" w:cs="Times New Roman"/>
          <w:b/>
          <w:bCs/>
        </w:rPr>
      </w:pPr>
    </w:p>
    <w:p w14:paraId="362360EA" w14:textId="3FBA5B60" w:rsidR="00697F79" w:rsidRDefault="00697F79" w:rsidP="001A6F4F">
      <w:pPr>
        <w:rPr>
          <w:rFonts w:ascii="Times New Roman" w:hAnsi="Times New Roman" w:cs="Times New Roman"/>
        </w:rPr>
      </w:pPr>
      <w:r w:rsidRPr="00314E4B">
        <w:rPr>
          <w:rFonts w:ascii="Times New Roman" w:hAnsi="Times New Roman" w:cs="Times New Roman"/>
        </w:rPr>
        <w:t>Within the Medicare Fee-For-Service Provider Utilization and Payment Data</w:t>
      </w:r>
      <w:r w:rsidRPr="00314E4B">
        <w:rPr>
          <w:rStyle w:val="FootnoteReference"/>
          <w:rFonts w:ascii="Times New Roman" w:hAnsi="Times New Roman" w:cs="Times New Roman"/>
        </w:rPr>
        <w:footnoteReference w:id="1"/>
      </w:r>
      <w:r w:rsidRPr="00314E4B">
        <w:rPr>
          <w:rFonts w:ascii="Times New Roman" w:hAnsi="Times New Roman" w:cs="Times New Roman"/>
        </w:rPr>
        <w:t>, there is a feature that flags observations corresponding to drugs whose manufacturers must send their average sales prices to CMS quarterly. Even without regard to ASP drugs, CMS has the unique ability to negotiate drug prices.</w:t>
      </w:r>
      <w:r w:rsidRPr="00314E4B">
        <w:rPr>
          <w:rStyle w:val="FootnoteReference"/>
          <w:rFonts w:ascii="Times New Roman" w:hAnsi="Times New Roman" w:cs="Times New Roman"/>
        </w:rPr>
        <w:footnoteReference w:id="2"/>
      </w:r>
      <w:r w:rsidR="00314E4B">
        <w:rPr>
          <w:rFonts w:ascii="Times New Roman" w:hAnsi="Times New Roman" w:cs="Times New Roman"/>
        </w:rPr>
        <w:t xml:space="preserve"> The data is relatively large, so I subset ASP expenditures specifically in my home state of Wisconsin.</w:t>
      </w:r>
      <w:r w:rsidRPr="00314E4B">
        <w:rPr>
          <w:rFonts w:ascii="Times New Roman" w:hAnsi="Times New Roman" w:cs="Times New Roman"/>
        </w:rPr>
        <w:t xml:space="preserve"> </w:t>
      </w:r>
      <w:r w:rsidR="00314E4B">
        <w:rPr>
          <w:rFonts w:ascii="Times New Roman" w:hAnsi="Times New Roman" w:cs="Times New Roman"/>
        </w:rPr>
        <w:t xml:space="preserve">I used clustering to examine patterns in Medicare expenditure on ASP drugs with the goal of recommending areas in which Medicare could expand its coverage on drugs where patients feel a significant financial burden or reduce costs by eliminating anomalous expenditures. I chose to subset based on medication because </w:t>
      </w:r>
      <w:r w:rsidRPr="00314E4B">
        <w:rPr>
          <w:rFonts w:ascii="Times New Roman" w:hAnsi="Times New Roman" w:cs="Times New Roman"/>
        </w:rPr>
        <w:t>CMS has the ability to</w:t>
      </w:r>
      <w:r w:rsidR="00314E4B">
        <w:rPr>
          <w:rFonts w:ascii="Times New Roman" w:hAnsi="Times New Roman" w:cs="Times New Roman"/>
        </w:rPr>
        <w:t xml:space="preserve"> both</w:t>
      </w:r>
      <w:r w:rsidRPr="00314E4B">
        <w:rPr>
          <w:rFonts w:ascii="Times New Roman" w:hAnsi="Times New Roman" w:cs="Times New Roman"/>
        </w:rPr>
        <w:t xml:space="preserve"> negotiate drug prices and </w:t>
      </w:r>
      <w:r w:rsidR="00314E4B">
        <w:rPr>
          <w:rFonts w:ascii="Times New Roman" w:hAnsi="Times New Roman" w:cs="Times New Roman"/>
        </w:rPr>
        <w:t>have</w:t>
      </w:r>
      <w:r w:rsidRPr="00314E4B">
        <w:rPr>
          <w:rFonts w:ascii="Times New Roman" w:hAnsi="Times New Roman" w:cs="Times New Roman"/>
        </w:rPr>
        <w:t xml:space="preserve"> manufacturers </w:t>
      </w:r>
      <w:r w:rsidR="00314E4B">
        <w:rPr>
          <w:rFonts w:ascii="Times New Roman" w:hAnsi="Times New Roman" w:cs="Times New Roman"/>
        </w:rPr>
        <w:t xml:space="preserve">publish average sales prices. </w:t>
      </w:r>
      <w:r w:rsidR="001A6F4F">
        <w:rPr>
          <w:rFonts w:ascii="Times New Roman" w:hAnsi="Times New Roman" w:cs="Times New Roman"/>
        </w:rPr>
        <w:t xml:space="preserve">CMS has more ability to decrease drug related expenditures than procedure-based expenditures (i.e. surgery) </w:t>
      </w:r>
      <w:r w:rsidR="001A6F4F">
        <w:rPr>
          <w:rFonts w:ascii="Times New Roman" w:hAnsi="Times New Roman" w:cs="Times New Roman"/>
        </w:rPr>
        <w:lastRenderedPageBreak/>
        <w:t xml:space="preserve">since CMS has more leverage over the manufacturers of the ASP products than it does over physicians (re: negotiation). </w:t>
      </w:r>
    </w:p>
    <w:p w14:paraId="59E4D64F" w14:textId="55B5269D" w:rsidR="001A6F4F" w:rsidRDefault="001A6F4F" w:rsidP="001A6F4F">
      <w:pPr>
        <w:rPr>
          <w:rFonts w:ascii="Times New Roman" w:eastAsia="Times New Roman" w:hAnsi="Times New Roman" w:cs="Times New Roman"/>
        </w:rPr>
      </w:pPr>
    </w:p>
    <w:p w14:paraId="55BF15DE" w14:textId="7B44AFF8" w:rsidR="00A34371" w:rsidRDefault="00A34371" w:rsidP="001A6F4F">
      <w:pPr>
        <w:rPr>
          <w:rFonts w:ascii="Times New Roman" w:eastAsia="Times New Roman" w:hAnsi="Times New Roman" w:cs="Times New Roman"/>
          <w:b/>
          <w:bCs/>
        </w:rPr>
      </w:pPr>
      <w:r>
        <w:rPr>
          <w:rFonts w:ascii="Times New Roman" w:eastAsia="Times New Roman" w:hAnsi="Times New Roman" w:cs="Times New Roman"/>
          <w:b/>
          <w:bCs/>
        </w:rPr>
        <w:t>Methodology</w:t>
      </w:r>
    </w:p>
    <w:p w14:paraId="151FB822" w14:textId="77777777" w:rsidR="00FA3000" w:rsidRDefault="00FA3000" w:rsidP="001A6F4F">
      <w:pPr>
        <w:rPr>
          <w:rFonts w:ascii="Times New Roman" w:eastAsia="Times New Roman" w:hAnsi="Times New Roman" w:cs="Times New Roman"/>
          <w:b/>
          <w:bCs/>
        </w:rPr>
      </w:pPr>
    </w:p>
    <w:p w14:paraId="41A7479A" w14:textId="6BD05217" w:rsidR="00A34371" w:rsidRDefault="00FA3000" w:rsidP="001A6F4F">
      <w:pPr>
        <w:rPr>
          <w:rFonts w:ascii="Times New Roman" w:eastAsia="Times New Roman" w:hAnsi="Times New Roman" w:cs="Times New Roman"/>
        </w:rPr>
      </w:pPr>
      <w:r>
        <w:rPr>
          <w:rFonts w:ascii="Times New Roman" w:eastAsia="Times New Roman" w:hAnsi="Times New Roman" w:cs="Times New Roman"/>
        </w:rPr>
        <w:t xml:space="preserve">Using sqlite3, a </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database was created and then queried. Some exploratory queries were performed. Then the data was filtered to only include observations related to ASP drugs within the state of Wisconsin. 9754 observations were in the final dataset, with 3184 unique healthcare providers. </w:t>
      </w:r>
    </w:p>
    <w:p w14:paraId="31EA1A64" w14:textId="7CE79E47" w:rsidR="00FA3000" w:rsidRDefault="00FA3000" w:rsidP="001A6F4F">
      <w:pPr>
        <w:rPr>
          <w:rFonts w:ascii="Times New Roman" w:eastAsia="Times New Roman" w:hAnsi="Times New Roman" w:cs="Times New Roman"/>
        </w:rPr>
      </w:pPr>
    </w:p>
    <w:p w14:paraId="5CB01742" w14:textId="103AE553" w:rsidR="00FA3000" w:rsidRDefault="00FA3000" w:rsidP="001A6F4F">
      <w:pPr>
        <w:rPr>
          <w:rFonts w:ascii="Times New Roman" w:eastAsia="Times New Roman" w:hAnsi="Times New Roman" w:cs="Times New Roman"/>
        </w:rPr>
      </w:pPr>
      <w:r>
        <w:rPr>
          <w:rFonts w:ascii="Times New Roman" w:eastAsia="Times New Roman" w:hAnsi="Times New Roman" w:cs="Times New Roman"/>
        </w:rPr>
        <w:t xml:space="preserve">Categorical variables were dummy coded with a column for each unique level. </w:t>
      </w:r>
      <w:r w:rsidR="00360C6E">
        <w:rPr>
          <w:rFonts w:ascii="Times New Roman" w:eastAsia="Times New Roman" w:hAnsi="Times New Roman" w:cs="Times New Roman"/>
        </w:rPr>
        <w:t xml:space="preserve">I reduced the variable </w:t>
      </w:r>
      <w:proofErr w:type="spellStart"/>
      <w:r w:rsidR="00360C6E">
        <w:rPr>
          <w:rFonts w:ascii="Times New Roman" w:eastAsia="Times New Roman" w:hAnsi="Times New Roman" w:cs="Times New Roman"/>
          <w:i/>
          <w:iCs/>
        </w:rPr>
        <w:t>nppes_credentials</w:t>
      </w:r>
      <w:proofErr w:type="spellEnd"/>
      <w:r w:rsidR="00360C6E">
        <w:rPr>
          <w:rFonts w:ascii="Times New Roman" w:eastAsia="Times New Roman" w:hAnsi="Times New Roman" w:cs="Times New Roman"/>
        </w:rPr>
        <w:t xml:space="preserve"> to a </w:t>
      </w:r>
      <w:proofErr w:type="gramStart"/>
      <w:r w:rsidR="00360C6E">
        <w:rPr>
          <w:rFonts w:ascii="Times New Roman" w:eastAsia="Times New Roman" w:hAnsi="Times New Roman" w:cs="Times New Roman"/>
        </w:rPr>
        <w:t>two category</w:t>
      </w:r>
      <w:proofErr w:type="gramEnd"/>
      <w:r w:rsidR="00360C6E">
        <w:rPr>
          <w:rFonts w:ascii="Times New Roman" w:eastAsia="Times New Roman" w:hAnsi="Times New Roman" w:cs="Times New Roman"/>
        </w:rPr>
        <w:t xml:space="preserve"> variable that distinguished between doctors and all other providers. My hypothesis was that a doctor administering drugs may end up as a higher cost encounter for Medicare. The variable </w:t>
      </w:r>
      <w:proofErr w:type="spellStart"/>
      <w:r w:rsidR="00360C6E">
        <w:rPr>
          <w:rFonts w:ascii="Times New Roman" w:eastAsia="Times New Roman" w:hAnsi="Times New Roman" w:cs="Times New Roman"/>
          <w:i/>
          <w:iCs/>
        </w:rPr>
        <w:t>nppes_provider_type</w:t>
      </w:r>
      <w:proofErr w:type="spellEnd"/>
      <w:r w:rsidR="00360C6E">
        <w:rPr>
          <w:rFonts w:ascii="Times New Roman" w:eastAsia="Times New Roman" w:hAnsi="Times New Roman" w:cs="Times New Roman"/>
        </w:rPr>
        <w:t xml:space="preserve"> was handled in a similar manner. Categories that comprised less than 1% of the data were collapsed into an “other” category. Provider type encoded important information about the department in which </w:t>
      </w:r>
      <w:proofErr w:type="gramStart"/>
      <w:r w:rsidR="00360C6E">
        <w:rPr>
          <w:rFonts w:ascii="Times New Roman" w:eastAsia="Times New Roman" w:hAnsi="Times New Roman" w:cs="Times New Roman"/>
        </w:rPr>
        <w:t>a</w:t>
      </w:r>
      <w:proofErr w:type="gramEnd"/>
      <w:r w:rsidR="00360C6E">
        <w:rPr>
          <w:rFonts w:ascii="Times New Roman" w:eastAsia="Times New Roman" w:hAnsi="Times New Roman" w:cs="Times New Roman"/>
        </w:rPr>
        <w:t xml:space="preserve"> FFS provider works. </w:t>
      </w:r>
    </w:p>
    <w:p w14:paraId="3E7C5E12" w14:textId="4431A5DD" w:rsidR="00360C6E" w:rsidRDefault="00360C6E" w:rsidP="001A6F4F">
      <w:pPr>
        <w:rPr>
          <w:rFonts w:ascii="Times New Roman" w:eastAsia="Times New Roman" w:hAnsi="Times New Roman" w:cs="Times New Roman"/>
        </w:rPr>
      </w:pPr>
    </w:p>
    <w:p w14:paraId="5C5EB29A" w14:textId="15DBBC6F" w:rsidR="00360C6E" w:rsidRDefault="00360C6E" w:rsidP="001A6F4F">
      <w:pPr>
        <w:rPr>
          <w:rFonts w:ascii="Times New Roman" w:eastAsia="Times New Roman" w:hAnsi="Times New Roman" w:cs="Times New Roman"/>
        </w:rPr>
      </w:pPr>
      <w:r>
        <w:rPr>
          <w:rFonts w:ascii="Times New Roman" w:eastAsia="Times New Roman" w:hAnsi="Times New Roman" w:cs="Times New Roman"/>
        </w:rPr>
        <w:t xml:space="preserve">Numeric variables were highly skewed. Log transformations were used </w:t>
      </w:r>
      <w:proofErr w:type="gramStart"/>
      <w:r>
        <w:rPr>
          <w:rFonts w:ascii="Times New Roman" w:eastAsia="Times New Roman" w:hAnsi="Times New Roman" w:cs="Times New Roman"/>
        </w:rPr>
        <w:t>on line</w:t>
      </w:r>
      <w:proofErr w:type="gramEnd"/>
      <w:r>
        <w:rPr>
          <w:rFonts w:ascii="Times New Roman" w:eastAsia="Times New Roman" w:hAnsi="Times New Roman" w:cs="Times New Roman"/>
        </w:rPr>
        <w:t xml:space="preserve"> service count and beneficiary service count columns as well as the payment and charge columns. After transformation, all features were scaled using </w:t>
      </w:r>
      <w:proofErr w:type="spellStart"/>
      <w:r>
        <w:rPr>
          <w:rFonts w:ascii="Times New Roman" w:eastAsia="Times New Roman" w:hAnsi="Times New Roman" w:cs="Times New Roman"/>
        </w:rPr>
        <w:t>StandardScaler</w:t>
      </w:r>
      <w:proofErr w:type="spellEnd"/>
      <w:r>
        <w:rPr>
          <w:rFonts w:ascii="Times New Roman" w:eastAsia="Times New Roman" w:hAnsi="Times New Roman" w:cs="Times New Roman"/>
        </w:rPr>
        <w:t xml:space="preserve">. K-means clustering was then applied to the data. </w:t>
      </w:r>
    </w:p>
    <w:p w14:paraId="29D89F8E" w14:textId="766DCB05" w:rsidR="00360C6E" w:rsidRDefault="00360C6E" w:rsidP="001A6F4F">
      <w:pPr>
        <w:rPr>
          <w:rFonts w:ascii="Times New Roman" w:eastAsia="Times New Roman" w:hAnsi="Times New Roman" w:cs="Times New Roman"/>
        </w:rPr>
      </w:pPr>
    </w:p>
    <w:p w14:paraId="6D12871C" w14:textId="6DB0443D" w:rsidR="00360C6E" w:rsidRDefault="00360C6E" w:rsidP="001A6F4F">
      <w:pPr>
        <w:rPr>
          <w:rFonts w:ascii="Times New Roman" w:eastAsia="Times New Roman" w:hAnsi="Times New Roman" w:cs="Times New Roman"/>
        </w:rPr>
      </w:pPr>
      <w:r>
        <w:rPr>
          <w:rFonts w:ascii="Times New Roman" w:eastAsia="Times New Roman" w:hAnsi="Times New Roman" w:cs="Times New Roman"/>
        </w:rPr>
        <w:t xml:space="preserve">To select the optimal value of k, two methods were utilized. First was to look for the “elbow” in a scree plot of SSE vs number of clusters. The elbow is where returns on more clusters diminish. </w:t>
      </w:r>
    </w:p>
    <w:p w14:paraId="047804F3" w14:textId="0B6297C1" w:rsidR="00360C6E" w:rsidRDefault="00360C6E" w:rsidP="001A6F4F">
      <w:pPr>
        <w:rPr>
          <w:rFonts w:ascii="Times New Roman" w:eastAsia="Times New Roman" w:hAnsi="Times New Roman" w:cs="Times New Roman"/>
        </w:rPr>
      </w:pPr>
    </w:p>
    <w:p w14:paraId="6A07387B" w14:textId="77777777" w:rsidR="00360C6E" w:rsidRDefault="00360C6E" w:rsidP="00360C6E">
      <w:pPr>
        <w:keepNext/>
        <w:jc w:val="center"/>
      </w:pPr>
      <w:r w:rsidRPr="00360C6E">
        <w:rPr>
          <w:rFonts w:ascii="Times New Roman" w:eastAsia="Times New Roman" w:hAnsi="Times New Roman" w:cs="Times New Roman"/>
          <w:noProof/>
        </w:rPr>
        <w:drawing>
          <wp:inline distT="0" distB="0" distL="0" distR="0" wp14:anchorId="69242841" wp14:editId="7A21ADB8">
            <wp:extent cx="3990754" cy="250229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0019" cy="2520649"/>
                    </a:xfrm>
                    <a:prstGeom prst="rect">
                      <a:avLst/>
                    </a:prstGeom>
                    <a:noFill/>
                    <a:ln>
                      <a:noFill/>
                    </a:ln>
                  </pic:spPr>
                </pic:pic>
              </a:graphicData>
            </a:graphic>
          </wp:inline>
        </w:drawing>
      </w:r>
    </w:p>
    <w:p w14:paraId="2B292466" w14:textId="45B397AE" w:rsidR="00360C6E" w:rsidRPr="00360C6E" w:rsidRDefault="00360C6E" w:rsidP="00360C6E">
      <w:pPr>
        <w:pStyle w:val="Caption"/>
        <w:jc w:val="center"/>
        <w:rPr>
          <w:rFonts w:ascii="Times New Roman" w:eastAsia="Times New Roman" w:hAnsi="Times New Roman" w:cs="Times New Roman"/>
        </w:rPr>
      </w:pPr>
      <w:r>
        <w:t xml:space="preserve">Figure </w:t>
      </w:r>
      <w:fldSimple w:instr=" SEQ Figure \* ARABIC ">
        <w:r>
          <w:rPr>
            <w:noProof/>
          </w:rPr>
          <w:t>1</w:t>
        </w:r>
      </w:fldSimple>
      <w:r>
        <w:t xml:space="preserve"> SSE and Number of Clusters</w:t>
      </w:r>
    </w:p>
    <w:p w14:paraId="60646BEF" w14:textId="347783DB" w:rsidR="00360C6E" w:rsidRDefault="00360C6E" w:rsidP="001A6F4F">
      <w:pPr>
        <w:rPr>
          <w:rFonts w:ascii="Times New Roman" w:eastAsia="Times New Roman" w:hAnsi="Times New Roman" w:cs="Times New Roman"/>
        </w:rPr>
      </w:pPr>
      <w:r>
        <w:rPr>
          <w:rFonts w:ascii="Times New Roman" w:eastAsia="Times New Roman" w:hAnsi="Times New Roman" w:cs="Times New Roman"/>
        </w:rPr>
        <w:t xml:space="preserve">The second test was an inspection of the silhouette plot. The silhouette plot confirmed the scree plot in selecting an optimal number of clusters. Both suggested 16 clusters. </w:t>
      </w:r>
    </w:p>
    <w:p w14:paraId="680A343C" w14:textId="6A82CD2B" w:rsidR="00360C6E" w:rsidRDefault="00360C6E" w:rsidP="001A6F4F">
      <w:pPr>
        <w:rPr>
          <w:rFonts w:ascii="Times New Roman" w:eastAsia="Times New Roman" w:hAnsi="Times New Roman" w:cs="Times New Roman"/>
        </w:rPr>
      </w:pPr>
    </w:p>
    <w:p w14:paraId="3627923D" w14:textId="77777777" w:rsidR="00360C6E" w:rsidRDefault="00360C6E" w:rsidP="00360C6E">
      <w:pPr>
        <w:keepNext/>
        <w:jc w:val="center"/>
      </w:pPr>
      <w:r w:rsidRPr="00360C6E">
        <w:rPr>
          <w:rFonts w:ascii="Times New Roman" w:eastAsia="Times New Roman" w:hAnsi="Times New Roman" w:cs="Times New Roman"/>
          <w:noProof/>
        </w:rPr>
        <w:lastRenderedPageBreak/>
        <w:drawing>
          <wp:inline distT="0" distB="0" distL="0" distR="0" wp14:anchorId="036B095F" wp14:editId="4C7421EF">
            <wp:extent cx="3841898" cy="250862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2133" cy="2554483"/>
                    </a:xfrm>
                    <a:prstGeom prst="rect">
                      <a:avLst/>
                    </a:prstGeom>
                    <a:noFill/>
                    <a:ln>
                      <a:noFill/>
                    </a:ln>
                  </pic:spPr>
                </pic:pic>
              </a:graphicData>
            </a:graphic>
          </wp:inline>
        </w:drawing>
      </w:r>
    </w:p>
    <w:p w14:paraId="3C532866" w14:textId="0F81FDAF" w:rsidR="00360C6E" w:rsidRDefault="00360C6E" w:rsidP="00360C6E">
      <w:pPr>
        <w:pStyle w:val="Caption"/>
        <w:jc w:val="center"/>
      </w:pPr>
      <w:r>
        <w:t xml:space="preserve">Figure </w:t>
      </w:r>
      <w:fldSimple w:instr=" SEQ Figure \* ARABIC ">
        <w:r>
          <w:rPr>
            <w:noProof/>
          </w:rPr>
          <w:t>2</w:t>
        </w:r>
      </w:fldSimple>
      <w:r>
        <w:t xml:space="preserve"> Silhouette and Number of Clusters</w:t>
      </w:r>
    </w:p>
    <w:p w14:paraId="08EDE351" w14:textId="77777777" w:rsidR="00360C6E" w:rsidRPr="00360C6E" w:rsidRDefault="00360C6E" w:rsidP="00360C6E"/>
    <w:p w14:paraId="05E8390A" w14:textId="0842913F" w:rsidR="00FF7FB5" w:rsidRDefault="00FF7FB5" w:rsidP="001A6F4F">
      <w:pPr>
        <w:rPr>
          <w:rFonts w:ascii="Times New Roman" w:eastAsia="Times New Roman" w:hAnsi="Times New Roman" w:cs="Times New Roman"/>
        </w:rPr>
      </w:pPr>
      <w:r>
        <w:rPr>
          <w:rFonts w:ascii="Times New Roman" w:eastAsia="Times New Roman" w:hAnsi="Times New Roman" w:cs="Times New Roman"/>
        </w:rPr>
        <w:t xml:space="preserve">HCPCS provides descriptions of drugs and procedures as a column.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after the clusters were adjoined to the original dataset, the HCPCS descriptions were as well. This allowed for deeper insight into the types of drugs contained within each cluster. </w:t>
      </w:r>
    </w:p>
    <w:p w14:paraId="7CCAC6DE" w14:textId="77777777" w:rsidR="00FF7FB5" w:rsidRPr="00FF7FB5" w:rsidRDefault="00FF7FB5" w:rsidP="001A6F4F">
      <w:pPr>
        <w:rPr>
          <w:rFonts w:ascii="Times New Roman" w:eastAsia="Times New Roman" w:hAnsi="Times New Roman" w:cs="Times New Roman"/>
        </w:rPr>
      </w:pPr>
    </w:p>
    <w:p w14:paraId="3705CFA0" w14:textId="42F5D95C" w:rsidR="00360C6E" w:rsidRDefault="00FF7FB5" w:rsidP="001A6F4F">
      <w:pPr>
        <w:rPr>
          <w:rFonts w:ascii="Times New Roman" w:eastAsia="Times New Roman" w:hAnsi="Times New Roman" w:cs="Times New Roman"/>
        </w:rPr>
      </w:pPr>
      <w:r>
        <w:rPr>
          <w:rFonts w:ascii="Times New Roman" w:eastAsia="Times New Roman" w:hAnsi="Times New Roman" w:cs="Times New Roman"/>
          <w:b/>
          <w:bCs/>
        </w:rPr>
        <w:t>Results</w:t>
      </w:r>
    </w:p>
    <w:p w14:paraId="29164E55" w14:textId="5B7E4CBF" w:rsidR="00FF7FB5" w:rsidRDefault="00C93FDA" w:rsidP="001A6F4F">
      <w:pPr>
        <w:rPr>
          <w:rFonts w:ascii="Times New Roman" w:eastAsia="Times New Roman" w:hAnsi="Times New Roman" w:cs="Times New Roman"/>
        </w:rPr>
      </w:pPr>
      <w:r>
        <w:rPr>
          <w:rFonts w:ascii="Times New Roman" w:eastAsia="Times New Roman" w:hAnsi="Times New Roman" w:cs="Times New Roman"/>
        </w:rPr>
        <w:t xml:space="preserve">With 16 clusters, each one took a considerable amount of time to analyze. I will focus on the clusters that provide the most actionable insights to CMS. </w:t>
      </w:r>
    </w:p>
    <w:p w14:paraId="1753221E" w14:textId="77777777" w:rsidR="00C93FDA" w:rsidRDefault="00C93FDA" w:rsidP="001A6F4F">
      <w:pPr>
        <w:rPr>
          <w:rFonts w:ascii="Times New Roman" w:eastAsia="Times New Roman" w:hAnsi="Times New Roman" w:cs="Times New Roman"/>
        </w:rPr>
      </w:pPr>
    </w:p>
    <w:p w14:paraId="4C97899A" w14:textId="52A5E7F2" w:rsidR="0018125D" w:rsidRDefault="00DA64DB" w:rsidP="001A6F4F">
      <w:pPr>
        <w:rPr>
          <w:rFonts w:ascii="Times New Roman" w:eastAsia="Times New Roman" w:hAnsi="Times New Roman" w:cs="Times New Roman"/>
        </w:rPr>
      </w:pPr>
      <w:r>
        <w:rPr>
          <w:rFonts w:ascii="Times New Roman" w:eastAsia="Times New Roman" w:hAnsi="Times New Roman" w:cs="Times New Roman"/>
        </w:rPr>
        <w:t>Cluster 0 was characterized by low costs and almost full coverage of the bill by Medicare. These samples were all non-facilities (not hospitals</w:t>
      </w:r>
      <w:proofErr w:type="gramStart"/>
      <w:r>
        <w:rPr>
          <w:rFonts w:ascii="Times New Roman" w:eastAsia="Times New Roman" w:hAnsi="Times New Roman" w:cs="Times New Roman"/>
        </w:rPr>
        <w:t>), and</w:t>
      </w:r>
      <w:proofErr w:type="gramEnd"/>
      <w:r>
        <w:rPr>
          <w:rFonts w:ascii="Times New Roman" w:eastAsia="Times New Roman" w:hAnsi="Times New Roman" w:cs="Times New Roman"/>
        </w:rPr>
        <w:t xml:space="preserve"> were described as centralized flu facilities. Inspection of the HCPCS descriptions associated with this cluster confirm. All the drugs in this cluster are flu or pneumococcal vaccine related. </w:t>
      </w:r>
    </w:p>
    <w:p w14:paraId="41C00515" w14:textId="77777777" w:rsidR="00C93FDA" w:rsidRDefault="00C93FDA" w:rsidP="001A6F4F">
      <w:pPr>
        <w:rPr>
          <w:rFonts w:ascii="Times New Roman" w:eastAsia="Times New Roman" w:hAnsi="Times New Roman" w:cs="Times New Roman"/>
        </w:rPr>
      </w:pPr>
    </w:p>
    <w:p w14:paraId="31E6B407" w14:textId="66A21099" w:rsidR="00DA64DB" w:rsidRDefault="00DA64DB" w:rsidP="001A6F4F">
      <w:pPr>
        <w:rPr>
          <w:rFonts w:ascii="Times New Roman" w:eastAsia="Times New Roman" w:hAnsi="Times New Roman" w:cs="Times New Roman"/>
        </w:rPr>
      </w:pPr>
      <w:r>
        <w:rPr>
          <w:rFonts w:ascii="Times New Roman" w:eastAsia="Times New Roman" w:hAnsi="Times New Roman" w:cs="Times New Roman"/>
        </w:rPr>
        <w:t xml:space="preserve">Cluster 1 also received almost full coverage by Medicare and was relatively low cost. This cluster was mostly family practice doctors giving flu shots. However, while Medicare did cover almost all of the bill, in comparison to flu shots administered by non-doctors of Cluster 0, Medicare’s expenditures per beneficiary were doubled. </w:t>
      </w:r>
    </w:p>
    <w:p w14:paraId="6DE15026" w14:textId="77CCBDA8" w:rsidR="00DA64DB" w:rsidRDefault="00DA64DB" w:rsidP="001A6F4F">
      <w:pPr>
        <w:rPr>
          <w:rFonts w:ascii="Times New Roman" w:eastAsia="Times New Roman" w:hAnsi="Times New Roman" w:cs="Times New Roman"/>
        </w:rPr>
      </w:pPr>
    </w:p>
    <w:p w14:paraId="0494DFFA" w14:textId="6B508D7F" w:rsidR="00DA64DB" w:rsidRDefault="00DA64DB" w:rsidP="001A6F4F">
      <w:pPr>
        <w:rPr>
          <w:rFonts w:ascii="Times New Roman" w:eastAsia="Times New Roman" w:hAnsi="Times New Roman" w:cs="Times New Roman"/>
        </w:rPr>
      </w:pPr>
      <w:r>
        <w:rPr>
          <w:rFonts w:ascii="Times New Roman" w:eastAsia="Times New Roman" w:hAnsi="Times New Roman" w:cs="Times New Roman"/>
        </w:rPr>
        <w:t xml:space="preserve">Cluster 2 is comprised of flu shots provided by a roster biller. Or a large organization that provides mass immunizations. As such, costs are relatively low, particularly compared to the doctors of Cluster 1. </w:t>
      </w:r>
    </w:p>
    <w:p w14:paraId="0C512E9C" w14:textId="473BD56F" w:rsidR="00C93FDA" w:rsidRDefault="00C93FDA" w:rsidP="001A6F4F">
      <w:pPr>
        <w:rPr>
          <w:rFonts w:ascii="Times New Roman" w:eastAsia="Times New Roman" w:hAnsi="Times New Roman" w:cs="Times New Roman"/>
        </w:rPr>
      </w:pPr>
    </w:p>
    <w:p w14:paraId="5D77E242" w14:textId="4592B484" w:rsidR="00C93FDA" w:rsidRDefault="00C93FDA" w:rsidP="001A6F4F">
      <w:pPr>
        <w:rPr>
          <w:rFonts w:ascii="Times New Roman" w:eastAsia="Times New Roman" w:hAnsi="Times New Roman" w:cs="Times New Roman"/>
        </w:rPr>
      </w:pPr>
      <w:r>
        <w:rPr>
          <w:rFonts w:ascii="Times New Roman" w:eastAsia="Times New Roman" w:hAnsi="Times New Roman" w:cs="Times New Roman"/>
        </w:rPr>
        <w:t xml:space="preserve">I recommend that Medicare encourage its recipients to go to mass immunizers or pharmacies for their flu immunizations. Medicare could decrease its expenditures on flu vaccinations </w:t>
      </w:r>
      <w:r w:rsidR="009242EF">
        <w:rPr>
          <w:rFonts w:ascii="Times New Roman" w:eastAsia="Times New Roman" w:hAnsi="Times New Roman" w:cs="Times New Roman"/>
        </w:rPr>
        <w:t xml:space="preserve">considerably, </w:t>
      </w:r>
      <w:r w:rsidR="00265488">
        <w:rPr>
          <w:rFonts w:ascii="Times New Roman" w:eastAsia="Times New Roman" w:hAnsi="Times New Roman" w:cs="Times New Roman"/>
        </w:rPr>
        <w:t>as currently the majority of individuals receive their flu vaccine from a physician</w:t>
      </w:r>
      <w:r w:rsidR="009242EF">
        <w:rPr>
          <w:rFonts w:ascii="Times New Roman" w:eastAsia="Times New Roman" w:hAnsi="Times New Roman" w:cs="Times New Roman"/>
        </w:rPr>
        <w:t>.</w:t>
      </w:r>
    </w:p>
    <w:p w14:paraId="6D96A4C4" w14:textId="77777777" w:rsidR="00C93FDA" w:rsidRDefault="00C93FDA" w:rsidP="001A6F4F">
      <w:pPr>
        <w:rPr>
          <w:rFonts w:ascii="Times New Roman" w:eastAsia="Times New Roman" w:hAnsi="Times New Roman" w:cs="Times New Roman"/>
        </w:rPr>
      </w:pPr>
    </w:p>
    <w:p w14:paraId="41068C63" w14:textId="27CD8302" w:rsidR="00C93FDA" w:rsidRPr="00C93FDA" w:rsidRDefault="00C93FDA" w:rsidP="001A6F4F">
      <w:pPr>
        <w:rPr>
          <w:rFonts w:ascii="Times New Roman" w:eastAsia="Times New Roman" w:hAnsi="Times New Roman" w:cs="Times New Roman"/>
        </w:rPr>
      </w:pPr>
      <w:r>
        <w:rPr>
          <w:rFonts w:ascii="Times New Roman" w:eastAsia="Times New Roman" w:hAnsi="Times New Roman" w:cs="Times New Roman"/>
        </w:rPr>
        <w:t xml:space="preserve">Cluster 15 is unique in that the average amount that Medicare covers is drastically lower than usual. Based on the difference between average number of services and the number of unique encounters, it seems that high cost drugs are administered multiple times a day for a given patient. The administered drugs (Aflibercept, Bevacizumab, and Ranibizumab primarily) are </w:t>
      </w:r>
      <w:r>
        <w:rPr>
          <w:rFonts w:ascii="Times New Roman" w:eastAsia="Times New Roman" w:hAnsi="Times New Roman" w:cs="Times New Roman"/>
        </w:rPr>
        <w:lastRenderedPageBreak/>
        <w:t>used to treat macular degeneration, which causes blindness.</w:t>
      </w:r>
      <w:r w:rsidR="00265488">
        <w:rPr>
          <w:rFonts w:ascii="Times New Roman" w:eastAsia="Times New Roman" w:hAnsi="Times New Roman" w:cs="Times New Roman"/>
        </w:rPr>
        <w:t xml:space="preserve"> Since Medicare recipients are largely retirement age, massive out-of-pocket spending on healthcare is not sustainable.</w:t>
      </w:r>
      <w:r>
        <w:rPr>
          <w:rFonts w:ascii="Times New Roman" w:eastAsia="Times New Roman" w:hAnsi="Times New Roman" w:cs="Times New Roman"/>
        </w:rPr>
        <w:t xml:space="preserve"> </w:t>
      </w:r>
      <w:r w:rsidR="00265488">
        <w:rPr>
          <w:rFonts w:ascii="Times New Roman" w:eastAsia="Times New Roman" w:hAnsi="Times New Roman" w:cs="Times New Roman"/>
        </w:rPr>
        <w:t xml:space="preserve">In this case, Medicare could improve their service level. CMS has two ways to address this shortcoming. Either negotiate down the price of drugs treating macular </w:t>
      </w:r>
      <w:proofErr w:type="gramStart"/>
      <w:r w:rsidR="00265488">
        <w:rPr>
          <w:rFonts w:ascii="Times New Roman" w:eastAsia="Times New Roman" w:hAnsi="Times New Roman" w:cs="Times New Roman"/>
        </w:rPr>
        <w:t>degeneration, or</w:t>
      </w:r>
      <w:proofErr w:type="gramEnd"/>
      <w:r w:rsidR="00265488">
        <w:rPr>
          <w:rFonts w:ascii="Times New Roman" w:eastAsia="Times New Roman" w:hAnsi="Times New Roman" w:cs="Times New Roman"/>
        </w:rPr>
        <w:t xml:space="preserve"> increase the payment amount to minimize burden on elderly patients with a chronic disease. </w:t>
      </w:r>
    </w:p>
    <w:p w14:paraId="12464A4E" w14:textId="2D9D3CAC" w:rsidR="00DA64DB" w:rsidRDefault="00DA64DB" w:rsidP="001A6F4F">
      <w:pPr>
        <w:rPr>
          <w:rFonts w:ascii="Times New Roman" w:eastAsia="Times New Roman" w:hAnsi="Times New Roman" w:cs="Times New Roman"/>
        </w:rPr>
      </w:pPr>
    </w:p>
    <w:p w14:paraId="21825496" w14:textId="2A2139EB" w:rsidR="00DA64DB" w:rsidRPr="00FF7FB5" w:rsidRDefault="00DA64DB" w:rsidP="001A6F4F">
      <w:pPr>
        <w:rPr>
          <w:rFonts w:ascii="Times New Roman" w:eastAsia="Times New Roman" w:hAnsi="Times New Roman" w:cs="Times New Roman"/>
        </w:rPr>
      </w:pPr>
    </w:p>
    <w:sectPr w:rsidR="00DA64DB" w:rsidRPr="00FF7FB5" w:rsidSect="008661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08F87" w14:textId="77777777" w:rsidR="00875901" w:rsidRDefault="00875901" w:rsidP="008661E7">
      <w:r>
        <w:separator/>
      </w:r>
    </w:p>
  </w:endnote>
  <w:endnote w:type="continuationSeparator" w:id="0">
    <w:p w14:paraId="09EA1588" w14:textId="77777777" w:rsidR="00875901" w:rsidRDefault="00875901" w:rsidP="00866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37F9F" w14:textId="77777777" w:rsidR="00875901" w:rsidRDefault="00875901" w:rsidP="008661E7">
      <w:r>
        <w:separator/>
      </w:r>
    </w:p>
  </w:footnote>
  <w:footnote w:type="continuationSeparator" w:id="0">
    <w:p w14:paraId="2FFB008A" w14:textId="77777777" w:rsidR="00875901" w:rsidRDefault="00875901" w:rsidP="008661E7">
      <w:r>
        <w:continuationSeparator/>
      </w:r>
    </w:p>
  </w:footnote>
  <w:footnote w:id="1">
    <w:p w14:paraId="7E5AE9FB" w14:textId="3AD57057" w:rsidR="00697F79" w:rsidRDefault="00697F79">
      <w:pPr>
        <w:pStyle w:val="FootnoteText"/>
      </w:pPr>
      <w:r>
        <w:rPr>
          <w:rStyle w:val="FootnoteReference"/>
        </w:rPr>
        <w:footnoteRef/>
      </w:r>
      <w:r>
        <w:t xml:space="preserve"> </w:t>
      </w:r>
      <w:hyperlink r:id="rId1" w:history="1">
        <w:r w:rsidRPr="00697F79">
          <w:rPr>
            <w:rFonts w:ascii="Times New Roman" w:eastAsia="Times New Roman" w:hAnsi="Times New Roman" w:cs="Times New Roman"/>
            <w:color w:val="0000FF"/>
            <w:u w:val="single"/>
          </w:rPr>
          <w:t>https://www.cms.gov/Research-Statistics-Data-and-Systems/Statistics-Trends-and-Reports/Medicare-Provider-Charge-Data/Physician-and-Other-Supplier2017</w:t>
        </w:r>
      </w:hyperlink>
    </w:p>
  </w:footnote>
  <w:footnote w:id="2">
    <w:p w14:paraId="29C17465" w14:textId="44D38A04" w:rsidR="00697F79" w:rsidRPr="00314E4B" w:rsidRDefault="00697F79" w:rsidP="00697F79">
      <w:pPr>
        <w:rPr>
          <w:rFonts w:ascii="Times New Roman" w:hAnsi="Times New Roman" w:cs="Times New Roman"/>
          <w:b/>
          <w:bCs/>
          <w:sz w:val="20"/>
          <w:szCs w:val="20"/>
        </w:rPr>
      </w:pPr>
      <w:r w:rsidRPr="00697F79">
        <w:rPr>
          <w:rStyle w:val="FootnoteReference"/>
          <w:rFonts w:ascii="Times New Roman" w:hAnsi="Times New Roman" w:cs="Times New Roman"/>
          <w:sz w:val="22"/>
          <w:szCs w:val="22"/>
        </w:rPr>
        <w:footnoteRef/>
      </w:r>
      <w:r w:rsidR="00314E4B" w:rsidRPr="00314E4B">
        <w:rPr>
          <w:rFonts w:ascii="Times New Roman" w:hAnsi="Times New Roman" w:cs="Times New Roman"/>
          <w:sz w:val="20"/>
          <w:szCs w:val="20"/>
        </w:rPr>
        <w:t>CMS Takes Action to Lower Prescription Drug Prices and Increase Transparency</w:t>
      </w:r>
      <w:r w:rsidR="00314E4B">
        <w:rPr>
          <w:rFonts w:ascii="Times New Roman" w:hAnsi="Times New Roman" w:cs="Times New Roman"/>
          <w:sz w:val="20"/>
          <w:szCs w:val="20"/>
        </w:rPr>
        <w:t>, CMS, 2019,</w:t>
      </w:r>
      <w:r w:rsidRPr="00697F79">
        <w:rPr>
          <w:rFonts w:ascii="Times New Roman" w:hAnsi="Times New Roman" w:cs="Times New Roman"/>
          <w:sz w:val="20"/>
          <w:szCs w:val="20"/>
        </w:rPr>
        <w:t xml:space="preserve"> </w:t>
      </w:r>
      <w:hyperlink r:id="rId2" w:history="1">
        <w:r w:rsidRPr="00697F79">
          <w:rPr>
            <w:rFonts w:ascii="Times New Roman" w:eastAsia="Times New Roman" w:hAnsi="Times New Roman" w:cs="Times New Roman"/>
            <w:color w:val="0000FF"/>
            <w:sz w:val="20"/>
            <w:szCs w:val="20"/>
            <w:u w:val="single"/>
          </w:rPr>
          <w:t>https://www.cms.gov/newsroom/press-releases/cms-takes-action-lower-prescription-drug-prices-and-increase-transparency</w:t>
        </w:r>
      </w:hyperlink>
    </w:p>
    <w:p w14:paraId="01A91585" w14:textId="7D9B1776" w:rsidR="00697F79" w:rsidRPr="00697F79" w:rsidRDefault="00697F79">
      <w:pPr>
        <w:pStyle w:val="FootnoteText"/>
        <w:rPr>
          <w:rFonts w:ascii="Times New Roman" w:hAnsi="Times New Roman" w:cs="Times New Roman"/>
          <w:sz w:val="22"/>
          <w:szCs w:val="22"/>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67"/>
    <w:rsid w:val="0001364B"/>
    <w:rsid w:val="00041B6B"/>
    <w:rsid w:val="00074A4F"/>
    <w:rsid w:val="000835DD"/>
    <w:rsid w:val="0018125D"/>
    <w:rsid w:val="001952FC"/>
    <w:rsid w:val="001A6F4F"/>
    <w:rsid w:val="00265488"/>
    <w:rsid w:val="00314E4B"/>
    <w:rsid w:val="00360C6E"/>
    <w:rsid w:val="0038563C"/>
    <w:rsid w:val="003F4605"/>
    <w:rsid w:val="004A516B"/>
    <w:rsid w:val="004D5A89"/>
    <w:rsid w:val="00532BD6"/>
    <w:rsid w:val="0065089F"/>
    <w:rsid w:val="00692A90"/>
    <w:rsid w:val="00697F79"/>
    <w:rsid w:val="006B246B"/>
    <w:rsid w:val="00704252"/>
    <w:rsid w:val="00737153"/>
    <w:rsid w:val="007E0279"/>
    <w:rsid w:val="0086080F"/>
    <w:rsid w:val="008661E7"/>
    <w:rsid w:val="00875901"/>
    <w:rsid w:val="00877916"/>
    <w:rsid w:val="008D0F3D"/>
    <w:rsid w:val="009242EF"/>
    <w:rsid w:val="009F38D1"/>
    <w:rsid w:val="00A34371"/>
    <w:rsid w:val="00A51EF3"/>
    <w:rsid w:val="00A531F7"/>
    <w:rsid w:val="00A56543"/>
    <w:rsid w:val="00A81A91"/>
    <w:rsid w:val="00B240A4"/>
    <w:rsid w:val="00B3734A"/>
    <w:rsid w:val="00B55692"/>
    <w:rsid w:val="00C02167"/>
    <w:rsid w:val="00C93FDA"/>
    <w:rsid w:val="00CC0A88"/>
    <w:rsid w:val="00D00F3C"/>
    <w:rsid w:val="00D63276"/>
    <w:rsid w:val="00DA1C57"/>
    <w:rsid w:val="00DA64DB"/>
    <w:rsid w:val="00E70958"/>
    <w:rsid w:val="00E81820"/>
    <w:rsid w:val="00FA3000"/>
    <w:rsid w:val="00FF7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8535"/>
  <w15:chartTrackingRefBased/>
  <w15:docId w15:val="{1ADAA187-D495-7F4B-931B-F78A3316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E4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1E7"/>
    <w:pPr>
      <w:tabs>
        <w:tab w:val="center" w:pos="4680"/>
        <w:tab w:val="right" w:pos="9360"/>
      </w:tabs>
    </w:pPr>
  </w:style>
  <w:style w:type="character" w:customStyle="1" w:styleId="HeaderChar">
    <w:name w:val="Header Char"/>
    <w:basedOn w:val="DefaultParagraphFont"/>
    <w:link w:val="Header"/>
    <w:uiPriority w:val="99"/>
    <w:rsid w:val="008661E7"/>
  </w:style>
  <w:style w:type="paragraph" w:styleId="Footer">
    <w:name w:val="footer"/>
    <w:basedOn w:val="Normal"/>
    <w:link w:val="FooterChar"/>
    <w:uiPriority w:val="99"/>
    <w:unhideWhenUsed/>
    <w:rsid w:val="008661E7"/>
    <w:pPr>
      <w:tabs>
        <w:tab w:val="center" w:pos="4680"/>
        <w:tab w:val="right" w:pos="9360"/>
      </w:tabs>
    </w:pPr>
  </w:style>
  <w:style w:type="character" w:customStyle="1" w:styleId="FooterChar">
    <w:name w:val="Footer Char"/>
    <w:basedOn w:val="DefaultParagraphFont"/>
    <w:link w:val="Footer"/>
    <w:uiPriority w:val="99"/>
    <w:rsid w:val="008661E7"/>
  </w:style>
  <w:style w:type="character" w:styleId="Hyperlink">
    <w:name w:val="Hyperlink"/>
    <w:basedOn w:val="DefaultParagraphFont"/>
    <w:uiPriority w:val="99"/>
    <w:semiHidden/>
    <w:unhideWhenUsed/>
    <w:rsid w:val="00697F79"/>
    <w:rPr>
      <w:color w:val="0000FF"/>
      <w:u w:val="single"/>
    </w:rPr>
  </w:style>
  <w:style w:type="paragraph" w:styleId="FootnoteText">
    <w:name w:val="footnote text"/>
    <w:basedOn w:val="Normal"/>
    <w:link w:val="FootnoteTextChar"/>
    <w:uiPriority w:val="99"/>
    <w:semiHidden/>
    <w:unhideWhenUsed/>
    <w:rsid w:val="00697F79"/>
    <w:rPr>
      <w:sz w:val="20"/>
      <w:szCs w:val="20"/>
    </w:rPr>
  </w:style>
  <w:style w:type="character" w:customStyle="1" w:styleId="FootnoteTextChar">
    <w:name w:val="Footnote Text Char"/>
    <w:basedOn w:val="DefaultParagraphFont"/>
    <w:link w:val="FootnoteText"/>
    <w:uiPriority w:val="99"/>
    <w:semiHidden/>
    <w:rsid w:val="00697F79"/>
    <w:rPr>
      <w:sz w:val="20"/>
      <w:szCs w:val="20"/>
    </w:rPr>
  </w:style>
  <w:style w:type="character" w:styleId="FootnoteReference">
    <w:name w:val="footnote reference"/>
    <w:basedOn w:val="DefaultParagraphFont"/>
    <w:uiPriority w:val="99"/>
    <w:semiHidden/>
    <w:unhideWhenUsed/>
    <w:rsid w:val="00697F79"/>
    <w:rPr>
      <w:vertAlign w:val="superscript"/>
    </w:rPr>
  </w:style>
  <w:style w:type="character" w:customStyle="1" w:styleId="Heading1Char">
    <w:name w:val="Heading 1 Char"/>
    <w:basedOn w:val="DefaultParagraphFont"/>
    <w:link w:val="Heading1"/>
    <w:uiPriority w:val="9"/>
    <w:rsid w:val="00314E4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60C6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343931">
      <w:bodyDiv w:val="1"/>
      <w:marLeft w:val="0"/>
      <w:marRight w:val="0"/>
      <w:marTop w:val="0"/>
      <w:marBottom w:val="0"/>
      <w:divBdr>
        <w:top w:val="none" w:sz="0" w:space="0" w:color="auto"/>
        <w:left w:val="none" w:sz="0" w:space="0" w:color="auto"/>
        <w:bottom w:val="none" w:sz="0" w:space="0" w:color="auto"/>
        <w:right w:val="none" w:sz="0" w:space="0" w:color="auto"/>
      </w:divBdr>
    </w:div>
    <w:div w:id="809978263">
      <w:bodyDiv w:val="1"/>
      <w:marLeft w:val="0"/>
      <w:marRight w:val="0"/>
      <w:marTop w:val="0"/>
      <w:marBottom w:val="0"/>
      <w:divBdr>
        <w:top w:val="none" w:sz="0" w:space="0" w:color="auto"/>
        <w:left w:val="none" w:sz="0" w:space="0" w:color="auto"/>
        <w:bottom w:val="none" w:sz="0" w:space="0" w:color="auto"/>
        <w:right w:val="none" w:sz="0" w:space="0" w:color="auto"/>
      </w:divBdr>
    </w:div>
    <w:div w:id="848448209">
      <w:bodyDiv w:val="1"/>
      <w:marLeft w:val="0"/>
      <w:marRight w:val="0"/>
      <w:marTop w:val="0"/>
      <w:marBottom w:val="0"/>
      <w:divBdr>
        <w:top w:val="none" w:sz="0" w:space="0" w:color="auto"/>
        <w:left w:val="none" w:sz="0" w:space="0" w:color="auto"/>
        <w:bottom w:val="none" w:sz="0" w:space="0" w:color="auto"/>
        <w:right w:val="none" w:sz="0" w:space="0" w:color="auto"/>
      </w:divBdr>
    </w:div>
    <w:div w:id="1265767289">
      <w:bodyDiv w:val="1"/>
      <w:marLeft w:val="0"/>
      <w:marRight w:val="0"/>
      <w:marTop w:val="0"/>
      <w:marBottom w:val="0"/>
      <w:divBdr>
        <w:top w:val="none" w:sz="0" w:space="0" w:color="auto"/>
        <w:left w:val="none" w:sz="0" w:space="0" w:color="auto"/>
        <w:bottom w:val="none" w:sz="0" w:space="0" w:color="auto"/>
        <w:right w:val="none" w:sz="0" w:space="0" w:color="auto"/>
      </w:divBdr>
    </w:div>
    <w:div w:id="199421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cms.gov/newsroom/press-releases/cms-takes-action-lower-prescription-drug-prices-and-increase-transparency" TargetMode="External"/><Relationship Id="rId1" Type="http://schemas.openxmlformats.org/officeDocument/2006/relationships/hyperlink" Target="https://www.cms.gov/Research-Statistics-Data-and-Systems/Statistics-Trends-and-Reports/Medicare-Provider-Charge-Data/Physician-and-Other-Supplier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 Raman</dc:creator>
  <cp:keywords/>
  <dc:description/>
  <cp:lastModifiedBy>Anand B Raman</cp:lastModifiedBy>
  <cp:revision>3</cp:revision>
  <dcterms:created xsi:type="dcterms:W3CDTF">2020-01-27T01:42:00Z</dcterms:created>
  <dcterms:modified xsi:type="dcterms:W3CDTF">2020-01-27T06:14:00Z</dcterms:modified>
</cp:coreProperties>
</file>