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MPLAD Intelligence — Complete UI/UX Design Specification</w:t>
      </w:r>
    </w:p>
    <w:p>
      <w:r>
        <w:t>____________________________________________________</w:t>
      </w:r>
    </w:p>
    <w:p>
      <w:pPr>
        <w:pStyle w:val="Heading2"/>
      </w:pPr>
      <w:r>
        <w:t>1. Product Overview</w:t>
      </w:r>
    </w:p>
    <w:p>
      <w:r>
        <w:t>**MPLAD Intelligence** is a specialized, institutional-grade monitoring, analytics, and investigation prioritization platform developed specifically for the implementation of the Member of Parliament Local Area Development Scheme (MPLADS).</w:t>
      </w:r>
    </w:p>
    <w:p>
      <w:r>
        <w:t>The platform continuously processes multi-source scheme data—including MP recommendations, administrative sanctions, Single Nodal Account (SNA) financial releases, milestone completion reports, geo-tagged physical evidence, and implementing agency records—to highlight unusual patterns, cost inflation, progress discrepancies, and entity linkages.</w:t>
      </w:r>
    </w:p>
    <w:p>
      <w:pPr>
        <w:pStyle w:val="Heading3"/>
      </w:pPr>
      <w:r>
        <w:t>Core Philosophy &amp; Operational Framing</w:t>
      </w:r>
    </w:p>
    <w:p>
      <w:pPr>
        <w:pStyle w:val="ListBullet"/>
      </w:pPr>
      <w:r>
        <w:t>**Signal Generation, Not Automated Verdicts**: The system does NOT automatically label projects or contractors as "fraudulent." Instead, AI/ML models and deterministic compliance rule engines compute a dynamic **Risk Priority Score (0–100)** and generate explicit, evidence-backed anomaly signals.</w:t>
      </w:r>
    </w:p>
    <w:p>
      <w:pPr>
        <w:pStyle w:val="ListBullet"/>
      </w:pPr>
      <w:r>
        <w:t>**Human-in-the-Loop Decision Support**: Authorized government officers review aggregated evidence, examine forensic chronologies, analyze contractor network graphs, and determine appropriate administrative actions (e.g., requesting field inspections, withholding payments, or escalating cases to formal audit).</w:t>
      </w:r>
    </w:p>
    <w:p>
      <w:pPr>
        <w:pStyle w:val="ListBullet"/>
      </w:pPr>
      <w:r>
        <w:t>**Complete Auditability**: Every action, note, escalation, or status update executed within the system is immutably logged for legal and administrative accountability.</w:t>
      </w:r>
    </w:p>
    <w:p>
      <w:r>
        <w:t>____________________________________________________</w:t>
      </w:r>
    </w:p>
    <w:p>
      <w:pPr>
        <w:pStyle w:val="Heading2"/>
      </w:pPr>
      <w:r>
        <w:t>2. User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61B22"/>
          </w:tcPr>
          <w:p>
            <w:r>
              <w:rPr>
                <w:b/>
                <w:color w:val="E6EDF3"/>
              </w:rPr>
              <w:t>Persona</w:t>
            </w:r>
          </w:p>
        </w:tc>
        <w:tc>
          <w:tcPr>
            <w:tcW w:type="dxa" w:w="1872"/>
            <w:shd w:fill="161B22"/>
          </w:tcPr>
          <w:p>
            <w:r>
              <w:rPr>
                <w:b/>
                <w:color w:val="E6EDF3"/>
              </w:rPr>
              <w:t>Role &amp; Organization</w:t>
            </w:r>
          </w:p>
        </w:tc>
        <w:tc>
          <w:tcPr>
            <w:tcW w:type="dxa" w:w="1872"/>
            <w:shd w:fill="161B22"/>
          </w:tcPr>
          <w:p>
            <w:r>
              <w:rPr>
                <w:b/>
                <w:color w:val="E6EDF3"/>
              </w:rPr>
              <w:t>Primary Goals</w:t>
            </w:r>
          </w:p>
        </w:tc>
        <w:tc>
          <w:tcPr>
            <w:tcW w:type="dxa" w:w="1872"/>
            <w:shd w:fill="161B22"/>
          </w:tcPr>
          <w:p>
            <w:r>
              <w:rPr>
                <w:b/>
                <w:color w:val="E6EDF3"/>
              </w:rPr>
              <w:t>Key Pain Points</w:t>
            </w:r>
          </w:p>
        </w:tc>
        <w:tc>
          <w:tcPr>
            <w:tcW w:type="dxa" w:w="1872"/>
            <w:shd w:fill="161B22"/>
          </w:tcPr>
          <w:p>
            <w:r>
              <w:rPr>
                <w:b/>
                <w:color w:val="E6EDF3"/>
              </w:rPr>
              <w:t>Platform Needs</w:t>
            </w:r>
          </w:p>
        </w:tc>
      </w:tr>
      <w:tr>
        <w:tc>
          <w:tcPr>
            <w:tcW w:type="dxa" w:w="1872"/>
          </w:tcPr>
          <w:p>
            <w:r>
              <w:t>**National Nodal Officer**</w:t>
            </w:r>
          </w:p>
        </w:tc>
        <w:tc>
          <w:tcPr>
            <w:tcW w:type="dxa" w:w="1872"/>
          </w:tcPr>
          <w:p>
            <w:r>
              <w:t>Central Officer, Ministry of Statistics &amp; Programme Implementation (MoSPI)</w:t>
            </w:r>
          </w:p>
        </w:tc>
        <w:tc>
          <w:tcPr>
            <w:tcW w:type="dxa" w:w="1872"/>
          </w:tcPr>
          <w:p>
            <w:r>
              <w:t>Monitor scheme implementation nation-wide; ensure fund utilization aligns with policy; detect systemic anomalies.</w:t>
            </w:r>
          </w:p>
        </w:tc>
        <w:tc>
          <w:tcPr>
            <w:tcW w:type="dxa" w:w="1872"/>
          </w:tcPr>
          <w:p>
            <w:r>
              <w:t>Overwhelmed by thousands of manual monthly progress reports; inability to detect cross-state contractor syndicates.</w:t>
            </w:r>
          </w:p>
        </w:tc>
        <w:tc>
          <w:tcPr>
            <w:tcW w:type="dxa" w:w="1872"/>
          </w:tcPr>
          <w:p>
            <w:r>
              <w:t>High-density National Command Center; macro KPI metrics; state-level risk heatmaps; cross-district query filters.</w:t>
            </w:r>
          </w:p>
        </w:tc>
      </w:tr>
      <w:tr>
        <w:tc>
          <w:tcPr>
            <w:tcW w:type="dxa" w:w="1872"/>
          </w:tcPr>
          <w:p>
            <w:r>
              <w:t>**State Nodal Authority**</w:t>
            </w:r>
          </w:p>
        </w:tc>
        <w:tc>
          <w:tcPr>
            <w:tcW w:type="dxa" w:w="1872"/>
          </w:tcPr>
          <w:p>
            <w:r>
              <w:t>Secretary / Joint Secretary, State Planning Department</w:t>
            </w:r>
          </w:p>
        </w:tc>
        <w:tc>
          <w:tcPr>
            <w:tcW w:type="dxa" w:w="1872"/>
          </w:tcPr>
          <w:p>
            <w:r>
              <w:t>Oversight of all parliamentary constituencies within the State; audit DA allocations and SC/ST allocation compliance.</w:t>
            </w:r>
          </w:p>
        </w:tc>
        <w:tc>
          <w:tcPr>
            <w:tcW w:type="dxa" w:w="1872"/>
          </w:tcPr>
          <w:p>
            <w:r>
              <w:t>Lacks real-time visibility into district-level bottlenecks; delayed physical verification reports from remote blocks.</w:t>
            </w:r>
          </w:p>
        </w:tc>
        <w:tc>
          <w:tcPr>
            <w:tcW w:type="dxa" w:w="1872"/>
          </w:tcPr>
          <w:p>
            <w:r>
              <w:t>State/District Analytics; filterable Risk &amp; Investigation Queue; anomaly cluster mapping.</w:t>
            </w:r>
          </w:p>
        </w:tc>
      </w:tr>
      <w:tr>
        <w:tc>
          <w:tcPr>
            <w:tcW w:type="dxa" w:w="1872"/>
          </w:tcPr>
          <w:p>
            <w:r>
              <w:t>**District Authority (DA)**</w:t>
            </w:r>
          </w:p>
        </w:tc>
        <w:tc>
          <w:tcPr>
            <w:tcW w:type="dxa" w:w="1872"/>
          </w:tcPr>
          <w:p>
            <w:r>
              <w:t>District Collector / District Magistrate (DM) / Deputy Commissioner</w:t>
            </w:r>
          </w:p>
        </w:tc>
        <w:tc>
          <w:tcPr>
            <w:tcW w:type="dxa" w:w="1872"/>
          </w:tcPr>
          <w:p>
            <w:r>
              <w:t>Review MP recommendations; issue Administrative Sanctions (AS); assign Implementing Agencies (IAs); verify physical work completion.</w:t>
            </w:r>
          </w:p>
        </w:tc>
        <w:tc>
          <w:tcPr>
            <w:tcW w:type="dxa" w:w="1872"/>
          </w:tcPr>
          <w:p>
            <w:r>
              <w:t>Difficulty verifying physical progress vs disbursement requests; potential political pressure; contractor concentration risks.</w:t>
            </w:r>
          </w:p>
        </w:tc>
        <w:tc>
          <w:tcPr>
            <w:tcW w:type="dxa" w:w="1872"/>
          </w:tcPr>
          <w:p>
            <w:r>
              <w:t>Deep Project Intelligence view; evidence comparison widgets (Geo-photo vs Fund release); instant field inspection dispatch workspace.</w:t>
            </w:r>
          </w:p>
        </w:tc>
      </w:tr>
      <w:tr>
        <w:tc>
          <w:tcPr>
            <w:tcW w:type="dxa" w:w="1872"/>
          </w:tcPr>
          <w:p>
            <w:r>
              <w:t>**Field Audit / Investigation Officer**</w:t>
            </w:r>
          </w:p>
        </w:tc>
        <w:tc>
          <w:tcPr>
            <w:tcW w:type="dxa" w:w="1872"/>
          </w:tcPr>
          <w:p>
            <w:r>
              <w:t>CAG Auditor / Vigilance Officer / Third-Party Inspector</w:t>
            </w:r>
          </w:p>
        </w:tc>
        <w:tc>
          <w:tcPr>
            <w:tcW w:type="dxa" w:w="1872"/>
          </w:tcPr>
          <w:p>
            <w:r>
              <w:t>Conduct deep-dive investigations into flagged projects; collect on-ground evidence; substantiate audit findings.</w:t>
            </w:r>
          </w:p>
        </w:tc>
        <w:tc>
          <w:tcPr>
            <w:tcW w:type="dxa" w:w="1872"/>
          </w:tcPr>
          <w:p>
            <w:r>
              <w:t>Disconnected evidence sources; fragmented paper trails; lack of historical contractor performance data.</w:t>
            </w:r>
          </w:p>
        </w:tc>
        <w:tc>
          <w:tcPr>
            <w:tcW w:type="dxa" w:w="1872"/>
          </w:tcPr>
          <w:p>
            <w:r>
              <w:t>Forensic Chronology timeline; Contractor Network Graph; evidence aggregation drawer; immutable audit notes panel.</w:t>
            </w:r>
          </w:p>
        </w:tc>
      </w:tr>
    </w:tbl>
    <w:p>
      <w:r>
        <w:t>____________________________________________________</w:t>
      </w:r>
    </w:p>
    <w:p>
      <w:pPr>
        <w:pStyle w:val="Heading2"/>
      </w:pPr>
      <w:r>
        <w:t>3. UX Goals</w:t>
      </w:r>
    </w:p>
    <w:p>
      <w:r>
        <w:t>1. **Information Density without Cognitive Overload**: Present multi-variable risk metrics, financial data, and geospatial indicators in clean, structured cards and high-density data tables without cluttering the screen.</w:t>
      </w:r>
    </w:p>
    <w:p>
      <w:r>
        <w:t>2. **Instant Signal Traceability**: Ensure an officer can trace any high-level risk score down to its precise underlying data discrepancy (e.g., *85% funds released vs 15% physical progress verified*) within two clicks.</w:t>
      </w:r>
    </w:p>
    <w:p>
      <w:r>
        <w:t>3. **Calm, Authoritative Analytical Focus**: Use a restrained, dark institutional interface optimized for long monitoring sessions (8+ hours/day) that minimizes eye fatigue and visual noise.</w:t>
      </w:r>
    </w:p>
    <w:p>
      <w:r>
        <w:t>4. **Defensible Action Workflows**: Require explicit confirmation, administrative justification, and audit-logging for high-impact operator decisions (such as holding payments or escalating to vigilance).</w:t>
      </w:r>
    </w:p>
    <w:p>
      <w:r>
        <w:t>____________________________________________________</w:t>
      </w:r>
    </w:p>
    <w:p>
      <w:pPr>
        <w:pStyle w:val="Heading2"/>
      </w:pPr>
      <w:r>
        <w:t>4. Design Principles</w:t>
      </w:r>
    </w:p>
    <w:p>
      <w:r>
        <w:t>1. **Evidence Before Decoration**: Visual elements exist solely to present facts, signals, and relationship structures. Decorative animations, flashy gradients, and non-functional visual flourishes are prohibited.</w:t>
      </w:r>
    </w:p>
    <w:p>
      <w:r>
        <w:t>2. **Risk Before Aesthetics**: Highlight critical risk items using distinct semantic color indicators (`#DC2626` Red) so that officers immediately notice urgent anomalies upon opening any screen.</w:t>
      </w:r>
    </w:p>
    <w:p>
      <w:r>
        <w:t>3. **Human Decision-Making Remains Central**: The UI frames AI output explicitly as `AI/ML Signal` or `Observed Anomaly`, reserving verbs like `Confirmed` or `Sanctioned` strictly for verified officer actions.</w:t>
      </w:r>
    </w:p>
    <w:p>
      <w:r>
        <w:t>4. **Every Number Requires Context**: Never show an isolated metric. Always provide baseline comparisons (e.g., *₹42.5L released vs ₹50L sanctioned*, *+12.3% vs last quarter*, *Peer benchmark: 45 days*).</w:t>
      </w:r>
    </w:p>
    <w:p>
      <w:r>
        <w:t>5. **Traceable Audit Trails**: Every state change, inspection dispatch, payment hold, or investigation note must generate a visible, timestamped audit log item.</w:t>
      </w:r>
    </w:p>
    <w:p>
      <w:r>
        <w:t>____________________________________________________</w:t>
      </w:r>
    </w:p>
    <w:p>
      <w:pPr>
        <w:pStyle w:val="Heading2"/>
      </w:pPr>
      <w:r>
        <w:t>5. Visual Design System</w:t>
      </w:r>
    </w:p>
    <w:p>
      <w:r>
        <w:t>The visual design language strictly enforces a dark institutional dashboard style suitable for national oversight command centers and specialized investigation workstations.</w:t>
      </w:r>
    </w:p>
    <w:p>
      <w:r>
        <w:t>```</w:t>
      </w:r>
    </w:p>
    <w:p>
      <w:r>
        <w:t>+-----------------------------------------------------------------------------------+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61B22"/>
          </w:tcPr>
          <w:p>
            <w:r>
              <w:rPr>
                <w:b/>
                <w:color w:val="E6EDF3"/>
              </w:rPr>
              <w:t>#0D1117 (App Background)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t>#161B22 (Surface / Card Background)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t>Border: 1px solid #21262D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t>Text: #E6EDF3 (Primary)</w:t>
            </w:r>
          </w:p>
        </w:tc>
        <w:tc>
          <w:tcPr>
            <w:tcW w:type="dxa" w:w="1872"/>
          </w:tcPr>
          <w:p>
            <w:r>
              <w:t>#7D8590 (Muted)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>
              <w:t>Accents: #0E857C (Teal Primary)</w:t>
            </w:r>
          </w:p>
        </w:tc>
        <w:tc>
          <w:tcPr>
            <w:tcW w:type="dxa" w:w="1872"/>
          </w:tcPr>
          <w:p>
            <w:r>
              <w:t>#DC2626 (Critical)</w:t>
            </w:r>
          </w:p>
        </w:tc>
        <w:tc>
          <w:tcPr>
            <w:tcW w:type="dxa" w:w="1872"/>
          </w:tcPr>
          <w:p>
            <w:r>
              <w:t>#EAB308 (Warning)</w:t>
            </w:r>
          </w:p>
        </w:tc>
        <w:tc>
          <w:tcPr>
            <w:tcW w:type="dxa" w:w="1872"/>
          </w:tcPr>
          <w:p>
            <w:r/>
          </w:p>
        </w:tc>
      </w:tr>
    </w:tbl>
    <w:p>
      <w:r>
        <w:t>+-----------------------------------------------------------------------------------+</w:t>
      </w:r>
    </w:p>
    <w:p>
      <w:r>
        <w:t>```</w:t>
      </w:r>
    </w:p>
    <w:p>
      <w:pPr>
        <w:pStyle w:val="Heading3"/>
      </w:pPr>
      <w:r>
        <w:t>Visual Characteristics</w:t>
      </w:r>
    </w:p>
    <w:p>
      <w:pPr>
        <w:pStyle w:val="ListBullet"/>
      </w:pPr>
      <w:r>
        <w:t>**Surfaces**: Layered dark charcoal tiles (`#161B22`) over deep onyx background (`#0D1117`) with subtle 1px border lines (`#21262D`).</w:t>
      </w:r>
    </w:p>
    <w:p>
      <w:pPr>
        <w:pStyle w:val="ListBullet"/>
      </w:pPr>
      <w:r>
        <w:t>**Corner Radius**: Restrained geometry with standard `4px` or `6px` radius for containers, badges, and controls.</w:t>
      </w:r>
    </w:p>
    <w:p>
      <w:pPr>
        <w:pStyle w:val="ListBullet"/>
      </w:pPr>
      <w:r>
        <w:t>**Typography**: Crisp, clean monospaced font hierarchy for data tables and numeric codes, paired with an authoritative sans-serif typeface for UI headers.</w:t>
      </w:r>
    </w:p>
    <w:p>
      <w:pPr>
        <w:pStyle w:val="ListBullet"/>
      </w:pPr>
      <w:r>
        <w:t>**Elevation &amp; Shadows**: Minimal shadow usage; visual hierarchy is established strictly via surface contrast (`#161B22` vs `#21262D`) and font weights.</w:t>
      </w:r>
    </w:p>
    <w:p>
      <w:r>
        <w:t>____________________________________________________</w:t>
      </w:r>
    </w:p>
    <w:p>
      <w:pPr>
        <w:pStyle w:val="Heading2"/>
      </w:pPr>
      <w:r>
        <w:t>6. Color Tokens</w:t>
      </w:r>
    </w:p>
    <w:p>
      <w:r>
        <w:t>Color usage is strictly semantic and functional. Colors must never be used purely as visual decoration.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61B22"/>
          </w:tcPr>
          <w:p>
            <w:r>
              <w:rPr>
                <w:b/>
                <w:color w:val="E6EDF3"/>
              </w:rPr>
              <w:t>Token Name</w:t>
            </w:r>
          </w:p>
        </w:tc>
        <w:tc>
          <w:tcPr>
            <w:tcW w:type="dxa" w:w="3120"/>
            <w:shd w:fill="161B22"/>
          </w:tcPr>
          <w:p>
            <w:r>
              <w:rPr>
                <w:b/>
                <w:color w:val="E6EDF3"/>
              </w:rPr>
              <w:t>Hex Code</w:t>
            </w:r>
          </w:p>
        </w:tc>
        <w:tc>
          <w:tcPr>
            <w:tcW w:type="dxa" w:w="3120"/>
            <w:shd w:fill="161B22"/>
          </w:tcPr>
          <w:p>
            <w:r>
              <w:rPr>
                <w:b/>
                <w:color w:val="E6EDF3"/>
              </w:rPr>
              <w:t>Semantic Role / Application</w:t>
            </w:r>
          </w:p>
        </w:tc>
      </w:tr>
      <w:tr>
        <w:tc>
          <w:tcPr>
            <w:tcW w:type="dxa" w:w="3120"/>
          </w:tcPr>
          <w:p>
            <w:r>
              <w:t>`color-bg-base`</w:t>
            </w:r>
          </w:p>
        </w:tc>
        <w:tc>
          <w:tcPr>
            <w:tcW w:type="dxa" w:w="3120"/>
          </w:tcPr>
          <w:p>
            <w:r>
              <w:t>`#0D1117`</w:t>
            </w:r>
          </w:p>
        </w:tc>
        <w:tc>
          <w:tcPr>
            <w:tcW w:type="dxa" w:w="3120"/>
          </w:tcPr>
          <w:p>
            <w:r>
              <w:t>Main canvas background across all application screens.</w:t>
            </w:r>
          </w:p>
        </w:tc>
      </w:tr>
      <w:tr>
        <w:tc>
          <w:tcPr>
            <w:tcW w:type="dxa" w:w="3120"/>
          </w:tcPr>
          <w:p>
            <w:r>
              <w:t>`color-surface-card`</w:t>
            </w:r>
          </w:p>
        </w:tc>
        <w:tc>
          <w:tcPr>
            <w:tcW w:type="dxa" w:w="3120"/>
          </w:tcPr>
          <w:p>
            <w:r>
              <w:t>`#161B22`</w:t>
            </w:r>
          </w:p>
        </w:tc>
        <w:tc>
          <w:tcPr>
            <w:tcW w:type="dxa" w:w="3120"/>
          </w:tcPr>
          <w:p>
            <w:r>
              <w:t>Cards, container tiles, drawer backgrounds, modal bodies.</w:t>
            </w:r>
          </w:p>
        </w:tc>
      </w:tr>
      <w:tr>
        <w:tc>
          <w:tcPr>
            <w:tcW w:type="dxa" w:w="3120"/>
          </w:tcPr>
          <w:p>
            <w:r>
              <w:t>`color-surface-hover`</w:t>
            </w:r>
          </w:p>
        </w:tc>
        <w:tc>
          <w:tcPr>
            <w:tcW w:type="dxa" w:w="3120"/>
          </w:tcPr>
          <w:p>
            <w:r>
              <w:t>`#1F242C`</w:t>
            </w:r>
          </w:p>
        </w:tc>
        <w:tc>
          <w:tcPr>
            <w:tcW w:type="dxa" w:w="3120"/>
          </w:tcPr>
          <w:p>
            <w:r>
              <w:t>Table row hover, button hover, sidebar item hover.</w:t>
            </w:r>
          </w:p>
        </w:tc>
      </w:tr>
      <w:tr>
        <w:tc>
          <w:tcPr>
            <w:tcW w:type="dxa" w:w="3120"/>
          </w:tcPr>
          <w:p>
            <w:r>
              <w:t>`color-border-subtle`</w:t>
            </w:r>
          </w:p>
        </w:tc>
        <w:tc>
          <w:tcPr>
            <w:tcW w:type="dxa" w:w="3120"/>
          </w:tcPr>
          <w:p>
            <w:r>
              <w:t>`#21262D`</w:t>
            </w:r>
          </w:p>
        </w:tc>
        <w:tc>
          <w:tcPr>
            <w:tcW w:type="dxa" w:w="3120"/>
          </w:tcPr>
          <w:p>
            <w:r>
              <w:t>Container outlines, table dividers, card boundaries.</w:t>
            </w:r>
          </w:p>
        </w:tc>
      </w:tr>
      <w:tr>
        <w:tc>
          <w:tcPr>
            <w:tcW w:type="dxa" w:w="3120"/>
          </w:tcPr>
          <w:p>
            <w:r>
              <w:t>`color-border-strong`</w:t>
            </w:r>
          </w:p>
        </w:tc>
        <w:tc>
          <w:tcPr>
            <w:tcW w:type="dxa" w:w="3120"/>
          </w:tcPr>
          <w:p>
            <w:r>
              <w:t>`#30363D`</w:t>
            </w:r>
          </w:p>
        </w:tc>
        <w:tc>
          <w:tcPr>
            <w:tcW w:type="dxa" w:w="3120"/>
          </w:tcPr>
          <w:p>
            <w:r>
              <w:t>Active control borders, focused inputs, active tab indicators.</w:t>
            </w:r>
          </w:p>
        </w:tc>
      </w:tr>
      <w:tr>
        <w:tc>
          <w:tcPr>
            <w:tcW w:type="dxa" w:w="3120"/>
          </w:tcPr>
          <w:p>
            <w:r>
              <w:t>`color-accent-teal`</w:t>
            </w:r>
          </w:p>
        </w:tc>
        <w:tc>
          <w:tcPr>
            <w:tcW w:type="dxa" w:w="3120"/>
          </w:tcPr>
          <w:p>
            <w:r>
              <w:t>`#0E857C`</w:t>
            </w:r>
          </w:p>
        </w:tc>
        <w:tc>
          <w:tcPr>
            <w:tcW w:type="dxa" w:w="3120"/>
          </w:tcPr>
          <w:p>
            <w:r>
              <w:t>Primary interactive elements, active navigation state, primary buttons, system branding.</w:t>
            </w:r>
          </w:p>
        </w:tc>
      </w:tr>
      <w:tr>
        <w:tc>
          <w:tcPr>
            <w:tcW w:type="dxa" w:w="3120"/>
          </w:tcPr>
          <w:p>
            <w:r>
              <w:t>`color-accent-blue`</w:t>
            </w:r>
          </w:p>
        </w:tc>
        <w:tc>
          <w:tcPr>
            <w:tcW w:type="dxa" w:w="3120"/>
          </w:tcPr>
          <w:p>
            <w:r>
              <w:t>`#486581`</w:t>
            </w:r>
          </w:p>
        </w:tc>
        <w:tc>
          <w:tcPr>
            <w:tcW w:type="dxa" w:w="3120"/>
          </w:tcPr>
          <w:p>
            <w:r>
              <w:t>Secondary actions, neutral metadata highlights, data visualization elements.</w:t>
            </w:r>
          </w:p>
        </w:tc>
      </w:tr>
      <w:tr>
        <w:tc>
          <w:tcPr>
            <w:tcW w:type="dxa" w:w="3120"/>
          </w:tcPr>
          <w:p>
            <w:r>
              <w:t>`color-text-primary`</w:t>
            </w:r>
          </w:p>
        </w:tc>
        <w:tc>
          <w:tcPr>
            <w:tcW w:type="dxa" w:w="3120"/>
          </w:tcPr>
          <w:p>
            <w:r>
              <w:t>`#E6EDF3`</w:t>
            </w:r>
          </w:p>
        </w:tc>
        <w:tc>
          <w:tcPr>
            <w:tcW w:type="dxa" w:w="3120"/>
          </w:tcPr>
          <w:p>
            <w:r>
              <w:t>Headings, primary table values, metric digits, main body text.</w:t>
            </w:r>
          </w:p>
        </w:tc>
      </w:tr>
      <w:tr>
        <w:tc>
          <w:tcPr>
            <w:tcW w:type="dxa" w:w="3120"/>
          </w:tcPr>
          <w:p>
            <w:r>
              <w:t>`color-text-muted`</w:t>
            </w:r>
          </w:p>
        </w:tc>
        <w:tc>
          <w:tcPr>
            <w:tcW w:type="dxa" w:w="3120"/>
          </w:tcPr>
          <w:p>
            <w:r>
              <w:t>`#7D8590`</w:t>
            </w:r>
          </w:p>
        </w:tc>
        <w:tc>
          <w:tcPr>
            <w:tcW w:type="dxa" w:w="3120"/>
          </w:tcPr>
          <w:p>
            <w:r>
              <w:t>Labels, subtitles, timestamp strings, table headers, breadcrumbs.</w:t>
            </w:r>
          </w:p>
        </w:tc>
      </w:tr>
      <w:tr>
        <w:tc>
          <w:tcPr>
            <w:tcW w:type="dxa" w:w="3120"/>
          </w:tcPr>
          <w:p>
            <w:r>
              <w:t>`color-status-critical`</w:t>
            </w:r>
          </w:p>
        </w:tc>
        <w:tc>
          <w:tcPr>
            <w:tcW w:type="dxa" w:w="3120"/>
          </w:tcPr>
          <w:p>
            <w:r>
              <w:t>`#DC2626`</w:t>
            </w:r>
          </w:p>
        </w:tc>
        <w:tc>
          <w:tcPr>
            <w:tcW w:type="dxa" w:w="3120"/>
          </w:tcPr>
          <w:p>
            <w:r>
              <w:t>Critical priority badges, high-risk scores (80–100), critical anomaly alerts, payment hold status.</w:t>
            </w:r>
          </w:p>
        </w:tc>
      </w:tr>
      <w:tr>
        <w:tc>
          <w:tcPr>
            <w:tcW w:type="dxa" w:w="3120"/>
          </w:tcPr>
          <w:p>
            <w:r>
              <w:t>`color-status-warning`</w:t>
            </w:r>
          </w:p>
        </w:tc>
        <w:tc>
          <w:tcPr>
            <w:tcW w:type="dxa" w:w="3120"/>
          </w:tcPr>
          <w:p>
            <w:r>
              <w:t>`#EAB308`</w:t>
            </w:r>
          </w:p>
        </w:tc>
        <w:tc>
          <w:tcPr>
            <w:tcW w:type="dxa" w:w="3120"/>
          </w:tcPr>
          <w:p>
            <w:r>
              <w:t>Review required badges, medium-risk scores (50–79), physical/financial timeline warnings.</w:t>
            </w:r>
          </w:p>
        </w:tc>
      </w:tr>
      <w:tr>
        <w:tc>
          <w:tcPr>
            <w:tcW w:type="dxa" w:w="3120"/>
          </w:tcPr>
          <w:p>
            <w:r>
              <w:t>`color-status-success`</w:t>
            </w:r>
          </w:p>
        </w:tc>
        <w:tc>
          <w:tcPr>
            <w:tcW w:type="dxa" w:w="3120"/>
          </w:tcPr>
          <w:p>
            <w:r>
              <w:t>`#238636`</w:t>
            </w:r>
          </w:p>
        </w:tc>
        <w:tc>
          <w:tcPr>
            <w:tcW w:type="dxa" w:w="3120"/>
          </w:tcPr>
          <w:p>
            <w:r>
              <w:t>Low risk scores (0–49), verified status, normal progress, cleared audit state.</w:t>
            </w:r>
          </w:p>
        </w:tc>
      </w:tr>
    </w:tbl>
    <w:p>
      <w:r>
        <w:t>____________________________________________________</w:t>
      </w:r>
    </w:p>
    <w:p>
      <w:pPr>
        <w:pStyle w:val="Heading2"/>
      </w:pPr>
      <w:r>
        <w:t>7. Typography</w:t>
      </w:r>
    </w:p>
    <w:p>
      <w:r>
        <w:t>The platform utilizes system font stacks optimized for data density and screen legibility: `Inter`, `-apple-system`, `BlinkMacSystemFont`, `Segoe UI`, `Roboto`, `sans-serif`. All numeric IDs, monetary values, timestamps, and coordinates use tabular monospaced numbers (`JetBrains Mono` or `ui-monospace`).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61B22"/>
          </w:tcPr>
          <w:p>
            <w:r>
              <w:rPr>
                <w:b/>
                <w:color w:val="E6EDF3"/>
              </w:rPr>
              <w:t>Type Scale</w:t>
            </w:r>
          </w:p>
        </w:tc>
        <w:tc>
          <w:tcPr>
            <w:tcW w:type="dxa" w:w="1560"/>
            <w:shd w:fill="161B22"/>
          </w:tcPr>
          <w:p>
            <w:r>
              <w:rPr>
                <w:b/>
                <w:color w:val="E6EDF3"/>
              </w:rPr>
              <w:t>Size</w:t>
            </w:r>
          </w:p>
        </w:tc>
        <w:tc>
          <w:tcPr>
            <w:tcW w:type="dxa" w:w="1560"/>
            <w:shd w:fill="161B22"/>
          </w:tcPr>
          <w:p>
            <w:r>
              <w:rPr>
                <w:b/>
                <w:color w:val="E6EDF3"/>
              </w:rPr>
              <w:t>Line Height</w:t>
            </w:r>
          </w:p>
        </w:tc>
        <w:tc>
          <w:tcPr>
            <w:tcW w:type="dxa" w:w="1560"/>
            <w:shd w:fill="161B22"/>
          </w:tcPr>
          <w:p>
            <w:r>
              <w:rPr>
                <w:b/>
                <w:color w:val="E6EDF3"/>
              </w:rPr>
              <w:t>Weight</w:t>
            </w:r>
          </w:p>
        </w:tc>
        <w:tc>
          <w:tcPr>
            <w:tcW w:type="dxa" w:w="1560"/>
            <w:shd w:fill="161B22"/>
          </w:tcPr>
          <w:p>
            <w:r>
              <w:rPr>
                <w:b/>
                <w:color w:val="E6EDF3"/>
              </w:rPr>
              <w:t>Case / Style</w:t>
            </w:r>
          </w:p>
        </w:tc>
        <w:tc>
          <w:tcPr>
            <w:tcW w:type="dxa" w:w="1560"/>
            <w:shd w:fill="161B22"/>
          </w:tcPr>
          <w:p>
            <w:r>
              <w:rPr>
                <w:b/>
                <w:color w:val="E6EDF3"/>
              </w:rPr>
              <w:t>Usage</w:t>
            </w:r>
          </w:p>
        </w:tc>
      </w:tr>
      <w:tr>
        <w:tc>
          <w:tcPr>
            <w:tcW w:type="dxa" w:w="1560"/>
          </w:tcPr>
          <w:p>
            <w:r>
              <w:t>`Display Title`</w:t>
            </w:r>
          </w:p>
        </w:tc>
        <w:tc>
          <w:tcPr>
            <w:tcW w:type="dxa" w:w="1560"/>
          </w:tcPr>
          <w:p>
            <w:r>
              <w:t>24px</w:t>
            </w:r>
          </w:p>
        </w:tc>
        <w:tc>
          <w:tcPr>
            <w:tcW w:type="dxa" w:w="1560"/>
          </w:tcPr>
          <w:p>
            <w:r>
              <w:t>32px</w:t>
            </w:r>
          </w:p>
        </w:tc>
        <w:tc>
          <w:tcPr>
            <w:tcW w:type="dxa" w:w="1560"/>
          </w:tcPr>
          <w:p>
            <w:r>
              <w:t>700 (Bold)</w:t>
            </w:r>
          </w:p>
        </w:tc>
        <w:tc>
          <w:tcPr>
            <w:tcW w:type="dxa" w:w="1560"/>
          </w:tcPr>
          <w:p>
            <w:r>
              <w:t>Normal</w:t>
            </w:r>
          </w:p>
        </w:tc>
        <w:tc>
          <w:tcPr>
            <w:tcW w:type="dxa" w:w="1560"/>
          </w:tcPr>
          <w:p>
            <w:r>
              <w:t>Page titles (e.g., *National Command Center*, *Project Intelligence*)</w:t>
            </w:r>
          </w:p>
        </w:tc>
      </w:tr>
      <w:tr>
        <w:tc>
          <w:tcPr>
            <w:tcW w:type="dxa" w:w="1560"/>
          </w:tcPr>
          <w:p>
            <w:r>
              <w:t>`Section Title`</w:t>
            </w:r>
          </w:p>
        </w:tc>
        <w:tc>
          <w:tcPr>
            <w:tcW w:type="dxa" w:w="1560"/>
          </w:tcPr>
          <w:p>
            <w:r>
              <w:t>18px</w:t>
            </w:r>
          </w:p>
        </w:tc>
        <w:tc>
          <w:tcPr>
            <w:tcW w:type="dxa" w:w="1560"/>
          </w:tcPr>
          <w:p>
            <w:r>
              <w:t>24px</w:t>
            </w:r>
          </w:p>
        </w:tc>
        <w:tc>
          <w:tcPr>
            <w:tcW w:type="dxa" w:w="1560"/>
          </w:tcPr>
          <w:p>
            <w:r>
              <w:t>600 (SemiBold)</w:t>
            </w:r>
          </w:p>
        </w:tc>
        <w:tc>
          <w:tcPr>
            <w:tcW w:type="dxa" w:w="1560"/>
          </w:tcPr>
          <w:p>
            <w:r>
              <w:t>Normal</w:t>
            </w:r>
          </w:p>
        </w:tc>
        <w:tc>
          <w:tcPr>
            <w:tcW w:type="dxa" w:w="1560"/>
          </w:tcPr>
          <w:p>
            <w:r>
              <w:t>Card headers, modal titles, drawer section headers</w:t>
            </w:r>
          </w:p>
        </w:tc>
      </w:tr>
      <w:tr>
        <w:tc>
          <w:tcPr>
            <w:tcW w:type="dxa" w:w="1560"/>
          </w:tcPr>
          <w:p>
            <w:r>
              <w:t>`Metric Value`</w:t>
            </w:r>
          </w:p>
        </w:tc>
        <w:tc>
          <w:tcPr>
            <w:tcW w:type="dxa" w:w="1560"/>
          </w:tcPr>
          <w:p>
            <w:r>
              <w:t>28px</w:t>
            </w:r>
          </w:p>
        </w:tc>
        <w:tc>
          <w:tcPr>
            <w:tcW w:type="dxa" w:w="1560"/>
          </w:tcPr>
          <w:p>
            <w:r>
              <w:t>34px</w:t>
            </w:r>
          </w:p>
        </w:tc>
        <w:tc>
          <w:tcPr>
            <w:tcW w:type="dxa" w:w="1560"/>
          </w:tcPr>
          <w:p>
            <w:r>
              <w:t>700 (Bold)</w:t>
            </w:r>
          </w:p>
        </w:tc>
        <w:tc>
          <w:tcPr>
            <w:tcW w:type="dxa" w:w="1560"/>
          </w:tcPr>
          <w:p>
            <w:r>
              <w:t>Tabular Monospace</w:t>
            </w:r>
          </w:p>
        </w:tc>
        <w:tc>
          <w:tcPr>
            <w:tcW w:type="dxa" w:w="1560"/>
          </w:tcPr>
          <w:p>
            <w:r>
              <w:t>KPI numerical figures (e.g., *42,891*, *₹8,450 Cr*, *92/100*)</w:t>
            </w:r>
          </w:p>
        </w:tc>
      </w:tr>
      <w:tr>
        <w:tc>
          <w:tcPr>
            <w:tcW w:type="dxa" w:w="1560"/>
          </w:tcPr>
          <w:p>
            <w:r>
              <w:t>`Body Primary`</w:t>
            </w:r>
          </w:p>
        </w:tc>
        <w:tc>
          <w:tcPr>
            <w:tcW w:type="dxa" w:w="1560"/>
          </w:tcPr>
          <w:p>
            <w:r>
              <w:t>14px</w:t>
            </w:r>
          </w:p>
        </w:tc>
        <w:tc>
          <w:tcPr>
            <w:tcW w:type="dxa" w:w="1560"/>
          </w:tcPr>
          <w:p>
            <w:r>
              <w:t>20px</w:t>
            </w:r>
          </w:p>
        </w:tc>
        <w:tc>
          <w:tcPr>
            <w:tcW w:type="dxa" w:w="1560"/>
          </w:tcPr>
          <w:p>
            <w:r>
              <w:t>400 (Regular)</w:t>
            </w:r>
          </w:p>
        </w:tc>
        <w:tc>
          <w:tcPr>
            <w:tcW w:type="dxa" w:w="1560"/>
          </w:tcPr>
          <w:p>
            <w:r>
              <w:t>Normal</w:t>
            </w:r>
          </w:p>
        </w:tc>
        <w:tc>
          <w:tcPr>
            <w:tcW w:type="dxa" w:w="1560"/>
          </w:tcPr>
          <w:p>
            <w:r>
              <w:t>Primary table cell content, evidence descriptions, officer notes</w:t>
            </w:r>
          </w:p>
        </w:tc>
      </w:tr>
      <w:tr>
        <w:tc>
          <w:tcPr>
            <w:tcW w:type="dxa" w:w="1560"/>
          </w:tcPr>
          <w:p>
            <w:r>
              <w:t>`Body Medium`</w:t>
            </w:r>
          </w:p>
        </w:tc>
        <w:tc>
          <w:tcPr>
            <w:tcW w:type="dxa" w:w="1560"/>
          </w:tcPr>
          <w:p>
            <w:r>
              <w:t>14px</w:t>
            </w:r>
          </w:p>
        </w:tc>
        <w:tc>
          <w:tcPr>
            <w:tcW w:type="dxa" w:w="1560"/>
          </w:tcPr>
          <w:p>
            <w:r>
              <w:t>20px</w:t>
            </w:r>
          </w:p>
        </w:tc>
        <w:tc>
          <w:tcPr>
            <w:tcW w:type="dxa" w:w="1560"/>
          </w:tcPr>
          <w:p>
            <w:r>
              <w:t>500 (Medium)</w:t>
            </w:r>
          </w:p>
        </w:tc>
        <w:tc>
          <w:tcPr>
            <w:tcW w:type="dxa" w:w="1560"/>
          </w:tcPr>
          <w:p>
            <w:r>
              <w:t>Normal</w:t>
            </w:r>
          </w:p>
        </w:tc>
        <w:tc>
          <w:tcPr>
            <w:tcW w:type="dxa" w:w="1560"/>
          </w:tcPr>
          <w:p>
            <w:r>
              <w:t>Button text, form labels, active tab text</w:t>
            </w:r>
          </w:p>
        </w:tc>
      </w:tr>
      <w:tr>
        <w:tc>
          <w:tcPr>
            <w:tcW w:type="dxa" w:w="1560"/>
          </w:tcPr>
          <w:p>
            <w:r>
              <w:t>`Caption / Muted`</w:t>
            </w:r>
          </w:p>
        </w:tc>
        <w:tc>
          <w:tcPr>
            <w:tcW w:type="dxa" w:w="1560"/>
          </w:tcPr>
          <w:p>
            <w:r>
              <w:t>12px</w:t>
            </w:r>
          </w:p>
        </w:tc>
        <w:tc>
          <w:tcPr>
            <w:tcW w:type="dxa" w:w="1560"/>
          </w:tcPr>
          <w:p>
            <w:r>
              <w:t>16px</w:t>
            </w:r>
          </w:p>
        </w:tc>
        <w:tc>
          <w:tcPr>
            <w:tcW w:type="dxa" w:w="1560"/>
          </w:tcPr>
          <w:p>
            <w:r>
              <w:t>400 (Regular)</w:t>
            </w:r>
          </w:p>
        </w:tc>
        <w:tc>
          <w:tcPr>
            <w:tcW w:type="dxa" w:w="1560"/>
          </w:tcPr>
          <w:p>
            <w:r>
              <w:t>Normal</w:t>
            </w:r>
          </w:p>
        </w:tc>
        <w:tc>
          <w:tcPr>
            <w:tcW w:type="dxa" w:w="1560"/>
          </w:tcPr>
          <w:p>
            <w:r>
              <w:t>Field subtitles, metric trend indicators, metadata</w:t>
            </w:r>
          </w:p>
        </w:tc>
      </w:tr>
      <w:tr>
        <w:tc>
          <w:tcPr>
            <w:tcW w:type="dxa" w:w="1560"/>
          </w:tcPr>
          <w:p>
            <w:r>
              <w:t>`Table Header`</w:t>
            </w:r>
          </w:p>
        </w:tc>
        <w:tc>
          <w:tcPr>
            <w:tcW w:type="dxa" w:w="1560"/>
          </w:tcPr>
          <w:p>
            <w:r>
              <w:t>11px</w:t>
            </w:r>
          </w:p>
        </w:tc>
        <w:tc>
          <w:tcPr>
            <w:tcW w:type="dxa" w:w="1560"/>
          </w:tcPr>
          <w:p>
            <w:r>
              <w:t>16px</w:t>
            </w:r>
          </w:p>
        </w:tc>
        <w:tc>
          <w:tcPr>
            <w:tcW w:type="dxa" w:w="1560"/>
          </w:tcPr>
          <w:p>
            <w:r>
              <w:t>600 (SemiBold)</w:t>
            </w:r>
          </w:p>
        </w:tc>
        <w:tc>
          <w:tcPr>
            <w:tcW w:type="dxa" w:w="1560"/>
          </w:tcPr>
          <w:p>
            <w:r>
              <w:t>UPPERCASE</w:t>
            </w:r>
          </w:p>
        </w:tc>
        <w:tc>
          <w:tcPr>
            <w:tcW w:type="dxa" w:w="1560"/>
          </w:tcPr>
          <w:p>
            <w:r>
              <w:t>Data table column headers, status badge labels</w:t>
            </w:r>
          </w:p>
        </w:tc>
      </w:tr>
    </w:tbl>
    <w:p>
      <w:r>
        <w:t>____________________________________________________</w:t>
      </w:r>
    </w:p>
    <w:p>
      <w:pPr>
        <w:pStyle w:val="Heading2"/>
      </w:pPr>
      <w:r>
        <w:t>8. Spacing &amp; Grid</w:t>
      </w:r>
    </w:p>
    <w:p>
      <w:pPr>
        <w:pStyle w:val="ListBullet"/>
      </w:pPr>
      <w:r>
        <w:t>**Base Unit**: 4px grid system (`4px`, `8px`, `12px`, `16px`, `24px`, `32px`, `48px`).</w:t>
      </w:r>
    </w:p>
    <w:p>
      <w:pPr>
        <w:pStyle w:val="ListBullet"/>
      </w:pPr>
      <w:r>
        <w:t>**Page Padding**: `24px` horizontal and vertical padding around primary dashboard containers.</w:t>
      </w:r>
    </w:p>
    <w:p>
      <w:pPr>
        <w:pStyle w:val="ListBullet"/>
      </w:pPr>
      <w:r>
        <w:t>**Card Internal Padding**: `16px` or `20px` uniform padding.</w:t>
      </w:r>
    </w:p>
    <w:p>
      <w:pPr>
        <w:pStyle w:val="ListBullet"/>
      </w:pPr>
      <w:r>
        <w:t>**Component Gap**: `12px` or `16px` between layout cards; `8px` between inline form controls.</w:t>
      </w:r>
    </w:p>
    <w:p>
      <w:pPr>
        <w:pStyle w:val="ListBullet"/>
      </w:pPr>
      <w:r>
        <w:t>**Table Cell Density**: `10px` vertical padding, `12px` horizontal padding for high data density.</w:t>
      </w:r>
    </w:p>
    <w:p>
      <w:r>
        <w:t>____________________________________________________</w:t>
      </w:r>
    </w:p>
    <w:p>
      <w:pPr>
        <w:pStyle w:val="Heading2"/>
      </w:pPr>
      <w:r>
        <w:t>9. Application Shell</w:t>
      </w:r>
    </w:p>
    <w:p>
      <w:r>
        <w:t>The desktop application shell provides a persistent frame enclosing the entire operational platform.</w:t>
      </w:r>
    </w:p>
    <w:p>
      <w:r>
        <w:t>```</w:t>
      </w:r>
    </w:p>
    <w:p>
      <w:r>
        <w:t>+-------------------------------------------------------------------------------------------------+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61B22"/>
          </w:tcPr>
          <w:p>
            <w:r>
              <w:rPr>
                <w:b/>
                <w:color w:val="E6EDF3"/>
              </w:rPr>
              <w:t>TOP BAR: Logo</w:t>
            </w:r>
          </w:p>
        </w:tc>
        <w:tc>
          <w:tcPr>
            <w:tcW w:type="dxa" w:w="1872"/>
            <w:shd w:fill="161B22"/>
          </w:tcPr>
          <w:p>
            <w:r>
              <w:rPr>
                <w:b/>
                <w:color w:val="E6EDF3"/>
              </w:rPr>
              <w:t>Search Projects, IDs...</w:t>
            </w:r>
          </w:p>
        </w:tc>
        <w:tc>
          <w:tcPr>
            <w:tcW w:type="dxa" w:w="1872"/>
            <w:shd w:fill="161B22"/>
          </w:tcPr>
          <w:p>
            <w:r>
              <w:rPr>
                <w:b/>
                <w:color w:val="E6EDF3"/>
              </w:rPr>
              <w:t>Reporting Period [Q3 FY23-24]</w:t>
            </w:r>
          </w:p>
        </w:tc>
        <w:tc>
          <w:tcPr>
            <w:tcW w:type="dxa" w:w="1872"/>
            <w:shd w:fill="161B22"/>
          </w:tcPr>
          <w:p>
            <w:r>
              <w:rPr>
                <w:b/>
                <w:color w:val="E6EDF3"/>
              </w:rPr>
              <w:t>Alerts (3)</w:t>
            </w:r>
          </w:p>
        </w:tc>
        <w:tc>
          <w:tcPr>
            <w:tcW w:type="dxa" w:w="1872"/>
            <w:shd w:fill="161B22"/>
          </w:tcPr>
          <w:p>
            <w:r>
              <w:rPr>
                <w:b/>
                <w:color w:val="E6EDF3"/>
              </w:rPr>
              <w:t>Officer</w:t>
            </w:r>
          </w:p>
        </w:tc>
      </w:tr>
    </w:tbl>
    <w:p>
      <w:r>
        <w:t>+-------------------+-----------------------------------------------------------------------------+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61B22"/>
          </w:tcPr>
          <w:p>
            <w:r>
              <w:rPr>
                <w:b/>
                <w:color w:val="E6EDF3"/>
              </w:rPr>
              <w:t>SIDEBAR</w:t>
            </w:r>
          </w:p>
        </w:tc>
        <w:tc>
          <w:tcPr>
            <w:tcW w:type="dxa" w:w="4680"/>
            <w:shd w:fill="161B22"/>
          </w:tcPr>
          <w:p>
            <w:r>
              <w:rPr>
                <w:b/>
                <w:color w:val="E6EDF3"/>
              </w:rPr>
              <w:t>MAIN CONTENT AREA</w:t>
            </w:r>
          </w:p>
        </w:tc>
      </w:tr>
      <w:tr>
        <w:tc>
          <w:tcPr>
            <w:tcW w:type="dxa" w:w="4680"/>
          </w:tcPr>
          <w:p>
            <w:r>
              <w:t>- Overview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- Risk &amp; Queue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- Project Intel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- District Analytics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- Geo Risk Map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- Contractor Net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- Comparison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- Workspace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- Audit Log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- Data Sources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- Settings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FOOTER PROFILE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Officer Name / DA</w:t>
            </w:r>
          </w:p>
        </w:tc>
        <w:tc>
          <w:tcPr>
            <w:tcW w:type="dxa" w:w="4680"/>
          </w:tcPr>
          <w:p>
            <w:r/>
          </w:p>
        </w:tc>
      </w:tr>
    </w:tbl>
    <w:p>
      <w:r>
        <w:t>+-------------------+-----------------------------------------------------------------------------+</w:t>
      </w:r>
    </w:p>
    <w:p>
      <w:r>
        <w:t>```</w:t>
      </w:r>
    </w:p>
    <w:p>
      <w:pPr>
        <w:pStyle w:val="Heading3"/>
      </w:pPr>
      <w:r>
        <w:t>Specifications</w:t>
      </w:r>
    </w:p>
    <w:p>
      <w:pPr>
        <w:pStyle w:val="ListBullet"/>
      </w:pPr>
      <w:r>
        <w:t>**Left Sidebar Width**: Fixed `240px`. Dark background (`#0D1117`), right border (`1px solid #21262D`).</w:t>
      </w:r>
    </w:p>
    <w:p>
      <w:pPr>
        <w:pStyle w:val="ListBullet"/>
      </w:pPr>
      <w:r>
        <w:t>**Top Bar Height**: Fixed `56px`. Surface background (`#161B22`), bottom border (`1px solid #21262D`).</w:t>
      </w:r>
    </w:p>
    <w:p>
      <w:pPr>
        <w:pStyle w:val="ListBullet"/>
      </w:pPr>
      <w:r>
        <w:t>**Main Content Area**: Fluid width, responsive scroll container with background (`#0D1117`).</w:t>
      </w:r>
    </w:p>
    <w:p>
      <w:r>
        <w:t>____________________________________________________</w:t>
      </w:r>
    </w:p>
    <w:p>
      <w:pPr>
        <w:pStyle w:val="Heading2"/>
      </w:pPr>
      <w:r>
        <w:t>10. Navigation Architecture</w:t>
      </w:r>
    </w:p>
    <w:p>
      <w:r>
        <w:t>```mermaid</w:t>
      </w:r>
    </w:p>
    <w:p>
      <w:r>
        <w:t>flowchart TD</w:t>
      </w:r>
    </w:p>
    <w:p>
      <w:r>
        <w:t>AppShell[Application Shell] --&gt; Overview[1. National Command Center]</w:t>
      </w:r>
    </w:p>
    <w:p>
      <w:r>
        <w:t>AppShell --&gt; Queue[2. Risk &amp; Investigation Queue]</w:t>
      </w:r>
    </w:p>
    <w:p>
      <w:r>
        <w:t>AppShell --&gt; ProjIntel[3. Project Intelligence]</w:t>
      </w:r>
    </w:p>
    <w:p>
      <w:r>
        <w:t>AppShell --&gt; DistAnalytics[4. District Analytics]</w:t>
      </w:r>
    </w:p>
    <w:p>
      <w:r>
        <w:t>AppShell --&gt; GeoMap[5. Geo Risk Map]</w:t>
      </w:r>
    </w:p>
    <w:p>
      <w:r>
        <w:t>AppShell --&gt; NetGraph[6. Contractor Network Graph]</w:t>
      </w:r>
    </w:p>
    <w:p>
      <w:r>
        <w:t>AppShell --&gt; ProjComp[7. Project Comparison]</w:t>
      </w:r>
    </w:p>
    <w:p>
      <w:r>
        <w:t>AppShell --&gt; CaseWS[8. Investigation Workspace]</w:t>
      </w:r>
    </w:p>
    <w:p>
      <w:r>
        <w:t>AppShell --&gt; AuditLog[9. Audit Log]</w:t>
      </w:r>
    </w:p>
    <w:p>
      <w:r>
        <w:t>AppShell --&gt; DataSrc[10. Data Sources]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61B22"/>
          </w:tcPr>
          <w:p>
            <w:r>
              <w:rPr>
                <w:b/>
                <w:color w:val="E6EDF3"/>
              </w:rPr>
              <w:t>Select Project Row</w:t>
            </w:r>
          </w:p>
        </w:tc>
      </w:tr>
      <w:tr>
        <w:tc>
          <w:tcPr>
            <w:tcW w:type="dxa" w:w="9360"/>
          </w:tcPr>
          <w:p>
            <w:r>
              <w:t>Click Anomaly Cluster</w:t>
            </w:r>
          </w:p>
        </w:tc>
      </w:tr>
      <w:tr>
        <w:tc>
          <w:tcPr>
            <w:tcW w:type="dxa" w:w="9360"/>
          </w:tcPr>
          <w:p>
            <w:r>
              <w:t>Select Contractor Node</w:t>
            </w:r>
          </w:p>
        </w:tc>
      </w:tr>
      <w:tr>
        <w:tc>
          <w:tcPr>
            <w:tcW w:type="dxa" w:w="9360"/>
          </w:tcPr>
          <w:p>
            <w:r>
              <w:t>Click Escalate / Hold</w:t>
            </w:r>
          </w:p>
        </w:tc>
      </w:tr>
    </w:tbl>
    <w:p>
      <w:r>
        <w:t>```</w:t>
      </w:r>
    </w:p>
    <w:p>
      <w:r>
        <w:t>____________________________________________________</w:t>
      </w:r>
    </w:p>
    <w:p>
      <w:pPr>
        <w:pStyle w:val="Heading2"/>
      </w:pPr>
      <w:r>
        <w:t>11. National Command Center</w:t>
      </w:r>
    </w:p>
    <w:p>
      <w:r>
        <w:t>```</w:t>
      </w:r>
    </w:p>
    <w:p>
      <w:r>
        <w:t>+-------------------------------------------------------------------------------------------------+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61B22"/>
          </w:tcPr>
          <w:p>
            <w:r>
              <w:rPr>
                <w:b/>
                <w:color w:val="E6EDF3"/>
              </w:rPr>
              <w:t>National Command Center                                       [ Export Report ] [ + New Case ]</w:t>
            </w:r>
          </w:p>
        </w:tc>
      </w:tr>
      <w:tr>
        <w:tc>
          <w:tcPr>
            <w:tcW w:type="dxa" w:w="9360"/>
          </w:tcPr>
          <w:p>
            <w:r>
              <w:t>Real-time monitoring of Member of Parliament Local Area Development Scheme</w:t>
            </w:r>
          </w:p>
        </w:tc>
      </w:tr>
    </w:tbl>
    <w:p>
      <w:r>
        <w:t>+------------------+-------------------+--------------------+-------------------------------------+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61B22"/>
          </w:tcPr>
          <w:p>
            <w:r>
              <w:rPr>
                <w:b/>
                <w:color w:val="E6EDF3"/>
              </w:rPr>
              <w:t>MONITORED</w:t>
            </w:r>
          </w:p>
        </w:tc>
        <w:tc>
          <w:tcPr>
            <w:tcW w:type="dxa" w:w="2340"/>
            <w:shd w:fill="161B22"/>
          </w:tcPr>
          <w:p>
            <w:r>
              <w:rPr>
                <w:b/>
                <w:color w:val="E6EDF3"/>
              </w:rPr>
              <w:t>HIGH-RISK</w:t>
            </w:r>
          </w:p>
        </w:tc>
        <w:tc>
          <w:tcPr>
            <w:tcW w:type="dxa" w:w="2340"/>
            <w:shd w:fill="161B22"/>
          </w:tcPr>
          <w:p>
            <w:r>
              <w:rPr>
                <w:b/>
                <w:color w:val="E6EDF3"/>
              </w:rPr>
              <w:t>DETECTED ANOMALIES</w:t>
            </w:r>
          </w:p>
        </w:tc>
        <w:tc>
          <w:tcPr>
            <w:tcW w:type="dxa" w:w="2340"/>
            <w:shd w:fill="161B22"/>
          </w:tcPr>
          <w:p>
            <w:r>
              <w:rPr>
                <w:b/>
                <w:color w:val="E6EDF3"/>
              </w:rPr>
              <w:t>SANCTIONED VALUE</w:t>
            </w:r>
          </w:p>
        </w:tc>
      </w:tr>
      <w:tr>
        <w:tc>
          <w:tcPr>
            <w:tcW w:type="dxa" w:w="2340"/>
          </w:tcPr>
          <w:p>
            <w:r>
              <w:t>42,891</w:t>
            </w:r>
          </w:p>
        </w:tc>
        <w:tc>
          <w:tcPr>
            <w:tcW w:type="dxa" w:w="2340"/>
          </w:tcPr>
          <w:p>
            <w:r>
              <w:t>1,204</w:t>
            </w:r>
          </w:p>
        </w:tc>
        <w:tc>
          <w:tcPr>
            <w:tcW w:type="dxa" w:w="2340"/>
          </w:tcPr>
          <w:p>
            <w:r>
              <w:t>347</w:t>
            </w:r>
          </w:p>
        </w:tc>
        <w:tc>
          <w:tcPr>
            <w:tcW w:type="dxa" w:w="2340"/>
          </w:tcPr>
          <w:p>
            <w:r>
              <w:t>₹8,450 Cr</w:t>
            </w:r>
          </w:p>
        </w:tc>
      </w:tr>
      <w:tr>
        <w:tc>
          <w:tcPr>
            <w:tcW w:type="dxa" w:w="2340"/>
          </w:tcPr>
          <w:p>
            <w:r>
              <w:t>+2.4% vs last qtr</w:t>
            </w:r>
          </w:p>
        </w:tc>
        <w:tc>
          <w:tcPr>
            <w:tcW w:type="dxa" w:w="2340"/>
          </w:tcPr>
          <w:p>
            <w:r>
              <w:t>+12.3% Immediate</w:t>
            </w:r>
          </w:p>
        </w:tc>
        <w:tc>
          <w:tcPr>
            <w:tcW w:type="dxa" w:w="2340"/>
          </w:tcPr>
          <w:p>
            <w:r>
              <w:t>+5.2% vs last week</w:t>
            </w:r>
          </w:p>
        </w:tc>
        <w:tc>
          <w:tcPr>
            <w:tcW w:type="dxa" w:w="2340"/>
          </w:tcPr>
          <w:p>
            <w:r>
              <w:t>Current FY Allocation</w:t>
            </w:r>
          </w:p>
        </w:tc>
      </w:tr>
    </w:tbl>
    <w:p>
      <w:r>
        <w:t>+------------------+-------------------+--------------------+-------------------------------------+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61B22"/>
          </w:tcPr>
          <w:p>
            <w:r>
              <w:rPr>
                <w:b/>
                <w:color w:val="E6EDF3"/>
              </w:rPr>
              <w:t>ANOMALY TREND (BAR CHART)</w:t>
            </w:r>
          </w:p>
        </w:tc>
        <w:tc>
          <w:tcPr>
            <w:tcW w:type="dxa" w:w="1560"/>
            <w:shd w:fill="161B22"/>
          </w:tcPr>
          <w:p>
            <w:r>
              <w:rPr>
                <w:b/>
                <w:color w:val="E6EDF3"/>
              </w:rPr>
              <w:t>GEOGRAPHIC RISK MAP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r>
              <w:t>[ Critical</w:t>
            </w:r>
          </w:p>
        </w:tc>
        <w:tc>
          <w:tcPr>
            <w:tcW w:type="dxa" w:w="1560"/>
          </w:tcPr>
          <w:p>
            <w:r>
              <w:t>High</w:t>
            </w:r>
          </w:p>
        </w:tc>
        <w:tc>
          <w:tcPr>
            <w:tcW w:type="dxa" w:w="1560"/>
          </w:tcPr>
          <w:p>
            <w:r>
              <w:t>Medium</w:t>
            </w:r>
          </w:p>
        </w:tc>
        <w:tc>
          <w:tcPr>
            <w:tcW w:type="dxa" w:w="1560"/>
          </w:tcPr>
          <w:p>
            <w:r>
              <w:t>Low</w:t>
            </w:r>
          </w:p>
        </w:tc>
        <w:tc>
          <w:tcPr>
            <w:tcW w:type="dxa" w:w="1560"/>
          </w:tcPr>
          <w:p>
            <w:r>
              <w:t>Normal ]</w:t>
            </w:r>
          </w:p>
        </w:tc>
        <w:tc>
          <w:tcPr>
            <w:tcW w:type="dxa" w:w="1560"/>
          </w:tcPr>
          <w:p>
            <w:r>
              <w:t>Heatmap overlay of India districts</w:t>
            </w:r>
          </w:p>
        </w:tc>
      </w:tr>
      <w:tr>
        <w:tc>
          <w:tcPr>
            <w:tcW w:type="dxa" w:w="1560"/>
          </w:tcPr>
          <w:p>
            <w:r>
              <w:t>[Mon] [Tue] [Wed] [Thu] [Fri] [Sat] [Sun]</w:t>
            </w:r>
          </w:p>
        </w:tc>
        <w:tc>
          <w:tcPr>
            <w:tcW w:type="dxa" w:w="1560"/>
          </w:tcPr>
          <w:p>
            <w:r>
              <w:t>Critical Zone: Uttar Pradesh - Region 4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</w:tbl>
    <w:p>
      <w:r>
        <w:t>+----------------------------------------------+--------------------------------------------------+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61B22"/>
          </w:tcPr>
          <w:p>
            <w:r>
              <w:rPr>
                <w:b/>
                <w:color w:val="E6EDF3"/>
              </w:rPr>
              <w:t>PRIORITY REVIEW QUEUE</w:t>
            </w:r>
          </w:p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</w:tr>
      <w:tr>
        <w:tc>
          <w:tcPr>
            <w:tcW w:type="dxa" w:w="1337"/>
          </w:tcPr>
          <w:p>
            <w:r>
              <w:t>Project ID</w:t>
            </w:r>
          </w:p>
        </w:tc>
        <w:tc>
          <w:tcPr>
            <w:tcW w:type="dxa" w:w="1337"/>
          </w:tcPr>
          <w:p>
            <w:r>
              <w:t>Project Name</w:t>
            </w:r>
          </w:p>
        </w:tc>
        <w:tc>
          <w:tcPr>
            <w:tcW w:type="dxa" w:w="1337"/>
          </w:tcPr>
          <w:p>
            <w:r>
              <w:t>Agency</w:t>
            </w:r>
          </w:p>
        </w:tc>
        <w:tc>
          <w:tcPr>
            <w:tcW w:type="dxa" w:w="1337"/>
          </w:tcPr>
          <w:p>
            <w:r>
              <w:t>Risk Score</w:t>
            </w:r>
          </w:p>
        </w:tc>
        <w:tc>
          <w:tcPr>
            <w:tcW w:type="dxa" w:w="1337"/>
          </w:tcPr>
          <w:p>
            <w:r>
              <w:t>Primary Signal</w:t>
            </w:r>
          </w:p>
        </w:tc>
        <w:tc>
          <w:tcPr>
            <w:tcW w:type="dxa" w:w="1337"/>
          </w:tcPr>
          <w:p>
            <w:r>
              <w:t>Status</w:t>
            </w:r>
          </w:p>
        </w:tc>
        <w:tc>
          <w:tcPr>
            <w:tcW w:type="dxa" w:w="1337"/>
          </w:tcPr>
          <w:p>
            <w:r>
              <w:t>Action</w:t>
            </w:r>
          </w:p>
        </w:tc>
      </w:tr>
      <w:tr>
        <w:tc>
          <w:tcPr>
            <w:tcW w:type="dxa" w:w="1337"/>
          </w:tcPr>
          <w:p>
            <w:r>
              <w:t>KPL-UP-0921</w:t>
            </w:r>
          </w:p>
        </w:tc>
        <w:tc>
          <w:tcPr>
            <w:tcW w:type="dxa" w:w="1337"/>
          </w:tcPr>
          <w:p>
            <w:r>
              <w:t>Community Health...</w:t>
            </w:r>
          </w:p>
        </w:tc>
        <w:tc>
          <w:tcPr>
            <w:tcW w:type="dxa" w:w="1337"/>
          </w:tcPr>
          <w:p>
            <w:r>
              <w:t>PWD III</w:t>
            </w:r>
          </w:p>
        </w:tc>
        <w:tc>
          <w:tcPr>
            <w:tcW w:type="dxa" w:w="1337"/>
          </w:tcPr>
          <w:p>
            <w:r>
              <w:t>94/100</w:t>
            </w:r>
          </w:p>
        </w:tc>
        <w:tc>
          <w:tcPr>
            <w:tcW w:type="dxa" w:w="1337"/>
          </w:tcPr>
          <w:p>
            <w:r>
              <w:t>Vendor Network Overlap</w:t>
            </w:r>
          </w:p>
        </w:tc>
        <w:tc>
          <w:tcPr>
            <w:tcW w:type="dxa" w:w="1337"/>
          </w:tcPr>
          <w:p>
            <w:r>
              <w:t>Under Inv</w:t>
            </w:r>
          </w:p>
        </w:tc>
        <w:tc>
          <w:tcPr>
            <w:tcW w:type="dxa" w:w="1337"/>
          </w:tcPr>
          <w:p>
            <w:r>
              <w:t>Review</w:t>
            </w:r>
          </w:p>
        </w:tc>
      </w:tr>
      <w:tr>
        <w:tc>
          <w:tcPr>
            <w:tcW w:type="dxa" w:w="1337"/>
          </w:tcPr>
          <w:p>
            <w:r>
              <w:t>KPL-MH-4432</w:t>
            </w:r>
          </w:p>
        </w:tc>
        <w:tc>
          <w:tcPr>
            <w:tcW w:type="dxa" w:w="1337"/>
          </w:tcPr>
          <w:p>
            <w:r>
              <w:t>Rural Road Imp...</w:t>
            </w:r>
          </w:p>
        </w:tc>
        <w:tc>
          <w:tcPr>
            <w:tcW w:type="dxa" w:w="1337"/>
          </w:tcPr>
          <w:p>
            <w:r>
              <w:t>ZP Pune</w:t>
            </w:r>
          </w:p>
        </w:tc>
        <w:tc>
          <w:tcPr>
            <w:tcW w:type="dxa" w:w="1337"/>
          </w:tcPr>
          <w:p>
            <w:r>
              <w:t>72/100</w:t>
            </w:r>
          </w:p>
        </w:tc>
        <w:tc>
          <w:tcPr>
            <w:tcW w:type="dxa" w:w="1337"/>
          </w:tcPr>
          <w:p>
            <w:r>
              <w:t>Timeline Dev (+6mo)</w:t>
            </w:r>
          </w:p>
        </w:tc>
        <w:tc>
          <w:tcPr>
            <w:tcW w:type="dxa" w:w="1337"/>
          </w:tcPr>
          <w:p>
            <w:r>
              <w:t>Pending</w:t>
            </w:r>
          </w:p>
        </w:tc>
        <w:tc>
          <w:tcPr>
            <w:tcW w:type="dxa" w:w="1337"/>
          </w:tcPr>
          <w:p>
            <w:r>
              <w:t>Review</w:t>
            </w:r>
          </w:p>
        </w:tc>
      </w:tr>
    </w:tbl>
    <w:p>
      <w:r>
        <w:t>+-------------------------------------------------------------------------------------------------+</w:t>
      </w:r>
    </w:p>
    <w:p>
      <w:r>
        <w:t>```</w:t>
      </w:r>
    </w:p>
    <w:p>
      <w:pPr>
        <w:pStyle w:val="Heading3"/>
      </w:pPr>
      <w:r>
        <w:t>Component Details</w:t>
      </w:r>
    </w:p>
    <w:p>
      <w:pPr>
        <w:pStyle w:val="ListBullet"/>
      </w:pPr>
      <w:r>
        <w:t>**KPI Strip**: 4 columns. Cards show single metric value (`28px Tabular`), label (`12px Muted`), and status indicator badge.</w:t>
      </w:r>
    </w:p>
    <w:p>
      <w:pPr>
        <w:pStyle w:val="ListBullet"/>
      </w:pPr>
      <w:r>
        <w:t>**Anomaly Trend**: Interactive stacked bar chart displaying daily anomaly detections categorized by severity.</w:t>
      </w:r>
    </w:p>
    <w:p>
      <w:pPr>
        <w:pStyle w:val="ListBullet"/>
      </w:pPr>
      <w:r>
        <w:t>**Geographic Risk**: Mini geospatial vector view showing high-risk clusters across states and districts.</w:t>
      </w:r>
    </w:p>
    <w:p>
      <w:pPr>
        <w:pStyle w:val="ListBullet"/>
      </w:pPr>
      <w:r>
        <w:t>**Priority Queue Table**: 6-column high-density preview table showing top flagged projects.</w:t>
      </w:r>
    </w:p>
    <w:p>
      <w:r>
        <w:t>____________________________________________________</w:t>
      </w:r>
    </w:p>
    <w:p>
      <w:pPr>
        <w:pStyle w:val="Heading2"/>
      </w:pPr>
      <w:r>
        <w:t>12. Risk &amp; Investigation Queue</w:t>
      </w:r>
    </w:p>
    <w:p>
      <w:pPr>
        <w:pStyle w:val="Heading3"/>
      </w:pPr>
      <w:r>
        <w:t>Layout &amp; Filters</w:t>
      </w:r>
    </w:p>
    <w:p>
      <w:r>
        <w:t>High-density operational data table with top filter toolbar:</w:t>
      </w:r>
    </w:p>
    <w:p>
      <w:pPr>
        <w:pStyle w:val="ListBullet"/>
      </w:pPr>
      <w:r>
        <w:t>**Filters**: State dropdown, District dropdown, Scheme Category (Health, Roads, Education, Water), Risk Score Range (Slider), Anomaly Signal Type, Reporting Period.</w:t>
      </w:r>
    </w:p>
    <w:p>
      <w:pPr>
        <w:pStyle w:val="ListBullet"/>
      </w:pPr>
      <w:r>
        <w:t>**Search Input**: Full-text search matching Project ID, MP Name, Contractor Name, or Location Keyword.</w:t>
      </w:r>
    </w:p>
    <w:p>
      <w:pPr>
        <w:pStyle w:val="Heading3"/>
      </w:pPr>
      <w:r>
        <w:t>Table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61B22"/>
          </w:tcPr>
          <w:p>
            <w:r>
              <w:rPr>
                <w:b/>
                <w:color w:val="E6EDF3"/>
              </w:rPr>
              <w:t>Column Header</w:t>
            </w:r>
          </w:p>
        </w:tc>
        <w:tc>
          <w:tcPr>
            <w:tcW w:type="dxa" w:w="2340"/>
            <w:shd w:fill="161B22"/>
          </w:tcPr>
          <w:p>
            <w:r>
              <w:rPr>
                <w:b/>
                <w:color w:val="E6EDF3"/>
              </w:rPr>
              <w:t>Width</w:t>
            </w:r>
          </w:p>
        </w:tc>
        <w:tc>
          <w:tcPr>
            <w:tcW w:type="dxa" w:w="2340"/>
            <w:shd w:fill="161B22"/>
          </w:tcPr>
          <w:p>
            <w:r>
              <w:rPr>
                <w:b/>
                <w:color w:val="E6EDF3"/>
              </w:rPr>
              <w:t>Alignment</w:t>
            </w:r>
          </w:p>
        </w:tc>
        <w:tc>
          <w:tcPr>
            <w:tcW w:type="dxa" w:w="2340"/>
            <w:shd w:fill="161B22"/>
          </w:tcPr>
          <w:p>
            <w:r>
              <w:rPr>
                <w:b/>
                <w:color w:val="E6EDF3"/>
              </w:rPr>
              <w:t>Data Type &amp; Formatting</w:t>
            </w:r>
          </w:p>
        </w:tc>
      </w:tr>
      <w:tr>
        <w:tc>
          <w:tcPr>
            <w:tcW w:type="dxa" w:w="2340"/>
          </w:tcPr>
          <w:p>
            <w:r>
              <w:t>`PROJECT ID`</w:t>
            </w:r>
          </w:p>
        </w:tc>
        <w:tc>
          <w:tcPr>
            <w:tcW w:type="dxa" w:w="2340"/>
          </w:tcPr>
          <w:p>
            <w:r>
              <w:t>120px</w:t>
            </w:r>
          </w:p>
        </w:tc>
        <w:tc>
          <w:tcPr>
            <w:tcW w:type="dxa" w:w="2340"/>
          </w:tcPr>
          <w:p>
            <w:r>
              <w:t>Left</w:t>
            </w:r>
          </w:p>
        </w:tc>
        <w:tc>
          <w:tcPr>
            <w:tcW w:type="dxa" w:w="2340"/>
          </w:tcPr>
          <w:p>
            <w:r>
              <w:t>Monospace ID string (e.g., `MPL-MH-2023-441`)</w:t>
            </w:r>
          </w:p>
        </w:tc>
      </w:tr>
      <w:tr>
        <w:tc>
          <w:tcPr>
            <w:tcW w:type="dxa" w:w="2340"/>
          </w:tcPr>
          <w:p>
            <w:r>
              <w:t>`PROJECT NAME &amp; DETAILS`</w:t>
            </w:r>
          </w:p>
        </w:tc>
        <w:tc>
          <w:tcPr>
            <w:tcW w:type="dxa" w:w="2340"/>
          </w:tcPr>
          <w:p>
            <w:r>
              <w:t>260px</w:t>
            </w:r>
          </w:p>
        </w:tc>
        <w:tc>
          <w:tcPr>
            <w:tcW w:type="dxa" w:w="2340"/>
          </w:tcPr>
          <w:p>
            <w:r>
              <w:t>Left</w:t>
            </w:r>
          </w:p>
        </w:tc>
        <w:tc>
          <w:tcPr>
            <w:tcW w:type="dxa" w:w="2340"/>
          </w:tcPr>
          <w:p>
            <w:r>
              <w:t>Title (`14px Bold`), Subtitle with District &amp; State (`12px Muted`)</w:t>
            </w:r>
          </w:p>
        </w:tc>
      </w:tr>
      <w:tr>
        <w:tc>
          <w:tcPr>
            <w:tcW w:type="dxa" w:w="2340"/>
          </w:tcPr>
          <w:p>
            <w:r>
              <w:t>`IMPLEMENTING AGENCY`</w:t>
            </w:r>
          </w:p>
        </w:tc>
        <w:tc>
          <w:tcPr>
            <w:tcW w:type="dxa" w:w="2340"/>
          </w:tcPr>
          <w:p>
            <w:r>
              <w:t>160px</w:t>
            </w:r>
          </w:p>
        </w:tc>
        <w:tc>
          <w:tcPr>
            <w:tcW w:type="dxa" w:w="2340"/>
          </w:tcPr>
          <w:p>
            <w:r>
              <w:t>Left</w:t>
            </w:r>
          </w:p>
        </w:tc>
        <w:tc>
          <w:tcPr>
            <w:tcW w:type="dxa" w:w="2340"/>
          </w:tcPr>
          <w:p>
            <w:r>
              <w:t>Text string (e.g., `PWD Division 4 Pune`)</w:t>
            </w:r>
          </w:p>
        </w:tc>
      </w:tr>
      <w:tr>
        <w:tc>
          <w:tcPr>
            <w:tcW w:type="dxa" w:w="2340"/>
          </w:tcPr>
          <w:p>
            <w:r>
              <w:t>`RISK PRIORITY SCORE`</w:t>
            </w:r>
          </w:p>
        </w:tc>
        <w:tc>
          <w:tcPr>
            <w:tcW w:type="dxa" w:w="2340"/>
          </w:tcPr>
          <w:p>
            <w:r>
              <w:t>130px</w:t>
            </w:r>
          </w:p>
        </w:tc>
        <w:tc>
          <w:tcPr>
            <w:tcW w:type="dxa" w:w="2340"/>
          </w:tcPr>
          <w:p>
            <w:r>
              <w:t>Center</w:t>
            </w:r>
          </w:p>
        </w:tc>
        <w:tc>
          <w:tcPr>
            <w:tcW w:type="dxa" w:w="2340"/>
          </w:tcPr>
          <w:p>
            <w:r>
              <w:t>Score badge: Red pill for &gt;80, Yellow for 50-79, Green for &lt;50</w:t>
            </w:r>
          </w:p>
        </w:tc>
      </w:tr>
      <w:tr>
        <w:tc>
          <w:tcPr>
            <w:tcW w:type="dxa" w:w="2340"/>
          </w:tcPr>
          <w:p>
            <w:r>
              <w:t>`PRIMARY SIGNAL`</w:t>
            </w:r>
          </w:p>
        </w:tc>
        <w:tc>
          <w:tcPr>
            <w:tcW w:type="dxa" w:w="2340"/>
          </w:tcPr>
          <w:p>
            <w:r>
              <w:t>220px</w:t>
            </w:r>
          </w:p>
        </w:tc>
        <w:tc>
          <w:tcPr>
            <w:tcW w:type="dxa" w:w="2340"/>
          </w:tcPr>
          <w:p>
            <w:r>
              <w:t>Left</w:t>
            </w:r>
          </w:p>
        </w:tc>
        <w:tc>
          <w:tcPr>
            <w:tcW w:type="dxa" w:w="2340"/>
          </w:tcPr>
          <w:p>
            <w:r>
              <w:t>Signal icon + concise text label (e.g., `Financial/Physical Mismatch`)</w:t>
            </w:r>
          </w:p>
        </w:tc>
      </w:tr>
      <w:tr>
        <w:tc>
          <w:tcPr>
            <w:tcW w:type="dxa" w:w="2340"/>
          </w:tcPr>
          <w:p>
            <w:r>
              <w:t>`STATUS`</w:t>
            </w:r>
          </w:p>
        </w:tc>
        <w:tc>
          <w:tcPr>
            <w:tcW w:type="dxa" w:w="2340"/>
          </w:tcPr>
          <w:p>
            <w:r>
              <w:t>130px</w:t>
            </w:r>
          </w:p>
        </w:tc>
        <w:tc>
          <w:tcPr>
            <w:tcW w:type="dxa" w:w="2340"/>
          </w:tcPr>
          <w:p>
            <w:r>
              <w:t>Center</w:t>
            </w:r>
          </w:p>
        </w:tc>
        <w:tc>
          <w:tcPr>
            <w:tcW w:type="dxa" w:w="2340"/>
          </w:tcPr>
          <w:p>
            <w:r>
              <w:t>Status badge (`Not Reviewed`, `Under Review`, `Payment Held`, `Closed`)</w:t>
            </w:r>
          </w:p>
        </w:tc>
      </w:tr>
      <w:tr>
        <w:tc>
          <w:tcPr>
            <w:tcW w:type="dxa" w:w="2340"/>
          </w:tcPr>
          <w:p>
            <w:r>
              <w:t>`ACTION`</w:t>
            </w:r>
          </w:p>
        </w:tc>
        <w:tc>
          <w:tcPr>
            <w:tcW w:type="dxa" w:w="2340"/>
          </w:tcPr>
          <w:p>
            <w:r>
              <w:t>90px</w:t>
            </w:r>
          </w:p>
        </w:tc>
        <w:tc>
          <w:tcPr>
            <w:tcW w:type="dxa" w:w="2340"/>
          </w:tcPr>
          <w:p>
            <w:r>
              <w:t>Right</w:t>
            </w:r>
          </w:p>
        </w:tc>
        <w:tc>
          <w:tcPr>
            <w:tcW w:type="dxa" w:w="2340"/>
          </w:tcPr>
          <w:p>
            <w:r>
              <w:t>Context menu icon button `[...]` / `View Intelligence` link</w:t>
            </w:r>
          </w:p>
        </w:tc>
      </w:tr>
    </w:tbl>
    <w:p>
      <w:r>
        <w:t>____________________________________________________</w:t>
      </w:r>
    </w:p>
    <w:p>
      <w:pPr>
        <w:pStyle w:val="Heading2"/>
      </w:pPr>
      <w:r>
        <w:t>13. Project Intelligence</w:t>
      </w:r>
    </w:p>
    <w:p>
      <w:r>
        <w:t>The central screen for deep-dive investigation of an individual MPLADS project.</w:t>
      </w:r>
    </w:p>
    <w:p>
      <w:r>
        <w:t>```</w:t>
      </w:r>
    </w:p>
    <w:p>
      <w:r>
        <w:t>+-------------------------------------------------------------------------------------------------+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61B22"/>
          </w:tcPr>
          <w:p>
            <w:r>
              <w:rPr>
                <w:b/>
                <w:color w:val="E6EDF3"/>
              </w:rPr>
              <w:t>[CRITICAL PRIORITY] ID: MPL-MH-2023-441                                  RISK PRIORITY SCORE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r>
              <w:t>Construction of Multipurpose Community Hall                              92 / 100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r>
              <w:t>District: Pune, Maharashtra</w:t>
            </w:r>
          </w:p>
        </w:tc>
        <w:tc>
          <w:tcPr>
            <w:tcW w:type="dxa" w:w="3120"/>
          </w:tcPr>
          <w:p>
            <w:r>
              <w:t>Agency: PWD Division 4</w:t>
            </w:r>
          </w:p>
        </w:tc>
        <w:tc>
          <w:tcPr>
            <w:tcW w:type="dxa" w:w="3120"/>
          </w:tcPr>
          <w:p>
            <w:r>
              <w:t>Sanctioned: 14-Aug-2022</w:t>
            </w:r>
          </w:p>
        </w:tc>
      </w:tr>
    </w:tbl>
    <w:p>
      <w:r>
        <w:t>+-------------------------------------------------------------------------------------------------+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61B22"/>
          </w:tcPr>
          <w:p>
            <w:r>
              <w:rPr>
                <w:b/>
                <w:color w:val="E6EDF3"/>
              </w:rPr>
              <w:t>EVIDENCE &amp; TRIGGER SIGNALS                                           [ Export Evidence Report ]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>
              <w:t>FINANCIAL/PHYSICAL DISCREPANCY                                                TGR-001</w:t>
            </w:r>
          </w:p>
        </w:tc>
        <w:tc>
          <w:tcPr>
            <w:tcW w:type="dxa" w:w="2340"/>
          </w:tcPr>
          <w:p>
            <w:r>
              <w:t>2 Days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>
              <w:t>85% of total project funds (₹42.5L) released in 3 tranches, while physical progress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>
              <w:t>reported via Geo-tagging is strictly validated at 15% (Foundation phase incomplete).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>
              <w:t>Funds Released: 85%  [===================  ]  Physical Progress: 15% [====             ]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>
              <w:t>CONTRACTOR RISK NETWORK                                                       TGR-042</w:t>
            </w:r>
          </w:p>
        </w:tc>
        <w:tc>
          <w:tcPr>
            <w:tcW w:type="dxa" w:w="2340"/>
          </w:tcPr>
          <w:p>
            <w:r>
              <w:t>5 Days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>
              <w:t>Primary contractor entity ('Shree Buildcon') shares 2 direct directors with blacklisted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>
              <w:t>firm ('Apex Infra') currently under investigation in neighboring district projects.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>
              <w:t>RISK BREAKDOWN MATRIX</w:t>
            </w:r>
          </w:p>
        </w:tc>
        <w:tc>
          <w:tcPr>
            <w:tcW w:type="dxa" w:w="2340"/>
          </w:tcPr>
          <w:p>
            <w:r>
              <w:t>FORENSIC CHRONOLOGY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>
              <w:t>- Financial Velocity: High (89)</w:t>
            </w:r>
          </w:p>
        </w:tc>
        <w:tc>
          <w:tcPr>
            <w:tcW w:type="dxa" w:w="2340"/>
          </w:tcPr>
          <w:p>
            <w:r>
              <w:t>- Today 09:42: Auto-Alert Triggered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>
              <w:t>- Physical Progress: Critical (90)</w:t>
            </w:r>
          </w:p>
        </w:tc>
        <w:tc>
          <w:tcPr>
            <w:tcW w:type="dxa" w:w="2340"/>
          </w:tcPr>
          <w:p>
            <w:r>
              <w:t>- 12-Oct-23: Tranche 3 Released (₹15L)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>
              <w:t>- Timeline Variance: Warning (75)</w:t>
            </w:r>
          </w:p>
        </w:tc>
        <w:tc>
          <w:tcPr>
            <w:tcW w:type="dxa" w:w="2340"/>
          </w:tcPr>
          <w:p>
            <w:r>
              <w:t>- 18-Aug-23: Physical Inspection Photo Uploaded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>
              <w:t>- Contractor Integrity: High (88)</w:t>
            </w:r>
          </w:p>
        </w:tc>
        <w:tc>
          <w:tcPr>
            <w:tcW w:type="dxa" w:w="2340"/>
          </w:tcPr>
          <w:p>
            <w:r>
              <w:t>- 14-Aug-22: Administrative Sanction Issued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r>
        <w:t>+----------------------------------------+--------------------------------------------------------+</w:t>
      </w:r>
    </w:p>
    <w:p>
      <w:r>
        <w:t>```</w:t>
      </w:r>
    </w:p>
    <w:p>
      <w:r>
        <w:t>____________________________________________________</w:t>
      </w:r>
    </w:p>
    <w:p>
      <w:pPr>
        <w:pStyle w:val="Heading2"/>
      </w:pPr>
      <w:r>
        <w:t>14. Evidence &amp; Trigger Signals</w:t>
      </w:r>
    </w:p>
    <w:p>
      <w:r>
        <w:t>Evidence cards present clear factual observations alongside system anomaly alerts.</w:t>
      </w:r>
    </w:p>
    <w:p>
      <w:r>
        <w:t>```</w:t>
      </w:r>
    </w:p>
    <w:p>
      <w:r>
        <w:t>+-------------------------------------------------------------------------------------------------+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61B22"/>
          </w:tcPr>
          <w:p>
            <w:r>
              <w:rPr>
                <w:b/>
                <w:color w:val="E6EDF3"/>
              </w:rPr>
              <w:t>EVIDENCE CARD: Financial Release vs Physical Progress Mismatch</w:t>
            </w:r>
          </w:p>
        </w:tc>
      </w:tr>
    </w:tbl>
    <w:p>
      <w:r>
        <w:t>+-------------------------------------------------------------------------------------------------+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61B22"/>
          </w:tcPr>
          <w:p>
            <w:r>
              <w:rPr>
                <w:b/>
                <w:color w:val="E6EDF3"/>
              </w:rPr>
              <w:t>OBSERVED FACT: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>
              <w:t>- Total Sanctioned Cost: ₹50,00,000 (Fifty Lakhs INR)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>
              <w:t>- Total Funds Disbursed to Date: ₹42,50,000 (85.0%) across 3 installmental releases.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>
              <w:t>- Verified On-Ground Physical Progress: 15.0% (Stage: Foundation Complete).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>
              <w:t>AI/ML ANOMALY SIGNAL: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>
              <w:t>- Severity: CRITICAL (Confidence Score: 0.94)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>
              <w:t>- Anomaly Classification: Rapid Disbursement without Milestone Attainment.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>
              <w:t>- Peer Benchmark Deviation: Progress rate is 4.2x slower than average Pune district PWD works.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/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>
              <w:t>OFFICER DECISION STATUS: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>
              <w:t>[ Current Status: Under Officer Review</w:t>
            </w:r>
          </w:p>
        </w:tc>
        <w:tc>
          <w:tcPr>
            <w:tcW w:type="dxa" w:w="4680"/>
          </w:tcPr>
          <w:p>
            <w:r>
              <w:t>Assigned to: DA Inspection Wing Pune ]</w:t>
            </w:r>
          </w:p>
        </w:tc>
      </w:tr>
    </w:tbl>
    <w:p>
      <w:r>
        <w:t>+-------------------------------------------------------------------------------------------------+</w:t>
      </w:r>
    </w:p>
    <w:p>
      <w:r>
        <w:t>```</w:t>
      </w:r>
    </w:p>
    <w:p>
      <w:r>
        <w:t>____________________________________________________</w:t>
      </w:r>
    </w:p>
    <w:p>
      <w:pPr>
        <w:pStyle w:val="Heading2"/>
      </w:pPr>
      <w:r>
        <w:t>15. Forensic Chronology</w:t>
      </w:r>
    </w:p>
    <w:p>
      <w:r>
        <w:t>A vertical timeline representing every administrative, financial, physical, and system event in chronological order.</w:t>
      </w:r>
    </w:p>
    <w:p>
      <w:pPr>
        <w:pStyle w:val="ListBullet"/>
      </w:pPr>
      <w:r>
        <w:t>**Timeline Item Anatomy**:</w:t>
      </w:r>
    </w:p>
    <w:p>
      <w:pPr>
        <w:pStyle w:val="ListBullet"/>
      </w:pPr>
      <w:r>
        <w:t>Left: Tabular Date &amp; Time (`12 Oct 2023, 14:32 IST`).</w:t>
      </w:r>
    </w:p>
    <w:p>
      <w:pPr>
        <w:pStyle w:val="ListBullet"/>
      </w:pPr>
      <w:r>
        <w:t>Center: Node icon colored by severity (Red for alert, Blue for financial release, Green for sanction).</w:t>
      </w:r>
    </w:p>
    <w:p>
      <w:pPr>
        <w:pStyle w:val="ListBullet"/>
      </w:pPr>
      <w:r>
        <w:t>Right: Event Title, Event Actor/System Name, Data payload (e.g., `Tranche 3 Amount: ₹15.00L`), and link to raw documentation.</w:t>
      </w:r>
    </w:p>
    <w:p>
      <w:r>
        <w:t>____________________________________________________</w:t>
      </w:r>
    </w:p>
    <w:p>
      <w:pPr>
        <w:pStyle w:val="Heading2"/>
      </w:pPr>
      <w:r>
        <w:t>16. Operator Workspace</w:t>
      </w:r>
    </w:p>
    <w:p>
      <w:r>
        <w:t>A dedicated right-side action panel on the Project Intelligence screen providing controlled administrative mechanisms.</w:t>
      </w:r>
    </w:p>
    <w:p>
      <w:r>
        <w:t>```</w:t>
      </w:r>
    </w:p>
    <w:p>
      <w:r>
        <w:t>+--------------------------------------------------+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61B22"/>
          </w:tcPr>
          <w:p>
            <w:r>
              <w:rPr>
                <w:b/>
                <w:color w:val="E6EDF3"/>
              </w:rPr>
              <w:t>WORKSPACE ACTION PANEL</w:t>
            </w:r>
          </w:p>
        </w:tc>
      </w:tr>
    </w:tbl>
    <w:p>
      <w:r>
        <w:t>+--------------------------------------------------+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61B22"/>
          </w:tcPr>
          <w:p>
            <w:r>
              <w:rPr>
                <w:b/>
                <w:color w:val="E6EDF3"/>
              </w:rPr>
              <w:t>PRIMARY ACTIONS: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r>
              <w:t>[ Request Field Inspection ]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r>
              <w:t>[ Hold Payment Release    ] (Triggers Modal)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r>
              <w:t>[ Escalate to Vigilance   ] (Triggers Modal)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r>
              <w:t>[ Mark Verified / Clear   ] (Requires Justification)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r>
              <w:t>INVESTIGATOR NOTES: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>
              <w:t>Enter forensic observation notes here...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[ Save Note ]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r>
        <w:t>+--------------------------------------------------+</w:t>
      </w:r>
    </w:p>
    <w:p>
      <w:r>
        <w:t>```</w:t>
      </w:r>
    </w:p>
    <w:p>
      <w:r>
        <w:t>____________________________________________________</w:t>
      </w:r>
    </w:p>
    <w:p>
      <w:pPr>
        <w:pStyle w:val="Heading2"/>
      </w:pPr>
      <w:r>
        <w:t>17. Investigation Workspace</w:t>
      </w:r>
    </w:p>
    <w:p>
      <w:r>
        <w:t>Full-screen comprehensive case view consolidating all 8 investigation dimensions into a unified workspace layout:</w:t>
      </w:r>
    </w:p>
    <w:p>
      <w:r>
        <w:t>1. Project Master Meta Data</w:t>
      </w:r>
    </w:p>
    <w:p>
      <w:r>
        <w:t>2. Dynamic Risk Priority Score Breakdown</w:t>
      </w:r>
    </w:p>
    <w:p>
      <w:r>
        <w:t>3. Aggregated Evidence &amp; Mismatch Cards</w:t>
      </w:r>
    </w:p>
    <w:p>
      <w:r>
        <w:t>4. Financial Disbursement Breakdown (SNA / Treasury log)</w:t>
      </w:r>
    </w:p>
    <w:p>
      <w:r>
        <w:t>5. Physical Geo-Tag Verification Gallery</w:t>
      </w:r>
    </w:p>
    <w:p>
      <w:r>
        <w:t>6. Contractor &amp; Implementing Agency Relationship Graph</w:t>
      </w:r>
    </w:p>
    <w:p>
      <w:r>
        <w:t>7. Forensic Event Chronology</w:t>
      </w:r>
    </w:p>
    <w:p>
      <w:r>
        <w:t>8. Audit Trail &amp; Officer Actions Drawer</w:t>
      </w:r>
    </w:p>
    <w:p>
      <w:r>
        <w:t>____________________________________________________</w:t>
      </w:r>
    </w:p>
    <w:p>
      <w:pPr>
        <w:pStyle w:val="Heading2"/>
      </w:pPr>
      <w:r>
        <w:t>18. District Analytics</w:t>
      </w:r>
    </w:p>
    <w:p>
      <w:r>
        <w:t>Provides comparative analytics across districts and constituencies:</w:t>
      </w:r>
    </w:p>
    <w:p>
      <w:pPr>
        <w:pStyle w:val="ListBullet"/>
      </w:pPr>
      <w:r>
        <w:t>**Metric Comparison**: Expenditure velocity, completion rate %, anomaly density per 100 works.</w:t>
      </w:r>
    </w:p>
    <w:p>
      <w:pPr>
        <w:pStyle w:val="ListBullet"/>
      </w:pPr>
      <w:r>
        <w:t>**Scatter Plot**: X-axis = Total Funds Released (₹), Y-axis = Physical Progress (%), Dots colored by Risk Level.</w:t>
      </w:r>
    </w:p>
    <w:p>
      <w:pPr>
        <w:pStyle w:val="ListBullet"/>
      </w:pPr>
      <w:r>
        <w:t>**Peer Group Benchmarking**: Automated clustering comparing Pune District with similar Tier-2 mixed rural/urban districts in Maharashtra.</w:t>
      </w:r>
    </w:p>
    <w:p>
      <w:r>
        <w:t>____________________________________________________</w:t>
      </w:r>
    </w:p>
    <w:p>
      <w:pPr>
        <w:pStyle w:val="Heading2"/>
      </w:pPr>
      <w:r>
        <w:t>19. Geo Risk Map</w:t>
      </w:r>
    </w:p>
    <w:p>
      <w:r>
        <w:t>Geospatial intelligence module displaying risk distribution:</w:t>
      </w:r>
    </w:p>
    <w:p>
      <w:pPr>
        <w:pStyle w:val="ListBullet"/>
      </w:pPr>
      <w:r>
        <w:t>**Base Map**: Dark themed vector map of India with state and district boundaries (`#161B22` landmass, `#21262D` boundaries).</w:t>
      </w:r>
    </w:p>
    <w:p>
      <w:pPr>
        <w:pStyle w:val="ListBullet"/>
      </w:pPr>
      <w:r>
        <w:t>**Heatmap Layer**: Red glow intensity mapped to anomaly density.</w:t>
      </w:r>
    </w:p>
    <w:p>
      <w:pPr>
        <w:pStyle w:val="ListBullet"/>
      </w:pPr>
      <w:r>
        <w:t>**Interactive Markers**: Clickable project pins (Red = High Risk, Yellow = Warning, Green = Verified).</w:t>
      </w:r>
    </w:p>
    <w:p>
      <w:pPr>
        <w:pStyle w:val="ListBullet"/>
      </w:pPr>
      <w:r>
        <w:t>**Sidebar Drilldown**: Filter map by scheme sector (e.g., *Drinking Water*, *Education*) or risk score range.</w:t>
      </w:r>
    </w:p>
    <w:p>
      <w:r>
        <w:t>____________________________________________________</w:t>
      </w:r>
    </w:p>
    <w:p>
      <w:pPr>
        <w:pStyle w:val="Heading2"/>
      </w:pPr>
      <w:r>
        <w:t>20. Contractor Network Graph</w:t>
      </w:r>
    </w:p>
    <w:p>
      <w:r>
        <w:t>Interactive node-link graph visualizer detailing vendor and agency connections:</w:t>
      </w:r>
    </w:p>
    <w:p>
      <w:pPr>
        <w:pStyle w:val="ListBullet"/>
      </w:pPr>
      <w:r>
        <w:t>**Nodes**:</w:t>
      </w:r>
    </w:p>
    <w:p>
      <w:pPr>
        <w:pStyle w:val="ListBullet"/>
      </w:pPr>
      <w:r>
        <w:t>`Square Node` = Implementing Agency (e.g., *PWD Division 4*).</w:t>
      </w:r>
    </w:p>
    <w:p>
      <w:pPr>
        <w:pStyle w:val="ListBullet"/>
      </w:pPr>
      <w:r>
        <w:t>`Circle Node` = Contractor / Vendor Entity (e.g., *Shree Buildcon*).</w:t>
      </w:r>
    </w:p>
    <w:p>
      <w:pPr>
        <w:pStyle w:val="ListBullet"/>
      </w:pPr>
      <w:r>
        <w:t>`User Icon Node` = Key Directors / Promoters.</w:t>
      </w:r>
    </w:p>
    <w:p>
      <w:pPr>
        <w:pStyle w:val="ListBullet"/>
      </w:pPr>
      <w:r>
        <w:t>**Edges / Links**: Lines indicating contracts awarded, directorship overlaps, shared registered addresses, or common bank accounts.</w:t>
      </w:r>
    </w:p>
    <w:p>
      <w:pPr>
        <w:pStyle w:val="ListBullet"/>
      </w:pPr>
      <w:r>
        <w:t>**Investigation Value**: Instantly highlights contractor cartels, bid-rigging rings, and high vendor concentration anomalies.</w:t>
      </w:r>
    </w:p>
    <w:p>
      <w:r>
        <w:t>____________________________________________________</w:t>
      </w:r>
    </w:p>
    <w:p>
      <w:pPr>
        <w:pStyle w:val="Heading2"/>
      </w:pPr>
      <w:r>
        <w:t>21. Project Comparison</w:t>
      </w:r>
    </w:p>
    <w:p>
      <w:r>
        <w:t>Side-by-side comparative inspection tool for up to 4 selected projects:</w:t>
      </w:r>
    </w:p>
    <w:p>
      <w:pPr>
        <w:pStyle w:val="ListBullet"/>
      </w:pPr>
      <w:r>
        <w:t>**Rows**: Sanctioned Cost, Total Disbursed, Disbursement Velocity (Days per tranche), Verified Physical Progress %, Geo-photo Count, Anomaly Score, Contractor Name.</w:t>
      </w:r>
    </w:p>
    <w:p>
      <w:pPr>
        <w:pStyle w:val="ListBullet"/>
      </w:pPr>
      <w:r>
        <w:t>**Visual Diffing**: Cell backgrounds automatically highlight severe deviations between projects of similar nature in the same district.</w:t>
      </w:r>
    </w:p>
    <w:p>
      <w:r>
        <w:t>____________________________________________________</w:t>
      </w:r>
    </w:p>
    <w:p>
      <w:pPr>
        <w:pStyle w:val="Heading2"/>
      </w:pPr>
      <w:r>
        <w:t>22. Audit Log</w:t>
      </w:r>
    </w:p>
    <w:p>
      <w:r>
        <w:t>A high-density immutable system log screen tracking every user interaction:</w:t>
      </w:r>
    </w:p>
    <w:p>
      <w:pPr>
        <w:pStyle w:val="ListBullet"/>
      </w:pPr>
      <w:r>
        <w:t>**Columns**: `TIMESTAMP`, `OFFICER NAME`, `ROLE / AGENCY`, `ACTION TYPE`, `TARGET PROJECT ID`, `JUSTIFICATION / REASON`, `IP ADDRESS`.</w:t>
      </w:r>
    </w:p>
    <w:p>
      <w:pPr>
        <w:pStyle w:val="ListBullet"/>
      </w:pPr>
      <w:r>
        <w:t>**Security Feature**: Read-only interface with cryptographic hash verification indicator for every log entry.</w:t>
      </w:r>
    </w:p>
    <w:p>
      <w:r>
        <w:t>____________________________________________________</w:t>
      </w:r>
    </w:p>
    <w:p>
      <w:pPr>
        <w:pStyle w:val="Heading2"/>
      </w:pPr>
      <w:r>
        <w:t>23. Data Sources</w:t>
      </w:r>
    </w:p>
    <w:p>
      <w:r>
        <w:t>System health and data pipeline transparency screen showing data origin, synchronization status, and freshness metrics:</w:t>
      </w:r>
    </w:p>
    <w:p>
      <w:pPr>
        <w:pStyle w:val="ListBullet"/>
      </w:pPr>
      <w:r>
        <w:t>**Sources Tracked**: eSAKSHI Portal Sync, PFMS / SNA Treasury Feed, Bhuvan / ISRO Geo-Tag Feed, MCA Company Registry Feed, State PWD e-Procurement Feed.</w:t>
      </w:r>
    </w:p>
    <w:p>
      <w:pPr>
        <w:pStyle w:val="ListBullet"/>
      </w:pPr>
      <w:r>
        <w:t>**Status Badges**: `SYNCED` (Green), `DELAYED` (Yellow), `ERROR / DISCONNECTED` (Red).</w:t>
      </w:r>
    </w:p>
    <w:p>
      <w:r>
        <w:t>____________________________________________________</w:t>
      </w:r>
    </w:p>
    <w:p>
      <w:pPr>
        <w:pStyle w:val="Heading2"/>
      </w:pPr>
      <w:r>
        <w:t>24. Component Library</w:t>
      </w:r>
    </w:p>
    <w:p>
      <w:pPr>
        <w:pStyle w:val="Heading3"/>
      </w:pPr>
      <w:r>
        <w:t>UI Component Anatomy</w:t>
      </w:r>
    </w:p>
    <w:p>
      <w:r>
        <w:t>```</w:t>
      </w:r>
    </w:p>
    <w:p>
      <w:r>
        <w:t>+------------------------------------------------------------------------------------+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61B22"/>
          </w:tcPr>
          <w:p>
            <w:r>
              <w:rPr>
                <w:b/>
                <w:color w:val="E6EDF3"/>
              </w:rPr>
              <w:t>COMPONENT: Severity Badge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>
              <w:t>Anatomy: [Icon] + [Label Text]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>
              <w:t>Critical State: Background #2D1214</w:t>
            </w:r>
          </w:p>
        </w:tc>
        <w:tc>
          <w:tcPr>
            <w:tcW w:type="dxa" w:w="2340"/>
          </w:tcPr>
          <w:p>
            <w:r>
              <w:t>Border #7A1D21</w:t>
            </w:r>
          </w:p>
        </w:tc>
        <w:tc>
          <w:tcPr>
            <w:tcW w:type="dxa" w:w="2340"/>
          </w:tcPr>
          <w:p>
            <w:r>
              <w:t>Text #F87171</w:t>
            </w:r>
          </w:p>
        </w:tc>
        <w:tc>
          <w:tcPr>
            <w:tcW w:type="dxa" w:w="2340"/>
          </w:tcPr>
          <w:p>
            <w:r>
              <w:t>Icon #EF4444</w:t>
            </w:r>
          </w:p>
        </w:tc>
      </w:tr>
      <w:tr>
        <w:tc>
          <w:tcPr>
            <w:tcW w:type="dxa" w:w="2340"/>
          </w:tcPr>
          <w:p>
            <w:r>
              <w:t>Warning State:  Background #2E2511</w:t>
            </w:r>
          </w:p>
        </w:tc>
        <w:tc>
          <w:tcPr>
            <w:tcW w:type="dxa" w:w="2340"/>
          </w:tcPr>
          <w:p>
            <w:r>
              <w:t>Border #7C5E10</w:t>
            </w:r>
          </w:p>
        </w:tc>
        <w:tc>
          <w:tcPr>
            <w:tcW w:type="dxa" w:w="2340"/>
          </w:tcPr>
          <w:p>
            <w:r>
              <w:t>Text #FACC15</w:t>
            </w:r>
          </w:p>
        </w:tc>
        <w:tc>
          <w:tcPr>
            <w:tcW w:type="dxa" w:w="2340"/>
          </w:tcPr>
          <w:p>
            <w:r>
              <w:t>Icon #EAB308</w:t>
            </w:r>
          </w:p>
        </w:tc>
      </w:tr>
      <w:tr>
        <w:tc>
          <w:tcPr>
            <w:tcW w:type="dxa" w:w="2340"/>
          </w:tcPr>
          <w:p>
            <w:r>
              <w:t>Normal State:   Background #122B1E</w:t>
            </w:r>
          </w:p>
        </w:tc>
        <w:tc>
          <w:tcPr>
            <w:tcW w:type="dxa" w:w="2340"/>
          </w:tcPr>
          <w:p>
            <w:r>
              <w:t>Border #1B5E38</w:t>
            </w:r>
          </w:p>
        </w:tc>
        <w:tc>
          <w:tcPr>
            <w:tcW w:type="dxa" w:w="2340"/>
          </w:tcPr>
          <w:p>
            <w:r>
              <w:t>Text #4ADE80</w:t>
            </w:r>
          </w:p>
        </w:tc>
        <w:tc>
          <w:tcPr>
            <w:tcW w:type="dxa" w:w="2340"/>
          </w:tcPr>
          <w:p>
            <w:r>
              <w:t>Icon #22C55E</w:t>
            </w:r>
          </w:p>
        </w:tc>
      </w:tr>
    </w:tbl>
    <w:p>
      <w:r>
        <w:t>+------------------------------------------------------------------------------------+</w:t>
      </w:r>
    </w:p>
    <w:p>
      <w:r>
        <w:t>```</w:t>
      </w:r>
    </w:p>
    <w:p>
      <w:r>
        <w:t>1. **KPI Cards**: Surface container (`#161B22`), top colored accent bar (3px), bold metric display, delta indicator badge.</w:t>
      </w:r>
    </w:p>
    <w:p>
      <w:r>
        <w:t>2. **Filter Bar**: Flex container with custom dark select dropdowns, clear all button, active filter count tag.</w:t>
      </w:r>
    </w:p>
    <w:p>
      <w:r>
        <w:t>3. **Data Tables**: Striped dark rows (`#161B22` / `#11161D`), sticky header with uppercase column titles, inline status badges.</w:t>
      </w:r>
    </w:p>
    <w:p>
      <w:r>
        <w:t>4. **Action Confirmation Modals**: Overlay backdrop (`rgba(0,0,0,0.75)`), modal box (`#161B22`), mandatory reason text field, dual confirmation buttons (*Confirm Action* / *Cancel*).</w:t>
      </w:r>
    </w:p>
    <w:p>
      <w:r>
        <w:t>____________________________________________________</w:t>
      </w:r>
    </w:p>
    <w:p>
      <w:pPr>
        <w:pStyle w:val="Heading2"/>
      </w:pPr>
      <w:r>
        <w:t>25. Interaction States</w:t>
      </w:r>
    </w:p>
    <w:p>
      <w:r>
        <w:t>All interactive controls must implement 5 distinct visual states:</w:t>
      </w:r>
    </w:p>
    <w:p>
      <w:r>
        <w:t>```</w:t>
      </w:r>
    </w:p>
    <w:p>
      <w:r>
        <w:t>[ Default ] ---&gt; Hover (#1F242C) ---&gt; Focus (Teal Ring) ---&gt; Active (#0E857C) ---&gt; Disabled (50% Opacity)</w:t>
      </w:r>
    </w:p>
    <w:p>
      <w:r>
        <w:t>```</w:t>
      </w:r>
    </w:p>
    <w:p>
      <w:pPr>
        <w:pStyle w:val="ListBullet"/>
      </w:pPr>
      <w:r>
        <w:t>**Irreversible Action Guardrails**: Critical actions (*Hold Payment*, *Escalate to Vigilance*) require a 2-step confirmation dialog with a mandatory text input field requiring the officer to type a justification (minimum 15 characters).</w:t>
      </w:r>
    </w:p>
    <w:p>
      <w:r>
        <w:t>____________________________________________________</w:t>
      </w:r>
    </w:p>
    <w:p>
      <w:pPr>
        <w:pStyle w:val="Heading2"/>
      </w:pPr>
      <w:r>
        <w:t>26. Accessibility</w:t>
      </w:r>
    </w:p>
    <w:p>
      <w:pPr>
        <w:pStyle w:val="ListBullet"/>
      </w:pPr>
      <w:r>
        <w:t>**Color Contrast**: All text elements adhere to WCAG 2.1 AA standards (minimum 4.5:1 contrast ratio against dark background `#161B22`).</w:t>
      </w:r>
    </w:p>
    <w:p>
      <w:pPr>
        <w:pStyle w:val="ListBullet"/>
      </w:pPr>
      <w:r>
        <w:t>**Non-Color Indicators**: Every status or risk indicator pair color with a unique icon or text string (e.g., Red + `[!] CRITICAL`, Yellow + `[?] REVIEW`).</w:t>
      </w:r>
    </w:p>
    <w:p>
      <w:pPr>
        <w:pStyle w:val="ListBullet"/>
      </w:pPr>
      <w:r>
        <w:t>**Keyboard Navigation**: Full `Tab` key navigation support across data tables, filter controls, modal dialogs, and workspace action panels.</w:t>
      </w:r>
    </w:p>
    <w:p>
      <w:r>
        <w:t>____________________________________________________</w:t>
      </w:r>
    </w:p>
    <w:p>
      <w:pPr>
        <w:pStyle w:val="Heading2"/>
      </w:pPr>
      <w:r>
        <w:t>27. Responsive Behavior</w:t>
      </w:r>
    </w:p>
    <w:p>
      <w:r>
        <w:t>Optimized primarily for enterprise desktop displays (`1440px` and `1920px` monitoring command displays).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61B22"/>
          </w:tcPr>
          <w:p>
            <w:r>
              <w:rPr>
                <w:b/>
                <w:color w:val="E6EDF3"/>
              </w:rPr>
              <w:t>Screen Width</w:t>
            </w:r>
          </w:p>
        </w:tc>
        <w:tc>
          <w:tcPr>
            <w:tcW w:type="dxa" w:w="4680"/>
            <w:shd w:fill="161B22"/>
          </w:tcPr>
          <w:p>
            <w:r>
              <w:rPr>
                <w:b/>
                <w:color w:val="E6EDF3"/>
              </w:rPr>
              <w:t>Shell Layout Behavior</w:t>
            </w:r>
          </w:p>
        </w:tc>
      </w:tr>
      <w:tr>
        <w:tc>
          <w:tcPr>
            <w:tcW w:type="dxa" w:w="4680"/>
          </w:tcPr>
          <w:p>
            <w:r>
              <w:t>**&gt; 1600px**</w:t>
            </w:r>
          </w:p>
        </w:tc>
        <w:tc>
          <w:tcPr>
            <w:tcW w:type="dxa" w:w="4680"/>
          </w:tcPr>
          <w:p>
            <w:r>
              <w:t>Expanded persistent sidebar (`240px`), 4-column KPI strip, side-by-side Project Intelligence &amp; Workspace panel.</w:t>
            </w:r>
          </w:p>
        </w:tc>
      </w:tr>
      <w:tr>
        <w:tc>
          <w:tcPr>
            <w:tcW w:type="dxa" w:w="4680"/>
          </w:tcPr>
          <w:p>
            <w:r>
              <w:t>**1280px – 1599px**</w:t>
            </w:r>
          </w:p>
        </w:tc>
        <w:tc>
          <w:tcPr>
            <w:tcW w:type="dxa" w:w="4680"/>
          </w:tcPr>
          <w:p>
            <w:r>
              <w:t>Compact sidebar (`200px`), 4-column KPI strip, stacked evidence and chronology panels.</w:t>
            </w:r>
          </w:p>
        </w:tc>
      </w:tr>
      <w:tr>
        <w:tc>
          <w:tcPr>
            <w:tcW w:type="dxa" w:w="4680"/>
          </w:tcPr>
          <w:p>
            <w:r>
              <w:t>**&lt; 1280px**</w:t>
            </w:r>
          </w:p>
        </w:tc>
        <w:tc>
          <w:tcPr>
            <w:tcW w:type="dxa" w:w="4680"/>
          </w:tcPr>
          <w:p>
            <w:r>
              <w:t>Collapsible navigation drawer, data tables switch to horizontal scroll mode, workspace action panel slides in as a right-side drawer.</w:t>
            </w:r>
          </w:p>
        </w:tc>
      </w:tr>
    </w:tbl>
    <w:p>
      <w:r>
        <w:t>____________________________________________________</w:t>
      </w:r>
    </w:p>
    <w:p>
      <w:pPr>
        <w:pStyle w:val="Heading2"/>
      </w:pPr>
      <w:r>
        <w:t>28. Data &amp; Content Model</w:t>
      </w:r>
    </w:p>
    <w:p>
      <w:r>
        <w:t>```json</w:t>
      </w:r>
    </w:p>
    <w:p>
      <w:r>
        <w:t>{</w:t>
      </w:r>
    </w:p>
    <w:p>
      <w:r>
        <w:t>"project_id": "MPL-MH-2023-441",</w:t>
      </w:r>
    </w:p>
    <w:p>
      <w:r>
        <w:t>"project_name": "Construction of Multipurpose Community Hall",</w:t>
      </w:r>
    </w:p>
    <w:p>
      <w:r>
        <w:t>"state": "Maharashtra",</w:t>
      </w:r>
    </w:p>
    <w:p>
      <w:r>
        <w:t>"district": "Pune",</w:t>
      </w:r>
    </w:p>
    <w:p>
      <w:r>
        <w:t>"sanctioned_amount_inr": 5000000.0,</w:t>
      </w:r>
    </w:p>
    <w:p>
      <w:r>
        <w:t>"released_amount_inr": 4250000.0,</w:t>
      </w:r>
    </w:p>
    <w:p>
      <w:r>
        <w:t>"financial_progress_pct": 85.0,</w:t>
      </w:r>
    </w:p>
    <w:p>
      <w:r>
        <w:t>"verified_physical_progress_pct": 15.0,</w:t>
      </w:r>
    </w:p>
    <w:p>
      <w:r>
        <w:t>"risk_priority_score": 92,</w:t>
      </w:r>
    </w:p>
    <w:p>
      <w:r>
        <w:t>"primary_anomaly_category": "Financial/Physical Progress Mismatch",</w:t>
      </w:r>
    </w:p>
    <w:p>
      <w:r>
        <w:t>"implementing_agency": "PWD Division 4 Pune",</w:t>
      </w:r>
    </w:p>
    <w:p>
      <w:r>
        <w:t>"primary_contractor": "Shree Buildcon Ltd",</w:t>
      </w:r>
    </w:p>
    <w:p>
      <w:r>
        <w:t>"status": "UNDER_OFFICER_REVIEW"</w:t>
      </w:r>
    </w:p>
    <w:p>
      <w:r>
        <w:t>}</w:t>
      </w:r>
    </w:p>
    <w:p>
      <w:r>
        <w:t>```</w:t>
      </w:r>
    </w:p>
    <w:p>
      <w:r>
        <w:t>____________________________________________________</w:t>
      </w:r>
    </w:p>
    <w:p>
      <w:pPr>
        <w:pStyle w:val="Heading2"/>
      </w:pPr>
      <w:r>
        <w:t>29. Implementation Guidelines</w:t>
      </w:r>
    </w:p>
    <w:p>
      <w:pPr>
        <w:pStyle w:val="ListBullet"/>
      </w:pPr>
      <w:r>
        <w:t>**CSS / Styling**: Tailwind CSS configured with custom color theme extensions matching design system tokens (`bg-base: #0D1117`, `bg-card: #161B22`, `border-subtle: #21262D`, `accent-teal: #0E857C`).</w:t>
      </w:r>
    </w:p>
    <w:p>
      <w:pPr>
        <w:pStyle w:val="ListBullet"/>
      </w:pPr>
      <w:r>
        <w:t>**State Management**: React Context or Redux Toolkit for managing active filters, selected project cases, and operator workspace drawer states.</w:t>
      </w:r>
    </w:p>
    <w:p>
      <w:pPr>
        <w:pStyle w:val="ListBullet"/>
      </w:pPr>
      <w:r>
        <w:t>**Chart Componentry**: Recharts or Chart.js styled with dark background gridlines (`#21262D`) and semantic stroke colors.</w:t>
      </w:r>
    </w:p>
    <w:p>
      <w:pPr>
        <w:pStyle w:val="ListBullet"/>
      </w:pPr>
      <w:r>
        <w:t>**Graph Engine**: `Vis.js` or `Cytoscape.js` integrated inside a React canvas container for the Contractor Network Graph.</w:t>
      </w:r>
    </w:p>
    <w:p>
      <w:r>
        <w:t>____________________________________________________</w:t>
      </w:r>
    </w:p>
    <w:p>
      <w:pPr>
        <w:pStyle w:val="Heading2"/>
      </w:pPr>
      <w:r>
        <w:t>30. Acceptance Checklist</w:t>
      </w:r>
    </w:p>
    <w:p>
      <w:pPr>
        <w:pStyle w:val="ListBullet"/>
      </w:pPr>
      <w:r>
        <w:t>[x] Application shell implements persistent left sidebar and top bar with strict dark institutional colors (`#0D1117`, `#161B22`, `#21262D`).</w:t>
      </w:r>
    </w:p>
    <w:p>
      <w:pPr>
        <w:pStyle w:val="ListBullet"/>
      </w:pPr>
      <w:r>
        <w:t>[x] All 10 color tokens match the specified visual system (`#0E857C` Teal, `#DC2626` Red, `#EAB308` Yellow, `#238636` Green).</w:t>
      </w:r>
    </w:p>
    <w:p>
      <w:pPr>
        <w:pStyle w:val="ListBullet"/>
      </w:pPr>
      <w:r>
        <w:t>[x] Terminology strictly avoids automated fraud declarations, using "Risk Score", "Anomaly Signal", and "Requires Review".</w:t>
      </w:r>
    </w:p>
    <w:p>
      <w:pPr>
        <w:pStyle w:val="ListBullet"/>
      </w:pPr>
      <w:r>
        <w:t>[x] Primary Screen 1 (National Command Center) contains KPI strip, anomaly trend chart, geo risk panel, and priority review queue.</w:t>
      </w:r>
    </w:p>
    <w:p>
      <w:pPr>
        <w:pStyle w:val="ListBullet"/>
      </w:pPr>
      <w:r>
        <w:t>[x] Primary Screen 2 (Risk &amp; Investigation Queue) features full filtering, search, sorting, and tabular data density.</w:t>
      </w:r>
    </w:p>
    <w:p>
      <w:pPr>
        <w:pStyle w:val="ListBullet"/>
      </w:pPr>
      <w:r>
        <w:t>[x] Primary Screen 3 (Project Intelligence) displays Risk Breakdown Matrix, Evidence Cards, Forensic Chronology, and Workspace Action Panel.</w:t>
      </w:r>
    </w:p>
    <w:p>
      <w:pPr>
        <w:pStyle w:val="ListBullet"/>
      </w:pPr>
      <w:r>
        <w:t>[x] Supporting modules (District Analytics, Geo Risk Map, Contractor Network, Project Comparison, Audit Log, Data Sources) fully specified.</w:t>
      </w:r>
    </w:p>
    <w:p>
      <w:pPr>
        <w:pStyle w:val="ListBullet"/>
      </w:pPr>
      <w:r>
        <w:t>[x] Accessibility rules enforce non-color semantic indicators and WCAG AA contrast standards.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E857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8658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