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A</w:t>
        <w:br/>
        <w:t>Project Report</w:t>
        <w:br/>
        <w:t>On</w:t>
        <w:br/>
      </w:r>
      <w:r>
        <w:rPr>
          <w:rFonts w:ascii="Times New Roman" w:hAnsi="Times New Roman"/>
          <w:b/>
          <w:color w:val="102C57"/>
          <w:sz w:val="34"/>
        </w:rPr>
        <w:t>SORTING ANALYSIS COMPARATOR (SAC)</w:t>
        <w:br/>
        <w:br/>
      </w:r>
      <w:r>
        <w:rPr>
          <w:rFonts w:ascii="Times New Roman" w:hAnsi="Times New Roman"/>
          <w:i/>
          <w:sz w:val="23"/>
        </w:rPr>
        <w:t>Submitted in partial fulfillment for the award of degree of</w:t>
        <w:br/>
      </w:r>
      <w:r>
        <w:rPr>
          <w:rFonts w:ascii="Times New Roman" w:hAnsi="Times New Roman"/>
          <w:b/>
          <w:sz w:val="26"/>
        </w:rPr>
        <w:t>Bachelor of Technology</w:t>
        <w:br/>
        <w:br/>
        <w:t>Degree Of</w:t>
        <w:br/>
        <w:br/>
      </w:r>
      <w:r>
        <w:rPr>
          <w:rFonts w:ascii="Times New Roman" w:hAnsi="Times New Roman"/>
          <w:b/>
          <w:sz w:val="28"/>
        </w:rPr>
        <w:t>Rajasthan Technical University, KOTA</w:t>
        <w:br/>
        <w:br/>
      </w:r>
      <w:r>
        <w:rPr>
          <w:rFonts w:ascii="Times New Roman" w:hAnsi="Times New Roman"/>
          <w:b/>
          <w:sz w:val="26"/>
        </w:rPr>
        <w:t>JAIPUR ENGINEERING COLLEGE AND RESEARCH CENTRE</w:t>
        <w:br/>
        <w:br/>
        <w:t>2026-2027</w:t>
        <w:br/>
        <w:br/>
      </w:r>
    </w:p>
    <w:tbl>
      <w:tblPr>
        <w:tblW w:type="auto" w:w="0"/>
        <w:jc w:val="center"/>
        <w:tblLayout w:type="fixed"/>
        <w:tblLook w:firstColumn="1" w:firstRow="1" w:lastColumn="0" w:lastRow="0" w:noHBand="0" w:noVBand="1" w:val="04A0"/>
      </w:tblPr>
      <w:tblGrid>
        <w:gridCol w:w="4608"/>
        <w:gridCol w:w="4608"/>
      </w:tblGrid>
      <w:tr>
        <w:tc>
          <w:tcPr>
            <w:tcW w:type="dxa" w:w="4680"/>
          </w:tcPr>
          <w:p>
            <w:pPr>
              <w:jc w:val="left"/>
            </w:pPr>
            <w:r>
              <w:rPr>
                <w:rFonts w:ascii="Times New Roman" w:hAnsi="Times New Roman"/>
                <w:b/>
                <w:sz w:val="22"/>
              </w:rPr>
              <w:t>Submitted By:</w:t>
              <w:br/>
            </w:r>
            <w:r>
              <w:rPr>
                <w:rFonts w:ascii="Times New Roman" w:hAnsi="Times New Roman"/>
                <w:sz w:val="21"/>
              </w:rPr>
              <w:t>Abhinav Bhatra (24EJCCA009)</w:t>
              <w:br/>
            </w:r>
            <w:r>
              <w:rPr>
                <w:rFonts w:ascii="Times New Roman" w:hAnsi="Times New Roman"/>
                <w:sz w:val="21"/>
              </w:rPr>
              <w:t>Amit kumar (24EJCCA027)</w:t>
              <w:br/>
            </w:r>
            <w:r>
              <w:rPr>
                <w:rFonts w:ascii="Times New Roman" w:hAnsi="Times New Roman"/>
                <w:sz w:val="21"/>
              </w:rPr>
              <w:t>Anand Gaur (24EJCCA030)</w:t>
              <w:br/>
            </w:r>
          </w:p>
        </w:tc>
        <w:tc>
          <w:tcPr>
            <w:tcW w:type="dxa" w:w="4680"/>
          </w:tcPr>
          <w:p>
            <w:pPr>
              <w:jc w:val="right"/>
            </w:pPr>
            <w:r>
              <w:rPr>
                <w:rFonts w:ascii="Times New Roman" w:hAnsi="Times New Roman"/>
                <w:b/>
                <w:sz w:val="22"/>
              </w:rPr>
              <w:t>ITS Coordinator (CC)</w:t>
              <w:br/>
            </w:r>
            <w:r>
              <w:rPr>
                <w:rFonts w:ascii="Times New Roman" w:hAnsi="Times New Roman"/>
                <w:sz w:val="21"/>
              </w:rPr>
              <w:t>Mona Nagar</w:t>
              <w:br/>
              <w:t>Faculty Mentor</w:t>
              <w:br/>
            </w:r>
          </w:p>
        </w:tc>
      </w:tr>
    </w:tbl>
    <w:p>
      <w:pPr>
        <w:spacing w:before="720" w:after="40"/>
        <w:jc w:val="center"/>
      </w:pPr>
      <w:r>
        <w:rPr>
          <w:rFonts w:ascii="Times New Roman" w:hAnsi="Times New Roman"/>
          <w:b/>
          <w:sz w:val="22"/>
        </w:rPr>
        <w:t>DEPARTMENT OF COMPUTER SCIENCE &amp; ENGINEERING (ARTIFICIAL INTELLIGENCE)</w:t>
        <w:br/>
        <w:t>JAIPUR ENGINEERING COLLEGE AND RESEARCH CENTRE</w:t>
        <w:br/>
      </w:r>
      <w:r>
        <w:rPr>
          <w:rFonts w:ascii="Times New Roman" w:hAnsi="Times New Roman"/>
          <w:sz w:val="19"/>
        </w:rPr>
        <w:t>Shri Ram ki Nangal, via Sitapura RIICO,</w:t>
        <w:br/>
      </w:r>
      <w:r>
        <w:rPr>
          <w:rFonts w:ascii="Times New Roman" w:hAnsi="Times New Roman"/>
          <w:sz w:val="19"/>
        </w:rPr>
        <w:t>Tonk Road, Sukhpuria, Bambala, Jaipur, Rajasthan</w:t>
        <w:br/>
      </w:r>
    </w:p>
    <w:p>
      <w:r>
        <w:br w:type="page"/>
      </w:r>
    </w:p>
    <w:p>
      <w:pPr>
        <w:spacing w:after="400"/>
        <w:jc w:val="center"/>
      </w:pPr>
      <w:r>
        <w:rPr>
          <w:rFonts w:ascii="Times New Roman" w:hAnsi="Times New Roman"/>
          <w:b/>
          <w:sz w:val="32"/>
          <w:u w:val="single"/>
        </w:rPr>
        <w:t>TABLE OF CONTENTS</w:t>
      </w:r>
    </w:p>
    <w:p>
      <w:pPr>
        <w:spacing w:after="160" w:line="312" w:lineRule="auto"/>
      </w:pPr>
      <w:r>
        <w:rPr>
          <w:rFonts w:ascii="Times New Roman" w:hAnsi="Times New Roman"/>
          <w:b/>
          <w:sz w:val="24"/>
        </w:rPr>
        <w:t>Introduction</w:t>
      </w:r>
      <w:r>
        <w:rPr>
          <w:rFonts w:ascii="Times New Roman" w:hAnsi="Times New Roman"/>
          <w:color w:val="787878"/>
          <w:sz w:val="20"/>
        </w:rPr>
        <w:t xml:space="preserve"> . . . . . . . . . . . . . . . . . . . . . . . . . . . . . . . . . . . . . . . . . . . . . . . . . . . </w:t>
      </w:r>
      <w:r>
        <w:rPr>
          <w:rFonts w:ascii="Times New Roman" w:hAnsi="Times New Roman"/>
          <w:b/>
          <w:sz w:val="24"/>
        </w:rPr>
        <w:t xml:space="preserve"> 1</w:t>
      </w:r>
    </w:p>
    <w:p>
      <w:pPr>
        <w:spacing w:after="160" w:line="312" w:lineRule="auto"/>
      </w:pPr>
      <w:r>
        <w:rPr>
          <w:rFonts w:ascii="Times New Roman" w:hAnsi="Times New Roman"/>
          <w:b/>
          <w:sz w:val="24"/>
        </w:rPr>
        <w:t>Objective</w:t>
      </w:r>
      <w:r>
        <w:rPr>
          <w:rFonts w:ascii="Times New Roman" w:hAnsi="Times New Roman"/>
          <w:color w:val="787878"/>
          <w:sz w:val="20"/>
        </w:rPr>
        <w:t xml:space="preserve"> . . . . . . . . . . . . . . . . . . . . . . . . . . . . . . . . . . . . . . . . . . . . . . . . . . . . . . . . . </w:t>
      </w:r>
      <w:r>
        <w:rPr>
          <w:rFonts w:ascii="Times New Roman" w:hAnsi="Times New Roman"/>
          <w:b/>
          <w:sz w:val="24"/>
        </w:rPr>
        <w:t xml:space="preserve"> 3</w:t>
      </w:r>
    </w:p>
    <w:p>
      <w:pPr>
        <w:spacing w:after="160" w:line="312" w:lineRule="auto"/>
      </w:pPr>
      <w:r>
        <w:rPr>
          <w:rFonts w:ascii="Times New Roman" w:hAnsi="Times New Roman"/>
          <w:b/>
          <w:sz w:val="24"/>
        </w:rPr>
        <w:t>Methodology And Planning</w:t>
      </w:r>
      <w:r>
        <w:rPr>
          <w:rFonts w:ascii="Times New Roman" w:hAnsi="Times New Roman"/>
          <w:color w:val="787878"/>
          <w:sz w:val="20"/>
        </w:rPr>
        <w:t xml:space="preserve"> . . . . . . . . . . . . . . . . . . . . . . . . . . . </w:t>
      </w:r>
      <w:r>
        <w:rPr>
          <w:rFonts w:ascii="Times New Roman" w:hAnsi="Times New Roman"/>
          <w:b/>
          <w:sz w:val="24"/>
        </w:rPr>
        <w:t xml:space="preserve"> 4</w:t>
      </w:r>
    </w:p>
    <w:p>
      <w:pPr>
        <w:spacing w:after="160" w:line="312" w:lineRule="auto"/>
      </w:pPr>
      <w:r>
        <w:rPr>
          <w:rFonts w:ascii="Times New Roman" w:hAnsi="Times New Roman"/>
          <w:b/>
          <w:sz w:val="24"/>
        </w:rPr>
        <w:t>Literature Review</w:t>
      </w:r>
      <w:r>
        <w:rPr>
          <w:rFonts w:ascii="Times New Roman" w:hAnsi="Times New Roman"/>
          <w:color w:val="787878"/>
          <w:sz w:val="20"/>
        </w:rPr>
        <w:t xml:space="preserve"> . . . . . . . . . . . . . . . . . . . . . . . . . . . . . . . . . . . . . . . . . </w:t>
      </w:r>
      <w:r>
        <w:rPr>
          <w:rFonts w:ascii="Times New Roman" w:hAnsi="Times New Roman"/>
          <w:b/>
          <w:sz w:val="24"/>
        </w:rPr>
        <w:t xml:space="preserve"> 6</w:t>
      </w:r>
    </w:p>
    <w:p>
      <w:pPr>
        <w:spacing w:after="160" w:line="312" w:lineRule="auto"/>
      </w:pPr>
      <w:r>
        <w:rPr>
          <w:rFonts w:ascii="Times New Roman" w:hAnsi="Times New Roman"/>
          <w:b/>
          <w:sz w:val="24"/>
        </w:rPr>
        <w:t>Applications of the Project</w:t>
      </w:r>
      <w:r>
        <w:rPr>
          <w:rFonts w:ascii="Times New Roman" w:hAnsi="Times New Roman"/>
          <w:color w:val="787878"/>
          <w:sz w:val="20"/>
        </w:rPr>
        <w:t xml:space="preserve"> . . . . . . . . . . . . . . . . . . . . . </w:t>
      </w:r>
      <w:r>
        <w:rPr>
          <w:rFonts w:ascii="Times New Roman" w:hAnsi="Times New Roman"/>
          <w:b/>
          <w:sz w:val="24"/>
        </w:rPr>
        <w:t xml:space="preserve"> 8</w:t>
      </w:r>
    </w:p>
    <w:p>
      <w:pPr>
        <w:spacing w:after="160" w:line="312" w:lineRule="auto"/>
      </w:pPr>
      <w:r>
        <w:rPr>
          <w:rFonts w:ascii="Times New Roman" w:hAnsi="Times New Roman"/>
          <w:b/>
          <w:sz w:val="24"/>
        </w:rPr>
        <w:t>Block Diagram</w:t>
      </w:r>
      <w:r>
        <w:rPr>
          <w:rFonts w:ascii="Times New Roman" w:hAnsi="Times New Roman"/>
          <w:color w:val="787878"/>
          <w:sz w:val="20"/>
        </w:rPr>
        <w:t xml:space="preserve"> . . . . . . . . . . . . . . . . . . . . . . . . . . . . . . . . . . . . . . . . . . . . . . . . . </w:t>
      </w:r>
      <w:r>
        <w:rPr>
          <w:rFonts w:ascii="Times New Roman" w:hAnsi="Times New Roman"/>
          <w:b/>
          <w:sz w:val="24"/>
        </w:rPr>
        <w:t xml:space="preserve"> 9</w:t>
      </w:r>
    </w:p>
    <w:p>
      <w:pPr>
        <w:spacing w:after="160" w:line="312" w:lineRule="auto"/>
      </w:pPr>
      <w:r>
        <w:rPr>
          <w:rFonts w:ascii="Times New Roman" w:hAnsi="Times New Roman"/>
          <w:b/>
          <w:sz w:val="24"/>
        </w:rPr>
        <w:t>UML Diagram</w:t>
      </w:r>
      <w:r>
        <w:rPr>
          <w:rFonts w:ascii="Times New Roman" w:hAnsi="Times New Roman"/>
          <w:color w:val="787878"/>
          <w:sz w:val="20"/>
        </w:rPr>
        <w:t xml:space="preserve"> . . . . . . . . . . . . . . . . . . . . . . . . . . . . . . . . . . . . . . . . . . . . . . . . . . . . . </w:t>
      </w:r>
      <w:r>
        <w:rPr>
          <w:rFonts w:ascii="Times New Roman" w:hAnsi="Times New Roman"/>
          <w:b/>
          <w:sz w:val="24"/>
        </w:rPr>
        <w:t xml:space="preserve"> 10</w:t>
      </w:r>
    </w:p>
    <w:p>
      <w:pPr>
        <w:spacing w:after="160" w:line="312" w:lineRule="auto"/>
      </w:pPr>
      <w:r>
        <w:rPr>
          <w:rFonts w:ascii="Times New Roman" w:hAnsi="Times New Roman"/>
          <w:b/>
          <w:sz w:val="24"/>
        </w:rPr>
        <w:t>Screenshots</w:t>
      </w:r>
      <w:r>
        <w:rPr>
          <w:rFonts w:ascii="Times New Roman" w:hAnsi="Times New Roman"/>
          <w:color w:val="787878"/>
          <w:sz w:val="20"/>
        </w:rPr>
        <w:t xml:space="preserve"> . . . . . . . . . . . . . . . . . . . . . . . . . . . . . . . . . . . . . . . . . . . . . . . . . . . . . </w:t>
      </w:r>
      <w:r>
        <w:rPr>
          <w:rFonts w:ascii="Times New Roman" w:hAnsi="Times New Roman"/>
          <w:b/>
          <w:sz w:val="24"/>
        </w:rPr>
        <w:t xml:space="preserve"> 11</w:t>
      </w:r>
    </w:p>
    <w:p>
      <w:pPr>
        <w:spacing w:after="160" w:line="312" w:lineRule="auto"/>
      </w:pPr>
      <w:r>
        <w:rPr>
          <w:rFonts w:ascii="Times New Roman" w:hAnsi="Times New Roman"/>
          <w:b/>
          <w:sz w:val="24"/>
        </w:rPr>
        <w:t>References</w:t>
      </w:r>
      <w:r>
        <w:rPr>
          <w:rFonts w:ascii="Times New Roman" w:hAnsi="Times New Roman"/>
          <w:color w:val="787878"/>
          <w:sz w:val="20"/>
        </w:rPr>
        <w:t xml:space="preserve"> . . . . . . . . . . . . . . . . . . . . . . . . . . . . . . . . . . . . . . . . . . . . . . . . . . . . . . . </w:t>
      </w:r>
      <w:r>
        <w:rPr>
          <w:rFonts w:ascii="Times New Roman" w:hAnsi="Times New Roman"/>
          <w:b/>
          <w:sz w:val="24"/>
        </w:rPr>
        <w:t xml:space="preserve"> 13</w:t>
      </w:r>
    </w:p>
    <w:p>
      <w:pPr>
        <w:spacing w:after="160" w:line="312" w:lineRule="auto"/>
      </w:pPr>
      <w:r>
        <w:rPr>
          <w:rFonts w:ascii="Times New Roman" w:hAnsi="Times New Roman"/>
          <w:b/>
          <w:sz w:val="24"/>
        </w:rPr>
        <w:t>Approval of the Project</w:t>
      </w:r>
      <w:r>
        <w:rPr>
          <w:rFonts w:ascii="Times New Roman" w:hAnsi="Times New Roman"/>
          <w:color w:val="787878"/>
          <w:sz w:val="20"/>
        </w:rPr>
        <w:t xml:space="preserve"> . . . . . . . . . . . . . . . . . . . . . . . . . . . . . </w:t>
      </w:r>
      <w:r>
        <w:rPr>
          <w:rFonts w:ascii="Times New Roman" w:hAnsi="Times New Roman"/>
          <w:b/>
          <w:sz w:val="24"/>
        </w:rPr>
        <w:t xml:space="preserve"> 14</w:t>
      </w:r>
    </w:p>
    <w:p>
      <w:r>
        <w:br w:type="page"/>
      </w:r>
    </w:p>
    <w:p>
      <w:pPr>
        <w:pStyle w:val="Heading1"/>
        <w:spacing w:before="280" w:after="120"/>
      </w:pPr>
      <w:r>
        <w:rPr>
          <w:rFonts w:ascii="Times New Roman" w:hAnsi="Times New Roman"/>
          <w:b/>
          <w:color w:val="102C57"/>
          <w:sz w:val="32"/>
        </w:rPr>
        <w:t>1. Introduction</w:t>
      </w:r>
    </w:p>
    <w:p>
      <w:pPr>
        <w:spacing w:after="120" w:line="300" w:lineRule="auto"/>
        <w:jc w:val="both"/>
      </w:pPr>
      <w:r>
        <w:rPr>
          <w:rFonts w:ascii="Times New Roman" w:hAnsi="Times New Roman"/>
          <w:sz w:val="23"/>
        </w:rPr>
        <w:t>Sorting is one of the most fundamental operations in computer science, serving as an algorithmic building block for information retrieval, database indexing, computer graphics, computational geometry, and distributed big-data pipelines. An algorithm's asymptotic complexity, expressed using Big-O notation, provides a theoretical upper bound on its growth rate as input scale expands toward infinity. However, in physical computing hardware, real-world execution latency frequently deviates from pure mathematical models due to CPU cache hierarchies (L1/L2/L3), memory latency, branch prediction behavior, instruction pipelining, and data distribution topology.</w:t>
      </w:r>
    </w:p>
    <w:p>
      <w:pPr>
        <w:spacing w:after="120" w:line="300" w:lineRule="auto"/>
        <w:jc w:val="both"/>
      </w:pPr>
      <w:r>
        <w:rPr>
          <w:rFonts w:ascii="Times New Roman" w:hAnsi="Times New Roman"/>
          <w:sz w:val="23"/>
        </w:rPr>
        <w:t>The Sorting Analysis Comparator (SAC) is an engineering and laboratory analysis system built entirely in modern C++17 with an interactive graphical interface powered by Simple and Fast Multimedia Library (SFML 2.5). The system is engineered to bridge theoretical algorithm design and empirical runtime behavior. By benchmarking four seminal sorting paradigms—Merge Sort (Divide-and-Conquer), Quick Sort (Partitioning), Heap Sort (Selection via Priority Queue), and Radix Sort (Non-comparative Distribution)—SAC provides rigorous hardware telemetry across multiple input scales (N = 100 to 50,000) and topological distributions (Uniform Random, Nearly Sorted, Reverse Sorted, and Many Duplicates).</w:t>
      </w:r>
    </w:p>
    <w:p>
      <w:pPr>
        <w:spacing w:after="120" w:line="300" w:lineRule="auto"/>
        <w:jc w:val="both"/>
      </w:pPr>
      <w:r>
        <w:rPr>
          <w:rFonts w:ascii="Times New Roman" w:hAnsi="Times New Roman"/>
          <w:sz w:val="23"/>
        </w:rPr>
        <w:t>Beyond statistical benchmarks, SAC incorporates a real-time 60 FPS animation engine that visually traces comparison and swap operations, supports an unprecedented 4-Way Head-to-Head Race Mode, and enables user-defined custom array insertion with dynamic number labels drawn directly on bars.</w:t>
      </w:r>
    </w:p>
    <w:p>
      <w:pPr>
        <w:pStyle w:val="Heading1"/>
        <w:spacing w:before="280" w:after="120"/>
      </w:pPr>
      <w:r>
        <w:rPr>
          <w:rFonts w:ascii="Times New Roman" w:hAnsi="Times New Roman"/>
          <w:b/>
          <w:color w:val="102C57"/>
          <w:sz w:val="32"/>
        </w:rPr>
        <w:t>2. Objective</w:t>
      </w:r>
    </w:p>
    <w:p>
      <w:pPr>
        <w:spacing w:after="120" w:line="300" w:lineRule="auto"/>
        <w:jc w:val="both"/>
      </w:pPr>
      <w:r>
        <w:rPr>
          <w:rFonts w:ascii="Times New Roman" w:hAnsi="Times New Roman"/>
          <w:sz w:val="23"/>
        </w:rPr>
        <w:t>The primary objectives of the Sorting Analysis Comparator project are defined as follows:</w:t>
      </w:r>
    </w:p>
    <w:p>
      <w:pPr>
        <w:spacing w:after="80" w:line="300" w:lineRule="auto"/>
        <w:jc w:val="both"/>
      </w:pPr>
      <w:r>
        <w:rPr>
          <w:rFonts w:ascii="Times New Roman" w:hAnsi="Times New Roman"/>
          <w:b/>
          <w:sz w:val="23"/>
        </w:rPr>
        <w:t xml:space="preserve">Empirical Complexity Verification: </w:t>
      </w:r>
      <w:r>
        <w:rPr>
          <w:rFonts w:ascii="Times New Roman" w:hAnsi="Times New Roman"/>
          <w:sz w:val="23"/>
        </w:rPr>
        <w:t>Measure real execution wall-clock time with sub-microsecond hardware counters (Windows QueryPerformanceCounter) and determine whether observed scaling ratios T(n2)/T(n1) align with theoretical O(n log n), O(n^2), and O(d(n+k)) Big-O complexity predictions.</w:t>
      </w:r>
    </w:p>
    <w:p>
      <w:pPr>
        <w:spacing w:after="80" w:line="300" w:lineRule="auto"/>
        <w:jc w:val="both"/>
      </w:pPr>
      <w:r>
        <w:rPr>
          <w:rFonts w:ascii="Times New Roman" w:hAnsi="Times New Roman"/>
          <w:b/>
          <w:sz w:val="23"/>
        </w:rPr>
        <w:t xml:space="preserve">Exact Operation Telemetry: </w:t>
      </w:r>
      <w:r>
        <w:rPr>
          <w:rFonts w:ascii="Times New Roman" w:hAnsi="Times New Roman"/>
          <w:sz w:val="23"/>
        </w:rPr>
        <w:t>Accurately count comparisons and element swaps/assignments across identical input permutations, highlighting the invariant nature of deterministic operations independent of CPU clock fluctuations.</w:t>
      </w:r>
    </w:p>
    <w:p>
      <w:pPr>
        <w:spacing w:after="80" w:line="300" w:lineRule="auto"/>
        <w:jc w:val="both"/>
      </w:pPr>
      <w:r>
        <w:rPr>
          <w:rFonts w:ascii="Times New Roman" w:hAnsi="Times New Roman"/>
          <w:b/>
          <w:sz w:val="23"/>
        </w:rPr>
        <w:t xml:space="preserve">Stress Testing Across Topologies: </w:t>
      </w:r>
      <w:r>
        <w:rPr>
          <w:rFonts w:ascii="Times New Roman" w:hAnsi="Times New Roman"/>
          <w:sz w:val="23"/>
        </w:rPr>
        <w:t>Investigate algorithm resilience against pathological input distributions, specifically verifying Quick Sort's quadratic degradation on high duplicate frequency and Merge Sort's consistent performance.</w:t>
      </w:r>
    </w:p>
    <w:p>
      <w:pPr>
        <w:spacing w:after="80" w:line="300" w:lineRule="auto"/>
        <w:jc w:val="both"/>
      </w:pPr>
      <w:r>
        <w:rPr>
          <w:rFonts w:ascii="Times New Roman" w:hAnsi="Times New Roman"/>
          <w:b/>
          <w:sz w:val="23"/>
        </w:rPr>
        <w:t xml:space="preserve">Interactive Multi-Paradigm Visualization: </w:t>
      </w:r>
      <w:r>
        <w:rPr>
          <w:rFonts w:ascii="Times New Roman" w:hAnsi="Times New Roman"/>
          <w:sz w:val="23"/>
        </w:rPr>
        <w:t>Develop a high-performance graphical visualizer with three operational modes (Single Sort Bar Animation, 4-Way Race Mode, and Benchmark Growth Curves Plotter) and mouse-driven controls.</w:t>
      </w:r>
    </w:p>
    <w:p>
      <w:pPr>
        <w:spacing w:after="80" w:line="300" w:lineRule="auto"/>
        <w:jc w:val="both"/>
      </w:pPr>
      <w:r>
        <w:rPr>
          <w:rFonts w:ascii="Times New Roman" w:hAnsi="Times New Roman"/>
          <w:b/>
          <w:sz w:val="23"/>
        </w:rPr>
        <w:t xml:space="preserve">Custom Data Tracing: </w:t>
      </w:r>
      <w:r>
        <w:rPr>
          <w:rFonts w:ascii="Times New Roman" w:hAnsi="Times New Roman"/>
          <w:sz w:val="23"/>
        </w:rPr>
        <w:t>Empower students and researchers to input arbitrary integer sequences, visually verifying correctness and invariants of sorting passes with real-time on-bar numeric tracking.</w:t>
      </w:r>
    </w:p>
    <w:p>
      <w:pPr>
        <w:pStyle w:val="Heading1"/>
        <w:spacing w:before="280" w:after="120"/>
      </w:pPr>
      <w:r>
        <w:rPr>
          <w:rFonts w:ascii="Times New Roman" w:hAnsi="Times New Roman"/>
          <w:b/>
          <w:color w:val="102C57"/>
          <w:sz w:val="32"/>
        </w:rPr>
        <w:t>3. Methodology And Planning</w:t>
      </w:r>
    </w:p>
    <w:p>
      <w:pPr>
        <w:spacing w:after="120" w:line="300" w:lineRule="auto"/>
        <w:jc w:val="both"/>
      </w:pPr>
      <w:r>
        <w:rPr>
          <w:rFonts w:ascii="Times New Roman" w:hAnsi="Times New Roman"/>
          <w:sz w:val="23"/>
        </w:rPr>
        <w:t>The project architecture is segregated into four decoupled layers to maintain modularity, testability, and deterministic timing fidelity:</w:t>
      </w:r>
    </w:p>
    <w:p>
      <w:pPr>
        <w:spacing w:after="80" w:line="300" w:lineRule="auto"/>
        <w:jc w:val="both"/>
      </w:pPr>
      <w:r>
        <w:rPr>
          <w:rFonts w:ascii="Times New Roman" w:hAnsi="Times New Roman"/>
          <w:b/>
          <w:sz w:val="23"/>
        </w:rPr>
        <w:t xml:space="preserve">Dual-Variant Architecture: </w:t>
      </w:r>
      <w:r>
        <w:rPr>
          <w:rFonts w:ascii="Times New Roman" w:hAnsi="Times New Roman"/>
          <w:sz w:val="23"/>
        </w:rPr>
        <w:t>Every sorting algorithm is implemented in two distinct variants: a Fast Variant compiled with -O3 aggressive optimizations, preallocated buffers, and zero telemetry overhead for genuine benchmark timing; and an Instrumented Variant that records an AnimationStep event log alongside operation counters.</w:t>
      </w:r>
    </w:p>
    <w:p>
      <w:pPr>
        <w:spacing w:after="80" w:line="300" w:lineRule="auto"/>
        <w:jc w:val="both"/>
      </w:pPr>
      <w:r>
        <w:rPr>
          <w:rFonts w:ascii="Times New Roman" w:hAnsi="Times New Roman"/>
          <w:b/>
          <w:sz w:val="23"/>
        </w:rPr>
        <w:t xml:space="preserve">Hardware Sub-Microsecond Timer: </w:t>
      </w:r>
      <w:r>
        <w:rPr>
          <w:rFonts w:ascii="Times New Roman" w:hAnsi="Times New Roman"/>
          <w:sz w:val="23"/>
        </w:rPr>
        <w:t>Standard MinGW GCC implementations of std::chrono::high_resolution_clock suffer from a 15.6 ms resolution tick floor on Windows. SAC implements an operating-system-level HighResClock utilizing Windows QueryPerformanceCounter (QPC), capturing latency down to nanosecond precision.</w:t>
      </w:r>
    </w:p>
    <w:p>
      <w:pPr>
        <w:spacing w:after="80" w:line="300" w:lineRule="auto"/>
        <w:jc w:val="both"/>
      </w:pPr>
      <w:r>
        <w:rPr>
          <w:rFonts w:ascii="Times New Roman" w:hAnsi="Times New Roman"/>
          <w:b/>
          <w:sz w:val="23"/>
        </w:rPr>
        <w:t xml:space="preserve">Data Generation Engine: </w:t>
      </w:r>
      <w:r>
        <w:rPr>
          <w:rFonts w:ascii="Times New Roman" w:hAnsi="Times New Roman"/>
          <w:sz w:val="23"/>
        </w:rPr>
        <w:t>Four distinct stochastic generators synthesize arrays across six logarithmic scales: N in {100, 500, 1000, 5000, 10000, 50000}. Distributions include Uniform Random (discrete uniform distribution in [1, 100000]), Nearly Sorted (~5% random index swaps), Reverse Sorted (strictly descending), and Many Duplicates (domain [1, 10]).</w:t>
      </w:r>
    </w:p>
    <w:p>
      <w:pPr>
        <w:spacing w:after="80" w:line="300" w:lineRule="auto"/>
        <w:jc w:val="both"/>
      </w:pPr>
      <w:r>
        <w:rPr>
          <w:rFonts w:ascii="Times New Roman" w:hAnsi="Times New Roman"/>
          <w:b/>
          <w:sz w:val="23"/>
        </w:rPr>
        <w:t xml:space="preserve">Empirical Ratio &amp; Power Fitting: </w:t>
      </w:r>
      <w:r>
        <w:rPr>
          <w:rFonts w:ascii="Times New Roman" w:hAnsi="Times New Roman"/>
          <w:sz w:val="23"/>
        </w:rPr>
        <w:t>Calculates observed growth ratios R_obs = T(n2)/T(n1) between successive scales and fits the empirical power exponent alpha = ln(R_obs)/ln(n2/n1). Alpha ~ 1.0 indicates linear O(n), alpha ~ 1.05-1.2 indicates O(n log n), and alpha ~ 2.0 flags quadratic O(n^2).</w:t>
      </w:r>
    </w:p>
    <w:p>
      <w:pPr>
        <w:spacing w:after="80" w:line="300" w:lineRule="auto"/>
        <w:jc w:val="both"/>
      </w:pPr>
      <w:r>
        <w:rPr>
          <w:rFonts w:ascii="Times New Roman" w:hAnsi="Times New Roman"/>
          <w:b/>
          <w:sz w:val="23"/>
        </w:rPr>
        <w:t xml:space="preserve">SFML Render Pipeline: </w:t>
      </w:r>
      <w:r>
        <w:rPr>
          <w:rFonts w:ascii="Times New Roman" w:hAnsi="Times New Roman"/>
          <w:sz w:val="23"/>
        </w:rPr>
        <w:t>An asynchronous event loop renders vertical bar geometries at 60 FPS. Operations are color-coded: Yellow for Comparisons, Red for Swaps, Purple for Overwrites/Assignments, and Emerald Green for permanently sorted elements.</w:t>
      </w:r>
    </w:p>
    <w:p>
      <w:pPr>
        <w:pStyle w:val="Heading1"/>
        <w:spacing w:before="280" w:after="120"/>
      </w:pPr>
      <w:r>
        <w:rPr>
          <w:rFonts w:ascii="Times New Roman" w:hAnsi="Times New Roman"/>
          <w:b/>
          <w:color w:val="102C57"/>
          <w:sz w:val="32"/>
        </w:rPr>
        <w:t>4. Literature Review</w:t>
      </w:r>
    </w:p>
    <w:p>
      <w:pPr>
        <w:spacing w:after="120" w:line="300" w:lineRule="auto"/>
        <w:jc w:val="both"/>
      </w:pPr>
      <w:r>
        <w:rPr>
          <w:rFonts w:ascii="Times New Roman" w:hAnsi="Times New Roman"/>
          <w:sz w:val="23"/>
        </w:rPr>
        <w:t>The study of comparison-based and distribution-based sorting algorithms has a rich academic history spanning several decades. Fundamental findings from classical literature form the foundation of this research:</w:t>
      </w:r>
    </w:p>
    <w:p>
      <w:pPr>
        <w:spacing w:after="80" w:line="300" w:lineRule="auto"/>
        <w:jc w:val="both"/>
      </w:pPr>
      <w:r>
        <w:rPr>
          <w:rFonts w:ascii="Times New Roman" w:hAnsi="Times New Roman"/>
          <w:b/>
          <w:sz w:val="23"/>
        </w:rPr>
        <w:t xml:space="preserve">Merge Sort (John von Neumann, 1945): </w:t>
      </w:r>
      <w:r>
        <w:rPr>
          <w:rFonts w:ascii="Times New Roman" w:hAnsi="Times New Roman"/>
          <w:sz w:val="23"/>
        </w:rPr>
        <w:t>Formulated on the divide-and-conquer strategy, Merge Sort guarantees Theta(n log n) comparisons in all cases by recursively bisecting arrays and merging sorted subarrays. Its primary drawback is auxiliary spatial complexity Theta(n), making in-place variants challenging on memory-constrained systems.</w:t>
      </w:r>
    </w:p>
    <w:p>
      <w:pPr>
        <w:spacing w:after="80" w:line="300" w:lineRule="auto"/>
        <w:jc w:val="both"/>
      </w:pPr>
      <w:r>
        <w:rPr>
          <w:rFonts w:ascii="Times New Roman" w:hAnsi="Times New Roman"/>
          <w:b/>
          <w:sz w:val="23"/>
        </w:rPr>
        <w:t xml:space="preserve">Quick Sort (C. A. R. Hoare, 1959): </w:t>
      </w:r>
      <w:r>
        <w:rPr>
          <w:rFonts w:ascii="Times New Roman" w:hAnsi="Times New Roman"/>
          <w:sz w:val="23"/>
        </w:rPr>
        <w:t>Quick Sort employs in-place partitioning around a selected pivot element. While exhibiting an average time complexity of Theta(n log n) with an exceptionally small constant factor due to cache-friendly contiguous memory scanning, naive pivot selection degrades to O(n^2) when partitioning degenerates on sorted or duplicate-heavy arrays. Median-of-three pivot selection and tail-recursion elimination mitigate these risks.</w:t>
      </w:r>
    </w:p>
    <w:p>
      <w:pPr>
        <w:spacing w:after="80" w:line="300" w:lineRule="auto"/>
        <w:jc w:val="both"/>
      </w:pPr>
      <w:r>
        <w:rPr>
          <w:rFonts w:ascii="Times New Roman" w:hAnsi="Times New Roman"/>
          <w:b/>
          <w:sz w:val="23"/>
        </w:rPr>
        <w:t xml:space="preserve">Heap Sort (J. W. J. Williams &amp; R. W. Floyd, 1964): </w:t>
      </w:r>
      <w:r>
        <w:rPr>
          <w:rFonts w:ascii="Times New Roman" w:hAnsi="Times New Roman"/>
          <w:sz w:val="23"/>
        </w:rPr>
        <w:t>Constructs a complete binary max-heap in Theta(n) time using bottom-up sift-down operations, followed by n - 1 successive root extractions in O(log n) each, achieving strict O(n log n) upper bound in-place with O(1) auxiliary space.</w:t>
      </w:r>
    </w:p>
    <w:p>
      <w:pPr>
        <w:spacing w:after="80" w:line="300" w:lineRule="auto"/>
        <w:jc w:val="both"/>
      </w:pPr>
      <w:r>
        <w:rPr>
          <w:rFonts w:ascii="Times New Roman" w:hAnsi="Times New Roman"/>
          <w:b/>
          <w:sz w:val="23"/>
        </w:rPr>
        <w:t xml:space="preserve">Radix Sort (Herman Hollerith, 1887; Harold H. Seward, 1954): </w:t>
      </w:r>
      <w:r>
        <w:rPr>
          <w:rFonts w:ascii="Times New Roman" w:hAnsi="Times New Roman"/>
          <w:sz w:val="23"/>
        </w:rPr>
        <w:t>Radix Sort circumvents the Omega(n log n) information-theoretic lower bound for comparison sorts by examining positional key digits using stable Counting Sort passes. Its theoretical time complexity is Theta(d * (n + k)), rendering it strictly linear when key length d and radix base k are constant.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val="clear" w:color="auto" w:fill="102C57"/>
          </w:tcPr>
          <w:p>
            <w:pPr>
              <w:jc w:val="center"/>
            </w:pPr>
            <w:r>
              <w:rPr>
                <w:rFonts w:ascii="Times New Roman" w:hAnsi="Times New Roman"/>
                <w:b/>
                <w:color w:val="FFFFFF"/>
                <w:sz w:val="20"/>
              </w:rPr>
              <w:t>Algorithm</w:t>
            </w:r>
          </w:p>
        </w:tc>
        <w:tc>
          <w:tcPr>
            <w:tcW w:type="dxa" w:w="1872"/>
            <w:shd w:val="clear" w:color="auto" w:fill="102C57"/>
          </w:tcPr>
          <w:p>
            <w:pPr>
              <w:jc w:val="center"/>
            </w:pPr>
            <w:r>
              <w:rPr>
                <w:rFonts w:ascii="Times New Roman" w:hAnsi="Times New Roman"/>
                <w:b/>
                <w:color w:val="FFFFFF"/>
                <w:sz w:val="20"/>
              </w:rPr>
              <w:t>Best Case</w:t>
            </w:r>
          </w:p>
        </w:tc>
        <w:tc>
          <w:tcPr>
            <w:tcW w:type="dxa" w:w="1872"/>
            <w:shd w:val="clear" w:color="auto" w:fill="102C57"/>
          </w:tcPr>
          <w:p>
            <w:pPr>
              <w:jc w:val="center"/>
            </w:pPr>
            <w:r>
              <w:rPr>
                <w:rFonts w:ascii="Times New Roman" w:hAnsi="Times New Roman"/>
                <w:b/>
                <w:color w:val="FFFFFF"/>
                <w:sz w:val="20"/>
              </w:rPr>
              <w:t>Average Case</w:t>
            </w:r>
          </w:p>
        </w:tc>
        <w:tc>
          <w:tcPr>
            <w:tcW w:type="dxa" w:w="1872"/>
            <w:shd w:val="clear" w:color="auto" w:fill="102C57"/>
          </w:tcPr>
          <w:p>
            <w:pPr>
              <w:jc w:val="center"/>
            </w:pPr>
            <w:r>
              <w:rPr>
                <w:rFonts w:ascii="Times New Roman" w:hAnsi="Times New Roman"/>
                <w:b/>
                <w:color w:val="FFFFFF"/>
                <w:sz w:val="20"/>
              </w:rPr>
              <w:t>Worst Case</w:t>
            </w:r>
          </w:p>
        </w:tc>
        <w:tc>
          <w:tcPr>
            <w:tcW w:type="dxa" w:w="1728"/>
            <w:shd w:val="clear" w:color="auto" w:fill="102C57"/>
          </w:tcPr>
          <w:p>
            <w:pPr>
              <w:jc w:val="center"/>
            </w:pPr>
            <w:r>
              <w:rPr>
                <w:rFonts w:ascii="Times New Roman" w:hAnsi="Times New Roman"/>
                <w:b/>
                <w:color w:val="FFFFFF"/>
                <w:sz w:val="20"/>
              </w:rPr>
              <w:t>Auxiliary Space</w:t>
            </w:r>
          </w:p>
        </w:tc>
      </w:tr>
      <w:tr>
        <w:tc>
          <w:tcPr>
            <w:tcW w:type="dxa" w:w="2016"/>
            <w:shd w:val="clear" w:color="auto" w:fill="FFFFFF"/>
          </w:tcPr>
          <w:p>
            <w:pPr>
              <w:jc w:val="center"/>
            </w:pPr>
            <w:r>
              <w:rPr>
                <w:rFonts w:ascii="Times New Roman" w:hAnsi="Times New Roman"/>
                <w:sz w:val="19"/>
              </w:rPr>
              <w:t>Merge Sort</w:t>
            </w:r>
          </w:p>
        </w:tc>
        <w:tc>
          <w:tcPr>
            <w:tcW w:type="dxa" w:w="1872"/>
            <w:shd w:val="clear" w:color="auto" w:fill="FFFFFF"/>
          </w:tcPr>
          <w:p>
            <w:pPr>
              <w:jc w:val="center"/>
            </w:pPr>
            <w:r>
              <w:rPr>
                <w:rFonts w:ascii="Times New Roman" w:hAnsi="Times New Roman"/>
                <w:sz w:val="19"/>
              </w:rPr>
              <w:t>O(n log n)</w:t>
            </w:r>
          </w:p>
        </w:tc>
        <w:tc>
          <w:tcPr>
            <w:tcW w:type="dxa" w:w="1872"/>
            <w:shd w:val="clear" w:color="auto" w:fill="FFFFFF"/>
          </w:tcPr>
          <w:p>
            <w:pPr>
              <w:jc w:val="center"/>
            </w:pPr>
            <w:r>
              <w:rPr>
                <w:rFonts w:ascii="Times New Roman" w:hAnsi="Times New Roman"/>
                <w:sz w:val="19"/>
              </w:rPr>
              <w:t>O(n log n)</w:t>
            </w:r>
          </w:p>
        </w:tc>
        <w:tc>
          <w:tcPr>
            <w:tcW w:type="dxa" w:w="1872"/>
            <w:shd w:val="clear" w:color="auto" w:fill="FFFFFF"/>
          </w:tcPr>
          <w:p>
            <w:pPr>
              <w:jc w:val="center"/>
            </w:pPr>
            <w:r>
              <w:rPr>
                <w:rFonts w:ascii="Times New Roman" w:hAnsi="Times New Roman"/>
                <w:sz w:val="19"/>
              </w:rPr>
              <w:t>O(n log n)</w:t>
            </w:r>
          </w:p>
        </w:tc>
        <w:tc>
          <w:tcPr>
            <w:tcW w:type="dxa" w:w="1728"/>
            <w:shd w:val="clear" w:color="auto" w:fill="FFFFFF"/>
          </w:tcPr>
          <w:p>
            <w:pPr>
              <w:jc w:val="center"/>
            </w:pPr>
            <w:r>
              <w:rPr>
                <w:rFonts w:ascii="Times New Roman" w:hAnsi="Times New Roman"/>
                <w:sz w:val="19"/>
              </w:rPr>
              <w:t>O(n)</w:t>
            </w:r>
          </w:p>
        </w:tc>
      </w:tr>
      <w:tr>
        <w:tc>
          <w:tcPr>
            <w:tcW w:type="dxa" w:w="2016"/>
            <w:shd w:val="clear" w:color="auto" w:fill="F4F6F9"/>
          </w:tcPr>
          <w:p>
            <w:pPr>
              <w:jc w:val="center"/>
            </w:pPr>
            <w:r>
              <w:rPr>
                <w:rFonts w:ascii="Times New Roman" w:hAnsi="Times New Roman"/>
                <w:sz w:val="19"/>
              </w:rPr>
              <w:t>Quick Sort</w:t>
            </w:r>
          </w:p>
        </w:tc>
        <w:tc>
          <w:tcPr>
            <w:tcW w:type="dxa" w:w="1872"/>
            <w:shd w:val="clear" w:color="auto" w:fill="F4F6F9"/>
          </w:tcPr>
          <w:p>
            <w:pPr>
              <w:jc w:val="center"/>
            </w:pPr>
            <w:r>
              <w:rPr>
                <w:rFonts w:ascii="Times New Roman" w:hAnsi="Times New Roman"/>
                <w:sz w:val="19"/>
              </w:rPr>
              <w:t>O(n log n)</w:t>
            </w:r>
          </w:p>
        </w:tc>
        <w:tc>
          <w:tcPr>
            <w:tcW w:type="dxa" w:w="1872"/>
            <w:shd w:val="clear" w:color="auto" w:fill="F4F6F9"/>
          </w:tcPr>
          <w:p>
            <w:pPr>
              <w:jc w:val="center"/>
            </w:pPr>
            <w:r>
              <w:rPr>
                <w:rFonts w:ascii="Times New Roman" w:hAnsi="Times New Roman"/>
                <w:sz w:val="19"/>
              </w:rPr>
              <w:t>O(n log n)</w:t>
            </w:r>
          </w:p>
        </w:tc>
        <w:tc>
          <w:tcPr>
            <w:tcW w:type="dxa" w:w="1872"/>
            <w:shd w:val="clear" w:color="auto" w:fill="F4F6F9"/>
          </w:tcPr>
          <w:p>
            <w:pPr>
              <w:jc w:val="center"/>
            </w:pPr>
            <w:r>
              <w:rPr>
                <w:rFonts w:ascii="Times New Roman" w:hAnsi="Times New Roman"/>
                <w:sz w:val="19"/>
              </w:rPr>
              <w:t>O(n^2)</w:t>
            </w:r>
          </w:p>
        </w:tc>
        <w:tc>
          <w:tcPr>
            <w:tcW w:type="dxa" w:w="1728"/>
            <w:shd w:val="clear" w:color="auto" w:fill="F4F6F9"/>
          </w:tcPr>
          <w:p>
            <w:pPr>
              <w:jc w:val="center"/>
            </w:pPr>
            <w:r>
              <w:rPr>
                <w:rFonts w:ascii="Times New Roman" w:hAnsi="Times New Roman"/>
                <w:sz w:val="19"/>
              </w:rPr>
              <w:t>O(log n)</w:t>
            </w:r>
          </w:p>
        </w:tc>
      </w:tr>
      <w:tr>
        <w:tc>
          <w:tcPr>
            <w:tcW w:type="dxa" w:w="2016"/>
            <w:shd w:val="clear" w:color="auto" w:fill="FFFFFF"/>
          </w:tcPr>
          <w:p>
            <w:pPr>
              <w:jc w:val="center"/>
            </w:pPr>
            <w:r>
              <w:rPr>
                <w:rFonts w:ascii="Times New Roman" w:hAnsi="Times New Roman"/>
                <w:sz w:val="19"/>
              </w:rPr>
              <w:t>Heap Sort</w:t>
            </w:r>
          </w:p>
        </w:tc>
        <w:tc>
          <w:tcPr>
            <w:tcW w:type="dxa" w:w="1872"/>
            <w:shd w:val="clear" w:color="auto" w:fill="FFFFFF"/>
          </w:tcPr>
          <w:p>
            <w:pPr>
              <w:jc w:val="center"/>
            </w:pPr>
            <w:r>
              <w:rPr>
                <w:rFonts w:ascii="Times New Roman" w:hAnsi="Times New Roman"/>
                <w:sz w:val="19"/>
              </w:rPr>
              <w:t>O(n log n)</w:t>
            </w:r>
          </w:p>
        </w:tc>
        <w:tc>
          <w:tcPr>
            <w:tcW w:type="dxa" w:w="1872"/>
            <w:shd w:val="clear" w:color="auto" w:fill="FFFFFF"/>
          </w:tcPr>
          <w:p>
            <w:pPr>
              <w:jc w:val="center"/>
            </w:pPr>
            <w:r>
              <w:rPr>
                <w:rFonts w:ascii="Times New Roman" w:hAnsi="Times New Roman"/>
                <w:sz w:val="19"/>
              </w:rPr>
              <w:t>O(n log n)</w:t>
            </w:r>
          </w:p>
        </w:tc>
        <w:tc>
          <w:tcPr>
            <w:tcW w:type="dxa" w:w="1872"/>
            <w:shd w:val="clear" w:color="auto" w:fill="FFFFFF"/>
          </w:tcPr>
          <w:p>
            <w:pPr>
              <w:jc w:val="center"/>
            </w:pPr>
            <w:r>
              <w:rPr>
                <w:rFonts w:ascii="Times New Roman" w:hAnsi="Times New Roman"/>
                <w:sz w:val="19"/>
              </w:rPr>
              <w:t>O(n log n)</w:t>
            </w:r>
          </w:p>
        </w:tc>
        <w:tc>
          <w:tcPr>
            <w:tcW w:type="dxa" w:w="1728"/>
            <w:shd w:val="clear" w:color="auto" w:fill="FFFFFF"/>
          </w:tcPr>
          <w:p>
            <w:pPr>
              <w:jc w:val="center"/>
            </w:pPr>
            <w:r>
              <w:rPr>
                <w:rFonts w:ascii="Times New Roman" w:hAnsi="Times New Roman"/>
                <w:sz w:val="19"/>
              </w:rPr>
              <w:t>O(1)</w:t>
            </w:r>
          </w:p>
        </w:tc>
      </w:tr>
      <w:tr>
        <w:tc>
          <w:tcPr>
            <w:tcW w:type="dxa" w:w="2016"/>
            <w:shd w:val="clear" w:color="auto" w:fill="F4F6F9"/>
          </w:tcPr>
          <w:p>
            <w:pPr>
              <w:jc w:val="center"/>
            </w:pPr>
            <w:r>
              <w:rPr>
                <w:rFonts w:ascii="Times New Roman" w:hAnsi="Times New Roman"/>
                <w:sz w:val="19"/>
              </w:rPr>
              <w:t>Radix Sort</w:t>
            </w:r>
          </w:p>
        </w:tc>
        <w:tc>
          <w:tcPr>
            <w:tcW w:type="dxa" w:w="1872"/>
            <w:shd w:val="clear" w:color="auto" w:fill="F4F6F9"/>
          </w:tcPr>
          <w:p>
            <w:pPr>
              <w:jc w:val="center"/>
            </w:pPr>
            <w:r>
              <w:rPr>
                <w:rFonts w:ascii="Times New Roman" w:hAnsi="Times New Roman"/>
                <w:sz w:val="19"/>
              </w:rPr>
              <w:t>O(d*(n+k))</w:t>
            </w:r>
          </w:p>
        </w:tc>
        <w:tc>
          <w:tcPr>
            <w:tcW w:type="dxa" w:w="1872"/>
            <w:shd w:val="clear" w:color="auto" w:fill="F4F6F9"/>
          </w:tcPr>
          <w:p>
            <w:pPr>
              <w:jc w:val="center"/>
            </w:pPr>
            <w:r>
              <w:rPr>
                <w:rFonts w:ascii="Times New Roman" w:hAnsi="Times New Roman"/>
                <w:sz w:val="19"/>
              </w:rPr>
              <w:t>O(d*(n+k))</w:t>
            </w:r>
          </w:p>
        </w:tc>
        <w:tc>
          <w:tcPr>
            <w:tcW w:type="dxa" w:w="1872"/>
            <w:shd w:val="clear" w:color="auto" w:fill="F4F6F9"/>
          </w:tcPr>
          <w:p>
            <w:pPr>
              <w:jc w:val="center"/>
            </w:pPr>
            <w:r>
              <w:rPr>
                <w:rFonts w:ascii="Times New Roman" w:hAnsi="Times New Roman"/>
                <w:sz w:val="19"/>
              </w:rPr>
              <w:t>O(d*(n+k))</w:t>
            </w:r>
          </w:p>
        </w:tc>
        <w:tc>
          <w:tcPr>
            <w:tcW w:type="dxa" w:w="1728"/>
            <w:shd w:val="clear" w:color="auto" w:fill="F4F6F9"/>
          </w:tcPr>
          <w:p>
            <w:pPr>
              <w:jc w:val="center"/>
            </w:pPr>
            <w:r>
              <w:rPr>
                <w:rFonts w:ascii="Times New Roman" w:hAnsi="Times New Roman"/>
                <w:sz w:val="19"/>
              </w:rPr>
              <w:t>O(n+k)</w:t>
            </w:r>
          </w:p>
        </w:tc>
      </w:tr>
    </w:tbl>
    <w:p>
      <w:pPr>
        <w:spacing w:after="240"/>
      </w:pPr>
    </w:p>
    <w:p>
      <w:pPr>
        <w:pStyle w:val="Heading1"/>
        <w:spacing w:before="280" w:after="120"/>
      </w:pPr>
      <w:r>
        <w:rPr>
          <w:rFonts w:ascii="Times New Roman" w:hAnsi="Times New Roman"/>
          <w:b/>
          <w:color w:val="102C57"/>
          <w:sz w:val="32"/>
        </w:rPr>
        <w:t>5. Applications of the Project</w:t>
      </w:r>
    </w:p>
    <w:p>
      <w:pPr>
        <w:spacing w:after="120" w:line="300" w:lineRule="auto"/>
        <w:jc w:val="both"/>
      </w:pPr>
      <w:r>
        <w:rPr>
          <w:rFonts w:ascii="Times New Roman" w:hAnsi="Times New Roman"/>
          <w:sz w:val="23"/>
        </w:rPr>
        <w:t>The Sorting Analysis Comparator serves practical engineering and educational utility across multiple domains:</w:t>
      </w:r>
    </w:p>
    <w:p>
      <w:pPr>
        <w:spacing w:after="80" w:line="300" w:lineRule="auto"/>
        <w:jc w:val="both"/>
      </w:pPr>
      <w:r>
        <w:rPr>
          <w:rFonts w:ascii="Times New Roman" w:hAnsi="Times New Roman"/>
          <w:b/>
          <w:sz w:val="23"/>
        </w:rPr>
        <w:t xml:space="preserve">Academic Pedagogy: </w:t>
      </w:r>
      <w:r>
        <w:rPr>
          <w:rFonts w:ascii="Times New Roman" w:hAnsi="Times New Roman"/>
          <w:sz w:val="23"/>
        </w:rPr>
        <w:t>Equips universities and computer science institutions with an interactive laboratory instrument that transforms abstract asymptotic recurrence relations into tangible visual and statistical telemetry.</w:t>
      </w:r>
    </w:p>
    <w:p>
      <w:pPr>
        <w:spacing w:after="80" w:line="300" w:lineRule="auto"/>
        <w:jc w:val="both"/>
      </w:pPr>
      <w:r>
        <w:rPr>
          <w:rFonts w:ascii="Times New Roman" w:hAnsi="Times New Roman"/>
          <w:b/>
          <w:sz w:val="23"/>
        </w:rPr>
        <w:t xml:space="preserve">Systems &amp; Database Engineering: </w:t>
      </w:r>
      <w:r>
        <w:rPr>
          <w:rFonts w:ascii="Times New Roman" w:hAnsi="Times New Roman"/>
          <w:sz w:val="23"/>
        </w:rPr>
        <w:t>Assists database engine developers in benchmarking sort-merge join operators and selecting optimal sorting heuristics based on data presortedness and cardinality.</w:t>
      </w:r>
    </w:p>
    <w:p>
      <w:pPr>
        <w:spacing w:after="80" w:line="300" w:lineRule="auto"/>
        <w:jc w:val="both"/>
      </w:pPr>
      <w:r>
        <w:rPr>
          <w:rFonts w:ascii="Times New Roman" w:hAnsi="Times New Roman"/>
          <w:b/>
          <w:sz w:val="23"/>
        </w:rPr>
        <w:t xml:space="preserve">Embedded Systems Constraint Profiling: </w:t>
      </w:r>
      <w:r>
        <w:rPr>
          <w:rFonts w:ascii="Times New Roman" w:hAnsi="Times New Roman"/>
          <w:sz w:val="23"/>
        </w:rPr>
        <w:t>Facilitates memory-constrained runtime evaluations, proving Heap Sort's zero-allocation advantage over Merge Sort in microcontrollers.</w:t>
      </w:r>
    </w:p>
    <w:p>
      <w:pPr>
        <w:spacing w:after="80" w:line="300" w:lineRule="auto"/>
        <w:jc w:val="both"/>
      </w:pPr>
      <w:r>
        <w:rPr>
          <w:rFonts w:ascii="Times New Roman" w:hAnsi="Times New Roman"/>
          <w:b/>
          <w:sz w:val="23"/>
        </w:rPr>
        <w:t xml:space="preserve">Algorithmic Invariant Verification: </w:t>
      </w:r>
      <w:r>
        <w:rPr>
          <w:rFonts w:ascii="Times New Roman" w:hAnsi="Times New Roman"/>
          <w:sz w:val="23"/>
        </w:rPr>
        <w:t>Enables visual tracing of loop invariants (e.g. max-heap property preservation, partition pivot boundary defense) on user-provided edge case arrays.</w:t>
      </w:r>
    </w:p>
    <w:p>
      <w:pPr>
        <w:pStyle w:val="Heading1"/>
        <w:spacing w:before="280" w:after="120"/>
      </w:pPr>
      <w:r>
        <w:rPr>
          <w:rFonts w:ascii="Times New Roman" w:hAnsi="Times New Roman"/>
          <w:b/>
          <w:color w:val="102C57"/>
          <w:sz w:val="32"/>
        </w:rPr>
        <w:t>6. Block Diagram</w:t>
      </w:r>
    </w:p>
    <w:p>
      <w:pPr>
        <w:spacing w:after="120" w:line="300" w:lineRule="auto"/>
        <w:jc w:val="both"/>
      </w:pPr>
      <w:r>
        <w:rPr>
          <w:rFonts w:ascii="Times New Roman" w:hAnsi="Times New Roman"/>
          <w:sz w:val="23"/>
        </w:rPr>
        <w:t>Figure 6.1 illustrates the architectural block diagram of the Sorting Analysis Comparator system, depicting the workflow from input data synthesis through dual-variant execution to telemetry calculation and graphical rendering.</w:t>
      </w:r>
    </w:p>
    <w:p>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669280" cy="3287230"/>
                    </a:xfrm>
                    <a:prstGeom prst="rect"/>
                  </pic:spPr>
                </pic:pic>
              </a:graphicData>
            </a:graphic>
          </wp:inline>
        </w:drawing>
      </w:r>
    </w:p>
    <w:p>
      <w:pPr>
        <w:spacing w:after="280"/>
        <w:jc w:val="center"/>
      </w:pPr>
      <w:r>
        <w:rPr>
          <w:rFonts w:ascii="Times New Roman" w:hAnsi="Times New Roman"/>
          <w:i/>
          <w:sz w:val="20"/>
        </w:rPr>
        <w:t>Figure 6.1: System Architecture Block Diagram of SAC</w:t>
      </w:r>
    </w:p>
    <w:p>
      <w:pPr>
        <w:pStyle w:val="Heading1"/>
        <w:spacing w:before="280" w:after="120"/>
      </w:pPr>
      <w:r>
        <w:rPr>
          <w:rFonts w:ascii="Times New Roman" w:hAnsi="Times New Roman"/>
          <w:b/>
          <w:color w:val="102C57"/>
          <w:sz w:val="32"/>
        </w:rPr>
        <w:t>7. UML Diagram</w:t>
      </w:r>
    </w:p>
    <w:p>
      <w:pPr>
        <w:spacing w:after="120" w:line="300" w:lineRule="auto"/>
        <w:jc w:val="both"/>
      </w:pPr>
      <w:r>
        <w:rPr>
          <w:rFonts w:ascii="Times New Roman" w:hAnsi="Times New Roman"/>
          <w:sz w:val="23"/>
        </w:rPr>
        <w:t>Figure 7.1 presents the Unified Modeling Language (UML) Class Diagram of SAC, modeling class relationships, public/private member contracts, and event structures across the visualizer and engine.</w:t>
      </w:r>
    </w:p>
    <w:p>
      <w:r>
        <w:drawing>
          <wp:inline xmlns:a="http://schemas.openxmlformats.org/drawingml/2006/main" xmlns:pic="http://schemas.openxmlformats.org/drawingml/2006/picture">
            <wp:extent cx="5669280" cy="3471885"/>
            <wp:docPr id="2" name="Picture 2"/>
            <wp:cNvGraphicFramePr>
              <a:graphicFrameLocks noChangeAspect="1"/>
            </wp:cNvGraphicFramePr>
            <a:graphic>
              <a:graphicData uri="http://schemas.openxmlformats.org/drawingml/2006/picture">
                <pic:pic>
                  <pic:nvPicPr>
                    <pic:cNvPr id="0" name="uml_diagram.png"/>
                    <pic:cNvPicPr/>
                  </pic:nvPicPr>
                  <pic:blipFill>
                    <a:blip r:embed="rId10"/>
                    <a:stretch>
                      <a:fillRect/>
                    </a:stretch>
                  </pic:blipFill>
                  <pic:spPr>
                    <a:xfrm>
                      <a:off x="0" y="0"/>
                      <a:ext cx="5669280" cy="3471885"/>
                    </a:xfrm>
                    <a:prstGeom prst="rect"/>
                  </pic:spPr>
                </pic:pic>
              </a:graphicData>
            </a:graphic>
          </wp:inline>
        </w:drawing>
      </w:r>
    </w:p>
    <w:p>
      <w:pPr>
        <w:spacing w:after="280"/>
        <w:jc w:val="center"/>
      </w:pPr>
      <w:r>
        <w:rPr>
          <w:rFonts w:ascii="Times New Roman" w:hAnsi="Times New Roman"/>
          <w:i/>
          <w:sz w:val="20"/>
        </w:rPr>
        <w:t>Figure 7.1: UML Class Diagram for Sorting Analysis Comparator</w:t>
      </w:r>
    </w:p>
    <w:p>
      <w:pPr>
        <w:pStyle w:val="Heading1"/>
        <w:spacing w:before="280" w:after="120"/>
      </w:pPr>
      <w:r>
        <w:rPr>
          <w:rFonts w:ascii="Times New Roman" w:hAnsi="Times New Roman"/>
          <w:b/>
          <w:color w:val="102C57"/>
          <w:sz w:val="32"/>
        </w:rPr>
        <w:t>8. Screenshots</w:t>
      </w:r>
    </w:p>
    <w:p>
      <w:pPr>
        <w:spacing w:after="120" w:line="300" w:lineRule="auto"/>
        <w:jc w:val="both"/>
      </w:pPr>
      <w:r>
        <w:rPr>
          <w:rFonts w:ascii="Times New Roman" w:hAnsi="Times New Roman"/>
          <w:sz w:val="23"/>
        </w:rPr>
        <w:t>The following figures illustrate the operational user interfaces and benchmarking visual outputs generated by the system:</w:t>
      </w:r>
    </w:p>
    <w:p>
      <w:r>
        <w:drawing>
          <wp:inline xmlns:a="http://schemas.openxmlformats.org/drawingml/2006/main" xmlns:pic="http://schemas.openxmlformats.org/drawingml/2006/picture">
            <wp:extent cx="5486400" cy="3241477"/>
            <wp:docPr id="3" name="Picture 3"/>
            <wp:cNvGraphicFramePr>
              <a:graphicFrameLocks noChangeAspect="1"/>
            </wp:cNvGraphicFramePr>
            <a:graphic>
              <a:graphicData uri="http://schemas.openxmlformats.org/drawingml/2006/picture">
                <pic:pic>
                  <pic:nvPicPr>
                    <pic:cNvPr id="0" name="screenshot_visualizer.png"/>
                    <pic:cNvPicPr/>
                  </pic:nvPicPr>
                  <pic:blipFill>
                    <a:blip r:embed="rId11"/>
                    <a:stretch>
                      <a:fillRect/>
                    </a:stretch>
                  </pic:blipFill>
                  <pic:spPr>
                    <a:xfrm>
                      <a:off x="0" y="0"/>
                      <a:ext cx="5486400" cy="3241477"/>
                    </a:xfrm>
                    <a:prstGeom prst="rect"/>
                  </pic:spPr>
                </pic:pic>
              </a:graphicData>
            </a:graphic>
          </wp:inline>
        </w:drawing>
      </w:r>
    </w:p>
    <w:p>
      <w:pPr>
        <w:spacing w:after="240"/>
        <w:jc w:val="center"/>
      </w:pPr>
      <w:r>
        <w:rPr>
          <w:rFonts w:ascii="Times New Roman" w:hAnsi="Times New Roman"/>
          <w:i/>
          <w:sz w:val="20"/>
        </w:rPr>
        <w:t>Figure 8.1: Single Sort Animation Mode with Real-Time Telemetry HUD</w:t>
      </w:r>
    </w:p>
    <w:p>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benchmark_curves.png"/>
                    <pic:cNvPicPr/>
                  </pic:nvPicPr>
                  <pic:blipFill>
                    <a:blip r:embed="rId12"/>
                    <a:stretch>
                      <a:fillRect/>
                    </a:stretch>
                  </pic:blipFill>
                  <pic:spPr>
                    <a:xfrm>
                      <a:off x="0" y="0"/>
                      <a:ext cx="5303520" cy="3160684"/>
                    </a:xfrm>
                    <a:prstGeom prst="rect"/>
                  </pic:spPr>
                </pic:pic>
              </a:graphicData>
            </a:graphic>
          </wp:inline>
        </w:drawing>
      </w:r>
    </w:p>
    <w:p>
      <w:pPr>
        <w:spacing w:after="280"/>
        <w:jc w:val="center"/>
      </w:pPr>
      <w:r>
        <w:rPr>
          <w:rFonts w:ascii="Times New Roman" w:hAnsi="Times New Roman"/>
          <w:i/>
          <w:sz w:val="20"/>
        </w:rPr>
        <w:t>Figure 8.2: Empirical Benchmark Plot: Execution Time vs. Input Scale N</w:t>
      </w:r>
    </w:p>
    <w:p>
      <w:pPr>
        <w:pStyle w:val="Heading1"/>
        <w:spacing w:before="280" w:after="120"/>
      </w:pPr>
      <w:r>
        <w:rPr>
          <w:rFonts w:ascii="Times New Roman" w:hAnsi="Times New Roman"/>
          <w:b/>
          <w:color w:val="102C57"/>
          <w:sz w:val="32"/>
        </w:rPr>
        <w:t>9. References</w:t>
      </w:r>
    </w:p>
    <w:p>
      <w:pPr>
        <w:spacing w:after="80" w:line="276" w:lineRule="auto"/>
      </w:pPr>
      <w:r>
        <w:rPr>
          <w:rFonts w:ascii="Times New Roman" w:hAnsi="Times New Roman"/>
          <w:sz w:val="21"/>
        </w:rPr>
        <w:t>1. Cormen, T. H., Leiserson, C. E., Rivest, R. L., &amp; Stein, C. (2022). Introduction to Algorithms (4th ed.). MIT Press.</w:t>
      </w:r>
    </w:p>
    <w:p>
      <w:pPr>
        <w:spacing w:after="80" w:line="276" w:lineRule="auto"/>
      </w:pPr>
      <w:r>
        <w:rPr>
          <w:rFonts w:ascii="Times New Roman" w:hAnsi="Times New Roman"/>
          <w:sz w:val="21"/>
        </w:rPr>
        <w:t>2. Knuth, D. E. (1998). The Art of Computer Programming, Volume 3: Sorting and Searching (2nd ed.). Addison-Wesley.</w:t>
      </w:r>
    </w:p>
    <w:p>
      <w:pPr>
        <w:spacing w:after="80" w:line="276" w:lineRule="auto"/>
      </w:pPr>
      <w:r>
        <w:rPr>
          <w:rFonts w:ascii="Times New Roman" w:hAnsi="Times New Roman"/>
          <w:sz w:val="21"/>
        </w:rPr>
        <w:t>3. Sedgewick, R., &amp; Wayne, K. (2011). Algorithms (4th ed.). Addison-Wesley Professional.</w:t>
      </w:r>
    </w:p>
    <w:p>
      <w:pPr>
        <w:spacing w:after="80" w:line="276" w:lineRule="auto"/>
      </w:pPr>
      <w:r>
        <w:rPr>
          <w:rFonts w:ascii="Times New Roman" w:hAnsi="Times New Roman"/>
          <w:sz w:val="21"/>
        </w:rPr>
        <w:t>4. SFML Development Team. (2024). Simple and Fast Multimedia Library Documentation (Release 2.5.1). https://www.sfml-dev.org/documentation/2.5.1/</w:t>
      </w:r>
    </w:p>
    <w:p>
      <w:pPr>
        <w:spacing w:after="80" w:line="276" w:lineRule="auto"/>
      </w:pPr>
      <w:r>
        <w:rPr>
          <w:rFonts w:ascii="Times New Roman" w:hAnsi="Times New Roman"/>
          <w:sz w:val="21"/>
        </w:rPr>
        <w:t>5. ISO/IEC. (2017). ISO/IEC 14882:2017 - Programming Languages — C++17. International Organization for Standardization.</w:t>
      </w:r>
    </w:p>
    <w:p>
      <w:pPr>
        <w:spacing w:after="80" w:line="276" w:lineRule="auto"/>
      </w:pPr>
      <w:r>
        <w:rPr>
          <w:rFonts w:ascii="Times New Roman" w:hAnsi="Times New Roman"/>
          <w:sz w:val="21"/>
        </w:rPr>
        <w:t>6. Williams, J. W. J. (1964). Algorithm 232: Heapsort. Communications of the ACM, 7(6), 347-348.</w:t>
      </w:r>
    </w:p>
    <w:p>
      <w:pPr>
        <w:spacing w:after="80" w:line="276" w:lineRule="auto"/>
      </w:pPr>
      <w:r>
        <w:rPr>
          <w:rFonts w:ascii="Times New Roman" w:hAnsi="Times New Roman"/>
          <w:sz w:val="21"/>
        </w:rPr>
        <w:t>7. Hoare, C. A. R. (1962). Quicksort. The Computer Journal, 5(1), 10-16.</w:t>
      </w:r>
    </w:p>
    <w:p>
      <w:r>
        <w:br w:type="page"/>
      </w:r>
    </w:p>
    <w:p>
      <w:pPr>
        <w:pStyle w:val="Heading1"/>
        <w:spacing w:before="280" w:after="120"/>
      </w:pPr>
      <w:r>
        <w:rPr>
          <w:rFonts w:ascii="Times New Roman" w:hAnsi="Times New Roman"/>
          <w:b/>
          <w:color w:val="102C57"/>
          <w:sz w:val="32"/>
        </w:rPr>
        <w:t>10. Approval of the Project</w:t>
      </w:r>
    </w:p>
    <w:p>
      <w:pPr>
        <w:spacing w:after="120" w:line="300" w:lineRule="auto"/>
        <w:jc w:val="both"/>
      </w:pPr>
      <w:r>
        <w:rPr>
          <w:rFonts w:ascii="Times New Roman" w:hAnsi="Times New Roman"/>
          <w:sz w:val="23"/>
        </w:rPr>
        <w:t>This is to certify that the project report entitled "SORTING ANALYSIS COMPARATOR (SAC)" submitted by Abhinav Bhatra (24EJCCA009), Amit kumar (24EJCCA027), and Anand Gaur (24EJCCA030) in partial fulfillment of the requirements for the award of the degree of Bachelor of Technology in Computer Science &amp; Engineering (Artificial Intelligence) from JAIPUR ENGINEERING COLLEGE AND RESEARCH CENTRE, affiliated to Rajasthan Technical University, KOTA, is a bona fide record of the work carried out under our supervision.</w:t>
      </w:r>
    </w:p>
    <w:p>
      <w:pPr>
        <w:spacing w:before="160" w:after="1000" w:line="300" w:lineRule="auto"/>
      </w:pPr>
      <w:r>
        <w:rPr>
          <w:rFonts w:ascii="Times New Roman" w:hAnsi="Times New Roman"/>
          <w:sz w:val="23"/>
        </w:rPr>
        <w:t>The results embodied in this report have not been submitted to any other university or institute for the award of any degree or diploma.</w:t>
      </w:r>
    </w:p>
    <w:tbl>
      <w:tblPr>
        <w:tblW w:type="auto" w:w="0"/>
        <w:jc w:val="center"/>
        <w:tblLayout w:type="fixed"/>
        <w:tblLook w:firstColumn="1" w:firstRow="1" w:lastColumn="0" w:lastRow="0" w:noHBand="0" w:noVBand="1" w:val="04A0"/>
      </w:tblPr>
      <w:tblGrid>
        <w:gridCol w:w="4608"/>
        <w:gridCol w:w="4608"/>
      </w:tblGrid>
      <w:tr>
        <w:tc>
          <w:tcPr>
            <w:tcW w:type="dxa" w:w="4680"/>
          </w:tcPr>
          <w:p>
            <w:r>
              <w:rPr>
                <w:rFonts w:ascii="Times New Roman" w:hAnsi="Times New Roman"/>
              </w:rPr>
              <w:t>_________________________</w:t>
              <w:br/>
              <w:t>Project Coordinator</w:t>
              <w:br/>
            </w:r>
            <w:r>
              <w:rPr>
                <w:rFonts w:ascii="Times New Roman" w:hAnsi="Times New Roman"/>
                <w:b/>
              </w:rPr>
              <w:t>Mona Nagar</w:t>
              <w:br/>
              <w:t>ITS Coordinator (CC)</w:t>
            </w:r>
          </w:p>
        </w:tc>
        <w:tc>
          <w:tcPr>
            <w:tcW w:type="dxa" w:w="4680"/>
          </w:tcPr>
          <w:p>
            <w:pPr>
              <w:jc w:val="right"/>
            </w:pPr>
            <w:r>
              <w:rPr>
                <w:rFonts w:ascii="Times New Roman" w:hAnsi="Times New Roman"/>
              </w:rPr>
              <w:t>_________________________</w:t>
              <w:br/>
              <w:t>Head of Department (HOD)</w:t>
              <w:br/>
              <w:t>Department of CSE (AI)</w:t>
              <w:br/>
              <w:t>JECRC, Jaipur</w:t>
            </w:r>
          </w:p>
        </w:tc>
      </w:tr>
      <w:tr>
        <w:tc>
          <w:tcPr>
            <w:tcW w:type="dxa" w:w="4680"/>
          </w:tcPr>
          <w:p>
            <w:pPr>
              <w:spacing w:before="800"/>
            </w:pPr>
            <w:r>
              <w:rPr>
                <w:rFonts w:ascii="Times New Roman" w:hAnsi="Times New Roman"/>
              </w:rPr>
              <w:t>Date: ___________________</w:t>
              <w:br/>
              <w:t>Place: Jaipur</w:t>
            </w: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