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A</w:t>
        <w:br/>
        <w:t>Project Report</w:t>
        <w:br/>
        <w:t>On</w:t>
        <w:br/>
      </w:r>
      <w:r>
        <w:rPr>
          <w:rFonts w:ascii="Times New Roman" w:hAnsi="Times New Roman"/>
          <w:b/>
          <w:color w:val="0F172A"/>
          <w:sz w:val="32"/>
        </w:rPr>
        <w:t>STATIC CODE ANALYZER &amp; ACCURACY SCORER IN C++</w:t>
        <w:br/>
        <w:br/>
      </w:r>
      <w:r>
        <w:rPr>
          <w:rFonts w:ascii="Times New Roman" w:hAnsi="Times New Roman"/>
          <w:i/>
          <w:sz w:val="24"/>
        </w:rPr>
        <w:t>Submitted in partial fulfillment for the award of degree of</w:t>
        <w:br/>
      </w:r>
      <w:r>
        <w:rPr>
          <w:rFonts w:ascii="Times New Roman" w:hAnsi="Times New Roman"/>
          <w:b/>
          <w:sz w:val="26"/>
        </w:rPr>
        <w:t>Bachelor of Technology</w:t>
        <w:br/>
      </w:r>
      <w:r>
        <w:rPr>
          <w:rFonts w:ascii="Times New Roman" w:hAnsi="Times New Roman"/>
          <w:sz w:val="23"/>
        </w:rPr>
        <w:t>Degree Of</w:t>
        <w:br/>
      </w:r>
      <w:r>
        <w:rPr>
          <w:rFonts w:ascii="Times New Roman" w:hAnsi="Times New Roman"/>
          <w:b/>
          <w:sz w:val="26"/>
        </w:rPr>
        <w:t>Rajasthan Technical University, KOTA</w:t>
        <w:br/>
        <w:br/>
      </w:r>
    </w:p>
    <w:p>
      <w:pPr>
        <w:spacing w:before="0" w:after="80"/>
        <w:jc w:val="center"/>
      </w:pPr>
      <w:r>
        <w:drawing>
          <wp:inline xmlns:a="http://schemas.openxmlformats.org/drawingml/2006/main" xmlns:pic="http://schemas.openxmlformats.org/drawingml/2006/picture">
            <wp:extent cx="1645920" cy="1174968"/>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1645920" cy="1174968"/>
                    </a:xfrm>
                    <a:prstGeom prst="rect"/>
                  </pic:spPr>
                </pic:pic>
              </a:graphicData>
            </a:graphic>
          </wp:inline>
        </w:drawing>
      </w:r>
    </w:p>
    <w:p>
      <w:pPr>
        <w:spacing w:before="80" w:after="280"/>
        <w:jc w:val="center"/>
      </w:pPr>
      <w:r>
        <w:rPr>
          <w:rFonts w:ascii="Times New Roman" w:hAnsi="Times New Roman"/>
          <w:b/>
          <w:sz w:val="26"/>
        </w:rPr>
        <w:t>JAIPUR ENGINEERING COLLEGE AND RESEARCH CENTRE</w:t>
        <w:br/>
        <w:t>2026-2027</w:t>
        <w:br/>
      </w:r>
    </w:p>
    <w:tbl>
      <w:tblPr>
        <w:tblW w:type="auto" w:w="0"/>
        <w:jc w:val="center"/>
        <w:tblLayout w:type="fixed"/>
        <w:tblLook w:firstColumn="1" w:firstRow="1" w:lastColumn="0" w:lastRow="0" w:noHBand="0" w:noVBand="1" w:val="04A0"/>
      </w:tblPr>
      <w:tblGrid>
        <w:gridCol w:w="4608"/>
        <w:gridCol w:w="4608"/>
      </w:tblGrid>
      <w:tr>
        <w:tc>
          <w:tcPr>
            <w:tcW w:type="dxa" w:w="4536"/>
          </w:tcPr>
          <w:p>
            <w:pPr>
              <w:spacing w:after="40"/>
            </w:pPr>
            <w:r>
              <w:rPr>
                <w:rFonts w:ascii="Times New Roman" w:hAnsi="Times New Roman"/>
                <w:b/>
                <w:sz w:val="22"/>
              </w:rPr>
              <w:t>Submitted By:</w:t>
              <w:br/>
            </w:r>
            <w:r>
              <w:rPr>
                <w:rFonts w:ascii="Times New Roman" w:hAnsi="Times New Roman"/>
                <w:sz w:val="21"/>
              </w:rPr>
              <w:t>Anand Gaur</w:t>
              <w:br/>
              <w:t>&lt;Roll No.&gt;</w:t>
              <w:br/>
              <w:t>3rd Year, B.Tech CSE (AI)</w:t>
              <w:br/>
            </w:r>
          </w:p>
        </w:tc>
        <w:tc>
          <w:tcPr>
            <w:tcW w:type="dxa" w:w="4536"/>
          </w:tcPr>
          <w:p>
            <w:pPr>
              <w:spacing w:after="40"/>
              <w:jc w:val="right"/>
            </w:pPr>
            <w:r>
              <w:rPr>
                <w:rFonts w:ascii="Times New Roman" w:hAnsi="Times New Roman"/>
                <w:b/>
                <w:sz w:val="22"/>
              </w:rPr>
              <w:t>ITS Coordinator (CC):</w:t>
              <w:br/>
            </w:r>
            <w:r>
              <w:rPr>
                <w:rFonts w:ascii="Times New Roman" w:hAnsi="Times New Roman"/>
                <w:sz w:val="21"/>
              </w:rPr>
              <w:t>&lt;Faculty Name&gt;</w:t>
              <w:br/>
              <w:t>&lt;Designation&gt;</w:t>
              <w:br/>
              <w:t>Dept. of CSE (AI)</w:t>
              <w:br/>
            </w:r>
          </w:p>
        </w:tc>
      </w:tr>
    </w:tbl>
    <w:p>
      <w:pPr>
        <w:spacing w:before="360" w:after="0"/>
        <w:jc w:val="center"/>
      </w:pPr>
      <w:r>
        <w:rPr>
          <w:rFonts w:ascii="Times New Roman" w:hAnsi="Times New Roman"/>
          <w:b/>
          <w:sz w:val="20"/>
        </w:rPr>
        <w:t>DEPARTMENT OF</w:t>
        <w:br/>
        <w:t>COMPUTER SCIENCE &amp; ENGINEERING (ARTIFICIAL INTELLIGENCE)</w:t>
        <w:br/>
        <w:t>JAIPUR ENGINEERING COLLEGE AND RESEARCH CENTRE</w:t>
        <w:br/>
        <w:t>Shri Ram ki Nangal, via Sitapura RIICO, Tonk Road, Sukhpuria, Bambala, Jaipur, Rajasthan</w:t>
        <w:br/>
      </w:r>
    </w:p>
    <w:p>
      <w:r>
        <w:br w:type="page"/>
      </w:r>
    </w:p>
    <w:p>
      <w:pPr>
        <w:spacing w:before="240" w:after="320"/>
        <w:jc w:val="center"/>
      </w:pPr>
      <w:r>
        <w:rPr>
          <w:rFonts w:ascii="Times New Roman" w:hAnsi="Times New Roman"/>
          <w:b/>
          <w:sz w:val="32"/>
          <w:u w:val="single"/>
        </w:rPr>
        <w:t>TABLE OF CONTENTS</w:t>
      </w:r>
    </w:p>
    <w:tbl>
      <w:tblPr>
        <w:tblW w:type="auto" w:w="0"/>
        <w:jc w:val="center"/>
        <w:tblLayout w:type="fixed"/>
        <w:tblLook w:firstColumn="1" w:firstRow="1" w:lastColumn="0" w:lastRow="0" w:noHBand="0" w:noVBand="1" w:val="04A0"/>
      </w:tblPr>
      <w:tblGrid>
        <w:gridCol w:w="7488"/>
        <w:gridCol w:w="1440"/>
      </w:tblGrid>
      <w:tr>
        <w:tc>
          <w:tcPr>
            <w:tcW w:type="dxa" w:w="4536"/>
          </w:tcPr>
          <w:p>
            <w:pPr>
              <w:spacing w:after="80" w:line="276" w:lineRule="auto"/>
            </w:pPr>
            <w:r>
              <w:rPr>
                <w:rFonts w:ascii="Times New Roman" w:hAnsi="Times New Roman"/>
                <w:sz w:val="23"/>
              </w:rPr>
              <w:t>1. Introduction</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1</w:t>
            </w:r>
          </w:p>
        </w:tc>
      </w:tr>
      <w:tr>
        <w:tc>
          <w:tcPr>
            <w:tcW w:type="dxa" w:w="4536"/>
          </w:tcPr>
          <w:p>
            <w:pPr>
              <w:spacing w:after="80" w:line="276" w:lineRule="auto"/>
            </w:pPr>
            <w:r>
              <w:rPr>
                <w:rFonts w:ascii="Times New Roman" w:hAnsi="Times New Roman"/>
                <w:sz w:val="23"/>
              </w:rPr>
              <w:t>2. Objective</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2</w:t>
            </w:r>
          </w:p>
        </w:tc>
      </w:tr>
      <w:tr>
        <w:tc>
          <w:tcPr>
            <w:tcW w:type="dxa" w:w="4536"/>
          </w:tcPr>
          <w:p>
            <w:pPr>
              <w:spacing w:after="80" w:line="276" w:lineRule="auto"/>
            </w:pPr>
            <w:r>
              <w:rPr>
                <w:rFonts w:ascii="Times New Roman" w:hAnsi="Times New Roman"/>
                <w:sz w:val="23"/>
              </w:rPr>
              <w:t>3. Methodology And Planning</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3</w:t>
            </w:r>
          </w:p>
        </w:tc>
      </w:tr>
      <w:tr>
        <w:tc>
          <w:tcPr>
            <w:tcW w:type="dxa" w:w="4536"/>
          </w:tcPr>
          <w:p>
            <w:pPr>
              <w:spacing w:after="80" w:line="276" w:lineRule="auto"/>
            </w:pPr>
            <w:r>
              <w:rPr>
                <w:rFonts w:ascii="Times New Roman" w:hAnsi="Times New Roman"/>
                <w:sz w:val="23"/>
              </w:rPr>
              <w:t>4. Literature Review</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5</w:t>
            </w:r>
          </w:p>
        </w:tc>
      </w:tr>
      <w:tr>
        <w:tc>
          <w:tcPr>
            <w:tcW w:type="dxa" w:w="4536"/>
          </w:tcPr>
          <w:p>
            <w:pPr>
              <w:spacing w:after="80" w:line="276" w:lineRule="auto"/>
            </w:pPr>
            <w:r>
              <w:rPr>
                <w:rFonts w:ascii="Times New Roman" w:hAnsi="Times New Roman"/>
                <w:sz w:val="23"/>
              </w:rPr>
              <w:t>5. Applications of the Project</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6</w:t>
            </w:r>
          </w:p>
        </w:tc>
      </w:tr>
      <w:tr>
        <w:tc>
          <w:tcPr>
            <w:tcW w:type="dxa" w:w="4536"/>
          </w:tcPr>
          <w:p>
            <w:pPr>
              <w:spacing w:after="80" w:line="276" w:lineRule="auto"/>
            </w:pPr>
            <w:r>
              <w:rPr>
                <w:rFonts w:ascii="Times New Roman" w:hAnsi="Times New Roman"/>
                <w:sz w:val="23"/>
              </w:rPr>
              <w:t>6. Block Diagram</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7</w:t>
            </w:r>
          </w:p>
        </w:tc>
      </w:tr>
      <w:tr>
        <w:tc>
          <w:tcPr>
            <w:tcW w:type="dxa" w:w="4536"/>
          </w:tcPr>
          <w:p>
            <w:pPr>
              <w:spacing w:after="80" w:line="276" w:lineRule="auto"/>
            </w:pPr>
            <w:r>
              <w:rPr>
                <w:rFonts w:ascii="Times New Roman" w:hAnsi="Times New Roman"/>
                <w:sz w:val="23"/>
              </w:rPr>
              <w:t>7. UML Diagrams</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8</w:t>
            </w:r>
          </w:p>
        </w:tc>
      </w:tr>
      <w:tr>
        <w:tc>
          <w:tcPr>
            <w:tcW w:type="dxa" w:w="4536"/>
          </w:tcPr>
          <w:p>
            <w:pPr>
              <w:spacing w:after="80" w:line="276" w:lineRule="auto"/>
            </w:pPr>
            <w:r>
              <w:rPr>
                <w:rFonts w:ascii="Times New Roman" w:hAnsi="Times New Roman"/>
                <w:sz w:val="23"/>
              </w:rPr>
              <w:t>8. Screenshots</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10</w:t>
            </w:r>
          </w:p>
        </w:tc>
      </w:tr>
      <w:tr>
        <w:tc>
          <w:tcPr>
            <w:tcW w:type="dxa" w:w="4536"/>
          </w:tcPr>
          <w:p>
            <w:pPr>
              <w:spacing w:after="80" w:line="276" w:lineRule="auto"/>
            </w:pPr>
            <w:r>
              <w:rPr>
                <w:rFonts w:ascii="Times New Roman" w:hAnsi="Times New Roman"/>
                <w:sz w:val="23"/>
              </w:rPr>
              <w:t>9. References</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13</w:t>
            </w:r>
          </w:p>
        </w:tc>
      </w:tr>
      <w:tr>
        <w:tc>
          <w:tcPr>
            <w:tcW w:type="dxa" w:w="4536"/>
          </w:tcPr>
          <w:p>
            <w:pPr>
              <w:spacing w:after="80" w:line="276" w:lineRule="auto"/>
            </w:pPr>
            <w:r>
              <w:rPr>
                <w:rFonts w:ascii="Times New Roman" w:hAnsi="Times New Roman"/>
                <w:sz w:val="23"/>
              </w:rPr>
              <w:t>10. Approval of the Project</w:t>
            </w:r>
            <w:r>
              <w:rPr>
                <w:rFonts w:ascii="Times New Roman" w:hAnsi="Times New Roman"/>
                <w:color w:val="94A3B8"/>
                <w:sz w:val="20"/>
              </w:rPr>
              <w:t xml:space="preserve"> ..................................</w:t>
            </w:r>
          </w:p>
        </w:tc>
        <w:tc>
          <w:tcPr>
            <w:tcW w:type="dxa" w:w="4536"/>
          </w:tcPr>
          <w:p>
            <w:pPr>
              <w:spacing w:after="80"/>
              <w:jc w:val="right"/>
            </w:pPr>
            <w:r>
              <w:rPr>
                <w:rFonts w:ascii="Times New Roman" w:hAnsi="Times New Roman"/>
                <w:sz w:val="23"/>
              </w:rPr>
              <w:t>14</w:t>
            </w:r>
          </w:p>
        </w:tc>
      </w:tr>
    </w:tbl>
    <w:p>
      <w:r>
        <w:br w:type="page"/>
      </w:r>
    </w:p>
    <w:p>
      <w:pPr>
        <w:spacing w:before="240" w:after="120"/>
      </w:pPr>
      <w:r>
        <w:rPr>
          <w:rFonts w:ascii="Times New Roman" w:hAnsi="Times New Roman"/>
          <w:b/>
          <w:color w:val="0F172A"/>
          <w:sz w:val="32"/>
        </w:rPr>
        <w:t>1. Introduction</w:t>
      </w:r>
    </w:p>
    <w:p>
      <w:pPr>
        <w:spacing w:after="120" w:line="276" w:lineRule="auto"/>
      </w:pPr>
      <w:r>
        <w:rPr>
          <w:rFonts w:ascii="Times New Roman" w:hAnsi="Times New Roman"/>
          <w:color w:val="1E293B"/>
          <w:sz w:val="23"/>
        </w:rPr>
        <w:t>In modern software engineering, software quality, code correctness, and algorithmic maintainability are paramount. While dynamic testing checks execution correctness for specific test vectors, it cannot exhaustively identify edge cases, unused memory structures, dead code paths, or architectural complexity. Static code analysis addresses this limitation by inspecting and verifying source code directly without execution, enforcing language grammars, semantic invariants, and structural best practices.</w:t>
      </w:r>
    </w:p>
    <w:p>
      <w:pPr>
        <w:spacing w:after="120" w:line="276" w:lineRule="auto"/>
      </w:pPr>
      <w:r>
        <w:rPr>
          <w:rFonts w:ascii="Times New Roman" w:hAnsi="Times New Roman"/>
          <w:color w:val="1E293B"/>
          <w:sz w:val="23"/>
        </w:rPr>
        <w:t>This project, titled 'Static Code Analyzer &amp; Accuracy Scorer', develops a complete, production-grade command-line static analyzer written in pure standard C++17. Designed as an applied Compiler Design practical project, it implements the complete front-end and middle-end phases of compiler architecture from first principles without relying on third-party parser generators (such as Flex, Bison, or ANTLR) or external library dependencies (such as Boost).</w:t>
      </w:r>
    </w:p>
    <w:p>
      <w:pPr>
        <w:spacing w:after="120" w:line="276" w:lineRule="auto"/>
      </w:pPr>
      <w:r>
        <w:rPr>
          <w:rFonts w:ascii="Times New Roman" w:hAnsi="Times New Roman"/>
          <w:color w:val="1E293B"/>
          <w:sz w:val="23"/>
        </w:rPr>
        <w:t>The system accepts C/C++ source code through interactive terminal prompts, shell pipes, or file inputs. It executes deterministic finite automaton (DFA) lexical analysis, LL(1) recursive descent syntax parsing, abstract syntax tree (AST) generation via the Composite and Visitor design patterns, scoped symbol table tracking, and multiple static analysis passes. Finally, it calculates an automated Code Accuracy &amp; Quality Score (0% to 100%, Grade A+ to F) with an itemized deduction breakdown, rendering formatted diagnostic reports directly in the user's terminal.</w:t>
      </w:r>
    </w:p>
    <w:p>
      <w:pPr>
        <w:spacing w:before="240" w:after="120"/>
      </w:pPr>
      <w:r>
        <w:rPr>
          <w:rFonts w:ascii="Times New Roman" w:hAnsi="Times New Roman"/>
          <w:b/>
          <w:color w:val="0F172A"/>
          <w:sz w:val="32"/>
        </w:rPr>
        <w:t>2. Objective</w:t>
      </w:r>
    </w:p>
    <w:p>
      <w:pPr>
        <w:spacing w:after="120" w:line="276" w:lineRule="auto"/>
      </w:pPr>
      <w:r>
        <w:rPr>
          <w:rFonts w:ascii="Times New Roman" w:hAnsi="Times New Roman"/>
          <w:color w:val="1E293B"/>
          <w:sz w:val="23"/>
        </w:rPr>
        <w:t>The primary objectives of this project are:</w:t>
      </w:r>
    </w:p>
    <w:p>
      <w:pPr>
        <w:pStyle w:val="ListBullet"/>
        <w:spacing w:after="80" w:line="276" w:lineRule="auto"/>
      </w:pPr>
      <w:r>
        <w:rPr>
          <w:rFonts w:ascii="Times New Roman" w:hAnsi="Times New Roman"/>
          <w:b/>
          <w:sz w:val="23"/>
        </w:rPr>
        <w:t xml:space="preserve">1. Hand-Written DFA Lexical Tokenizer: </w:t>
      </w:r>
      <w:r>
        <w:rPr>
          <w:rFonts w:ascii="Times New Roman" w:hAnsi="Times New Roman"/>
          <w:sz w:val="23"/>
        </w:rPr>
        <w:t>Implement an explicit state machine recognizing keywords, identifiers, numeric literals (integer/floating-point), string literals, compound operators (==, !=, &lt;=, &gt;=, &amp;&amp;, ||, ++, --), delimiters, and comments while tracking 1-indexed (line, column) coordinates.</w:t>
      </w:r>
    </w:p>
    <w:p>
      <w:pPr>
        <w:pStyle w:val="ListBullet"/>
        <w:spacing w:after="80" w:line="276" w:lineRule="auto"/>
      </w:pPr>
      <w:r>
        <w:rPr>
          <w:rFonts w:ascii="Times New Roman" w:hAnsi="Times New Roman"/>
          <w:b/>
          <w:sz w:val="23"/>
        </w:rPr>
        <w:t xml:space="preserve">2. Recursive Descent LL(1) Syntax Parser: </w:t>
      </w:r>
      <w:r>
        <w:rPr>
          <w:rFonts w:ascii="Times New Roman" w:hAnsi="Times New Roman"/>
          <w:sz w:val="23"/>
        </w:rPr>
        <w:t>Construct a top-down parser that enforces Context-Free Grammar (CFG) rules for functions, variable declarations, control structures (if-else, while, for), and expressions using operator precedence climbing, featuring panic-mode error recovery.</w:t>
      </w:r>
    </w:p>
    <w:p>
      <w:pPr>
        <w:pStyle w:val="ListBullet"/>
        <w:spacing w:after="80" w:line="276" w:lineRule="auto"/>
      </w:pPr>
      <w:r>
        <w:rPr>
          <w:rFonts w:ascii="Times New Roman" w:hAnsi="Times New Roman"/>
          <w:b/>
          <w:sz w:val="23"/>
        </w:rPr>
        <w:t xml:space="preserve">3. Abstract Syntax Tree (AST) Hierarchy: </w:t>
      </w:r>
      <w:r>
        <w:rPr>
          <w:rFonts w:ascii="Times New Roman" w:hAnsi="Times New Roman"/>
          <w:sz w:val="23"/>
        </w:rPr>
        <w:t>Establish a strongly typed node hierarchy utilizing modern C++ unique ownership pointers (std::unique_ptr) and the Visitor Design Pattern to decouple tree representation from analysis passes.</w:t>
      </w:r>
    </w:p>
    <w:p>
      <w:pPr>
        <w:pStyle w:val="ListBullet"/>
        <w:spacing w:after="80" w:line="276" w:lineRule="auto"/>
      </w:pPr>
      <w:r>
        <w:rPr>
          <w:rFonts w:ascii="Times New Roman" w:hAnsi="Times New Roman"/>
          <w:b/>
          <w:sz w:val="23"/>
        </w:rPr>
        <w:t xml:space="preserve">4. Scoped Symbol Table Management: </w:t>
      </w:r>
      <w:r>
        <w:rPr>
          <w:rFonts w:ascii="Times New Roman" w:hAnsi="Times New Roman"/>
          <w:sz w:val="23"/>
        </w:rPr>
        <w:t>Engineer a stack of hash maps to manage lexical scoping, accurately distinguishing variable declarations, shadowing, and usages to detect unused variables and undeclared identifiers.</w:t>
      </w:r>
    </w:p>
    <w:p>
      <w:pPr>
        <w:pStyle w:val="ListBullet"/>
        <w:spacing w:after="80" w:line="276" w:lineRule="auto"/>
      </w:pPr>
      <w:r>
        <w:rPr>
          <w:rFonts w:ascii="Times New Roman" w:hAnsi="Times New Roman"/>
          <w:b/>
          <w:sz w:val="23"/>
        </w:rPr>
        <w:t xml:space="preserve">5. Control-Flow &amp; Complexity Metrics: </w:t>
      </w:r>
      <w:r>
        <w:rPr>
          <w:rFonts w:ascii="Times New Roman" w:hAnsi="Times New Roman"/>
          <w:sz w:val="23"/>
        </w:rPr>
        <w:t>Calculate McCabe's Cyclomatic Complexity V(G) = P + 1, measure maximum block nesting depth, detect long functions exceeding configurable LOC thresholds, and identify unreachable dead code after block terminators.</w:t>
      </w:r>
    </w:p>
    <w:p>
      <w:pPr>
        <w:pStyle w:val="ListBullet"/>
        <w:spacing w:after="80" w:line="276" w:lineRule="auto"/>
      </w:pPr>
      <w:r>
        <w:rPr>
          <w:rFonts w:ascii="Times New Roman" w:hAnsi="Times New Roman"/>
          <w:b/>
          <w:sz w:val="23"/>
        </w:rPr>
        <w:t xml:space="preserve">6. Calibrated Accuracy &amp; Quality Scoring Engine: </w:t>
      </w:r>
      <w:r>
        <w:rPr>
          <w:rFonts w:ascii="Times New Roman" w:hAnsi="Times New Roman"/>
          <w:sz w:val="23"/>
        </w:rPr>
        <w:t>Develop a quantifiable scoring engine starting at 100.0% with transparent deductions for syntax errors (-20%), semantic errors (-15%), dead code (-8%), unused variables (-5%), high nesting (-5%), and high complexity (-6%), mapping to letter grades A+ through F.</w:t>
      </w:r>
    </w:p>
    <w:p>
      <w:pPr>
        <w:pStyle w:val="ListBullet"/>
        <w:spacing w:after="80" w:line="276" w:lineRule="auto"/>
      </w:pPr>
      <w:r>
        <w:rPr>
          <w:rFonts w:ascii="Times New Roman" w:hAnsi="Times New Roman"/>
          <w:b/>
          <w:sz w:val="23"/>
        </w:rPr>
        <w:t xml:space="preserve">7. Pure Terminal Output Engine: </w:t>
      </w:r>
      <w:r>
        <w:rPr>
          <w:rFonts w:ascii="Times New Roman" w:hAnsi="Times New Roman"/>
          <w:sz w:val="23"/>
        </w:rPr>
        <w:t>Deliver an interactive terminal experience supporting direct typing, stdin piping, and ANSI-highlighted diagnostics with exact line and column caret pointers.</w:t>
      </w:r>
    </w:p>
    <w:p>
      <w:pPr>
        <w:spacing w:before="240" w:after="120"/>
      </w:pPr>
      <w:r>
        <w:rPr>
          <w:rFonts w:ascii="Times New Roman" w:hAnsi="Times New Roman"/>
          <w:b/>
          <w:color w:val="0F172A"/>
          <w:sz w:val="32"/>
        </w:rPr>
        <w:t>3. Methodology And Planning</w:t>
      </w:r>
    </w:p>
    <w:p>
      <w:pPr>
        <w:spacing w:after="120" w:line="276" w:lineRule="auto"/>
      </w:pPr>
      <w:r>
        <w:rPr>
          <w:rFonts w:ascii="Times New Roman" w:hAnsi="Times New Roman"/>
          <w:color w:val="1E293B"/>
          <w:sz w:val="23"/>
        </w:rPr>
        <w:t>The project development adopted an iterative, compiler-driven engineering methodology divided into four structured phases:</w:t>
      </w:r>
    </w:p>
    <w:p>
      <w:pPr>
        <w:spacing w:before="240" w:after="120"/>
      </w:pPr>
      <w:r>
        <w:rPr>
          <w:rFonts w:ascii="Times New Roman" w:hAnsi="Times New Roman"/>
          <w:b/>
          <w:color w:val="1E3A8A"/>
          <w:sz w:val="27"/>
        </w:rPr>
        <w:t>Phase 1 - Lexical Engineering &amp; DFA Construction</w:t>
      </w:r>
    </w:p>
    <w:p>
      <w:pPr>
        <w:spacing w:after="120" w:line="276" w:lineRule="auto"/>
      </w:pPr>
      <w:r>
        <w:rPr>
          <w:rFonts w:ascii="Times New Roman" w:hAnsi="Times New Roman"/>
          <w:color w:val="1E293B"/>
          <w:sz w:val="23"/>
        </w:rPr>
        <w:t>Designed the lexical specification for C/C++ tokens in Token.h and Lexer.h. Formulated a hand-written DFA state machine in Lexer.cpp handling states START, IN_IDENTIFIER, IN_NUMBER, IN_STRING, IN_CHAR, IN_SLASH, and comment handlers. Implemented the maximal-munch rule to prioritize compound operators (e.g. '++' over '+') and engineered coordinate tracking to record the exact line number and column offset for every emitted token.</w:t>
      </w:r>
    </w:p>
    <w:p>
      <w:pPr>
        <w:spacing w:before="240" w:after="120"/>
      </w:pPr>
      <w:r>
        <w:rPr>
          <w:rFonts w:ascii="Times New Roman" w:hAnsi="Times New Roman"/>
          <w:b/>
          <w:color w:val="1E3A8A"/>
          <w:sz w:val="27"/>
        </w:rPr>
        <w:t>Phase 2 - Context-Free Grammar &amp; Recursive Descent Parser</w:t>
      </w:r>
    </w:p>
    <w:p>
      <w:pPr>
        <w:spacing w:after="120" w:line="276" w:lineRule="auto"/>
      </w:pPr>
      <w:r>
        <w:rPr>
          <w:rFonts w:ascii="Times New Roman" w:hAnsi="Times New Roman"/>
          <w:color w:val="1E293B"/>
          <w:sz w:val="23"/>
        </w:rPr>
        <w:t>Formulated the grammar productions for declarations, statements, and expressions. Implemented Parser.cpp using recursive descent. To prevent left recursion and maintain proper operator associativity, layered precedence climbing was designed (Primary &lt; Postfix &lt; Unary &lt; Multiplicative &lt; Additive &lt; Relational &lt; Equality &lt; Logical AND &lt; Logical OR &lt; Assignment). Constructed an AST node hierarchy in AST.h rooted at ASTNode with unique pointer tree ownership. Implemented panic-mode synchronization on statement delimiters (';', '}') to prevent cascading syntax aborts.</w:t>
      </w:r>
    </w:p>
    <w:p>
      <w:pPr>
        <w:spacing w:before="240" w:after="120"/>
      </w:pPr>
      <w:r>
        <w:rPr>
          <w:rFonts w:ascii="Times New Roman" w:hAnsi="Times New Roman"/>
          <w:b/>
          <w:color w:val="1E3A8A"/>
          <w:sz w:val="27"/>
        </w:rPr>
        <w:t>Phase 3 - Scoped Symbol Table &amp; Static Analysis Passes</w:t>
      </w:r>
    </w:p>
    <w:p>
      <w:pPr>
        <w:spacing w:after="120" w:line="276" w:lineRule="auto"/>
      </w:pPr>
      <w:r>
        <w:rPr>
          <w:rFonts w:ascii="Times New Roman" w:hAnsi="Times New Roman"/>
          <w:color w:val="1E293B"/>
          <w:sz w:val="23"/>
        </w:rPr>
        <w:t>Constructed SymbolTable.cpp implementing lexical environments via std::vector&lt;std::unordered_map&lt;std::string, SymbolInfo&gt;&gt;. Pushed scopes upon entering blocks and popped on exit, flagging unreferenced variables. Implemented the ASTVisitor interface in Analyzer.cpp to compute McCabe Cyclomatic Complexity V(G) = P + 1 (counting if, while, for, &amp;&amp;, || predicate points), evaluate dynamic control-flow nesting depth, inspect statement sequences for dead code following return/break, and verify function line-count thresholds.</w:t>
      </w:r>
    </w:p>
    <w:p>
      <w:pPr>
        <w:spacing w:before="240" w:after="120"/>
      </w:pPr>
      <w:r>
        <w:rPr>
          <w:rFonts w:ascii="Times New Roman" w:hAnsi="Times New Roman"/>
          <w:b/>
          <w:color w:val="1E3A8A"/>
          <w:sz w:val="27"/>
        </w:rPr>
        <w:t>Phase 4 - Accuracy Scoring Engine &amp; Interactive CLI</w:t>
      </w:r>
    </w:p>
    <w:p>
      <w:pPr>
        <w:spacing w:after="120" w:line="276" w:lineRule="auto"/>
      </w:pPr>
      <w:r>
        <w:rPr>
          <w:rFonts w:ascii="Times New Roman" w:hAnsi="Times New Roman"/>
          <w:color w:val="1E293B"/>
          <w:sz w:val="23"/>
        </w:rPr>
        <w:t>Formulated the mathematical scoring formula subtracting calibrated penalties from 100.0%. Developed an interactive input reader in main.cpp supporting terminal keyboard entry terminated by 'END' or Ctrl+Z, standard input pipes (cat/Get-Content), and file paths. Constructed ReportGenerator in Report.cpp to render colored ANSI banners, risk assessment tables, itemized deduction lists, and source code line pointers.</w:t>
      </w:r>
    </w:p>
    <w:p>
      <w:pPr>
        <w:spacing w:before="240" w:after="120"/>
      </w:pPr>
      <w:r>
        <w:rPr>
          <w:rFonts w:ascii="Times New Roman" w:hAnsi="Times New Roman"/>
          <w:b/>
          <w:color w:val="0F172A"/>
          <w:sz w:val="32"/>
        </w:rPr>
        <w:t>4. Literature Review</w:t>
      </w:r>
    </w:p>
    <w:p>
      <w:pPr>
        <w:spacing w:after="120" w:line="276" w:lineRule="auto"/>
      </w:pPr>
      <w:r>
        <w:rPr>
          <w:rFonts w:ascii="Times New Roman" w:hAnsi="Times New Roman"/>
          <w:color w:val="1E293B"/>
          <w:sz w:val="23"/>
        </w:rPr>
        <w:t>Static code analysis and compiler front-end architectures have a deep theoretical foundation in computer science:</w:t>
      </w:r>
    </w:p>
    <w:p>
      <w:pPr>
        <w:pStyle w:val="ListBullet"/>
        <w:spacing w:after="80" w:line="276" w:lineRule="auto"/>
      </w:pPr>
      <w:r>
        <w:rPr>
          <w:rFonts w:ascii="Times New Roman" w:hAnsi="Times New Roman"/>
          <w:b/>
          <w:sz w:val="23"/>
        </w:rPr>
        <w:t xml:space="preserve">Formal Grammars and Automata (Hopcroft et al., 2006): </w:t>
      </w:r>
      <w:r>
        <w:rPr>
          <w:rFonts w:ascii="Times New Roman" w:hAnsi="Times New Roman"/>
          <w:sz w:val="23"/>
        </w:rPr>
        <w:t>Chomsky's hierarchy classifies programming language lexicons as Regular Grammars recognized by Deterministic Finite Automata (DFA), whereas syntax structures require Context-Free Grammars (CFG) recognized by Pushdown Automata. Our tokenizer applies DFA state transition matrices to guarantee O(N) linear-time scanning.</w:t>
      </w:r>
    </w:p>
    <w:p>
      <w:pPr>
        <w:pStyle w:val="ListBullet"/>
        <w:spacing w:after="80" w:line="276" w:lineRule="auto"/>
      </w:pPr>
      <w:r>
        <w:rPr>
          <w:rFonts w:ascii="Times New Roman" w:hAnsi="Times New Roman"/>
          <w:b/>
          <w:sz w:val="23"/>
        </w:rPr>
        <w:t xml:space="preserve">Top-Down LL(1) Parsing (Aho, Lam, Sethi, &amp; Ullman, 'Dragon Book', 2006): </w:t>
      </w:r>
      <w:r>
        <w:rPr>
          <w:rFonts w:ascii="Times New Roman" w:hAnsi="Times New Roman"/>
          <w:sz w:val="23"/>
        </w:rPr>
        <w:t>The Dragon Book establishes that recursive descent parsers evaluate LL(1) grammars efficiently without backtracking by utilizing 1-token lookaheads. Precedence climbing provides deterministic operator resolution while panic-mode error recovery ensures compiler survivability across multiple syntax faults.</w:t>
      </w:r>
    </w:p>
    <w:p>
      <w:pPr>
        <w:pStyle w:val="ListBullet"/>
        <w:spacing w:after="80" w:line="276" w:lineRule="auto"/>
      </w:pPr>
      <w:r>
        <w:rPr>
          <w:rFonts w:ascii="Times New Roman" w:hAnsi="Times New Roman"/>
          <w:b/>
          <w:sz w:val="23"/>
        </w:rPr>
        <w:t xml:space="preserve">Software Complexity Measurement (Thomas J. McCabe, IEEE TSE, 1976): </w:t>
      </w:r>
      <w:r>
        <w:rPr>
          <w:rFonts w:ascii="Times New Roman" w:hAnsi="Times New Roman"/>
          <w:sz w:val="23"/>
        </w:rPr>
        <w:t>McCabe introduced Cyclomatic Complexity V(G) = E - N + 2P based on graph theory, where E is edges, N is vertices, and P is connected components. For structured single-entry single-exit functions, this equals P + 1 (predicate decision nodes). Empirical studies show functions with V(G) &gt; 10 exhibit exponentially higher defect densities and testing costs.</w:t>
      </w:r>
    </w:p>
    <w:p>
      <w:pPr>
        <w:pStyle w:val="ListBullet"/>
        <w:spacing w:after="80" w:line="276" w:lineRule="auto"/>
      </w:pPr>
      <w:r>
        <w:rPr>
          <w:rFonts w:ascii="Times New Roman" w:hAnsi="Times New Roman"/>
          <w:b/>
          <w:sz w:val="23"/>
        </w:rPr>
        <w:t xml:space="preserve">Static Analysis Paradigms (Chess &amp; McGraw, 2004): </w:t>
      </w:r>
      <w:r>
        <w:rPr>
          <w:rFonts w:ascii="Times New Roman" w:hAnsi="Times New Roman"/>
          <w:sz w:val="23"/>
        </w:rPr>
        <w:t>Static analysis detects security vulnerabilities (buffer overflows, uninitialized memory) and code smells early in the development lifecycle (Shift-Left principle). In-memory AST visitor passes provide efficient syntactic and semantic property verification without execution overhead.</w:t>
      </w:r>
    </w:p>
    <w:p>
      <w:pPr>
        <w:spacing w:before="240" w:after="120"/>
      </w:pPr>
      <w:r>
        <w:rPr>
          <w:rFonts w:ascii="Times New Roman" w:hAnsi="Times New Roman"/>
          <w:b/>
          <w:color w:val="0F172A"/>
          <w:sz w:val="32"/>
        </w:rPr>
        <w:t>5. Applications of the Project</w:t>
      </w:r>
    </w:p>
    <w:p>
      <w:pPr>
        <w:pStyle w:val="ListBullet"/>
        <w:spacing w:after="80" w:line="276" w:lineRule="auto"/>
      </w:pPr>
      <w:r>
        <w:rPr>
          <w:rFonts w:ascii="Times New Roman" w:hAnsi="Times New Roman"/>
          <w:b/>
          <w:sz w:val="23"/>
        </w:rPr>
        <w:t xml:space="preserve">1. Automated Academic Lab Grading &amp; Assessment: </w:t>
      </w:r>
      <w:r>
        <w:rPr>
          <w:rFonts w:ascii="Times New Roman" w:hAnsi="Times New Roman"/>
          <w:sz w:val="23"/>
        </w:rPr>
        <w:t>Universities and coding platforms can utilize the analyzer to automatically grade student programming assignments, penalizing dead code, undeclared variables, high complexity, and deeply nested loops while generating a transparent 0-100% Accuracy Score.</w:t>
      </w:r>
    </w:p>
    <w:p>
      <w:pPr>
        <w:pStyle w:val="ListBullet"/>
        <w:spacing w:after="80" w:line="276" w:lineRule="auto"/>
      </w:pPr>
      <w:r>
        <w:rPr>
          <w:rFonts w:ascii="Times New Roman" w:hAnsi="Times New Roman"/>
          <w:b/>
          <w:sz w:val="23"/>
        </w:rPr>
        <w:t xml:space="preserve">2. Continuous Integration (CI/CD) Pre-Commit Quality Gates: </w:t>
      </w:r>
      <w:r>
        <w:rPr>
          <w:rFonts w:ascii="Times New Roman" w:hAnsi="Times New Roman"/>
          <w:sz w:val="23"/>
        </w:rPr>
        <w:t>The analyzer executable can be integrated into Git pre-commit hooks or GitHub Actions pipelines to block commits that introduce excessive cyclomatic complexity or dead code.</w:t>
      </w:r>
    </w:p>
    <w:p>
      <w:pPr>
        <w:pStyle w:val="ListBullet"/>
        <w:spacing w:after="80" w:line="276" w:lineRule="auto"/>
      </w:pPr>
      <w:r>
        <w:rPr>
          <w:rFonts w:ascii="Times New Roman" w:hAnsi="Times New Roman"/>
          <w:b/>
          <w:sz w:val="23"/>
        </w:rPr>
        <w:t xml:space="preserve">3. Safety-Critical &amp; Embedded Software Auditing: </w:t>
      </w:r>
      <w:r>
        <w:rPr>
          <w:rFonts w:ascii="Times New Roman" w:hAnsi="Times New Roman"/>
          <w:sz w:val="23"/>
        </w:rPr>
        <w:t>Safety standards (such as MISRA C/C++ and ISO 26262) mandate strict upper bounds on nesting depth, function length, and cyclomatic complexity to guarantee testability and predictable stack usage.</w:t>
      </w:r>
    </w:p>
    <w:p>
      <w:pPr>
        <w:pStyle w:val="ListBullet"/>
        <w:spacing w:after="80" w:line="276" w:lineRule="auto"/>
      </w:pPr>
      <w:r>
        <w:rPr>
          <w:rFonts w:ascii="Times New Roman" w:hAnsi="Times New Roman"/>
          <w:b/>
          <w:sz w:val="23"/>
        </w:rPr>
        <w:t xml:space="preserve">4. Pedagogical Compiler Design Demonstrator: </w:t>
      </w:r>
      <w:r>
        <w:rPr>
          <w:rFonts w:ascii="Times New Roman" w:hAnsi="Times New Roman"/>
          <w:sz w:val="23"/>
        </w:rPr>
        <w:t>The modular separation between DFA lexing, LL(1) parsing, AST construction, and symbol table resolution serves as an educational model for compiler design coursework.</w:t>
      </w:r>
    </w:p>
    <w:p>
      <w:pPr>
        <w:spacing w:before="240" w:after="120"/>
      </w:pPr>
      <w:r>
        <w:rPr>
          <w:rFonts w:ascii="Times New Roman" w:hAnsi="Times New Roman"/>
          <w:b/>
          <w:color w:val="0F172A"/>
          <w:sz w:val="32"/>
        </w:rPr>
        <w:t>6. Block Diagram</w:t>
      </w:r>
    </w:p>
    <w:p>
      <w:pPr>
        <w:spacing w:after="120" w:line="276" w:lineRule="auto"/>
      </w:pPr>
      <w:r>
        <w:rPr>
          <w:rFonts w:ascii="Times New Roman" w:hAnsi="Times New Roman"/>
          <w:color w:val="1E293B"/>
          <w:sz w:val="23"/>
        </w:rPr>
        <w:t>The system architecture follows a decoupled, sequential pipelining model. Source code enters through the input handler, undergoes lexical tokenization, syntax analysis, AST generation, semantic validation, and metric scoring before the terminal report is emitted.</w:t>
      </w:r>
    </w:p>
    <w:p>
      <w:pPr>
        <w:spacing w:before="160" w:after="80"/>
        <w:jc w:val="center"/>
      </w:pPr>
      <w:r>
        <w:drawing>
          <wp:inline xmlns:a="http://schemas.openxmlformats.org/drawingml/2006/main" xmlns:pic="http://schemas.openxmlformats.org/drawingml/2006/picture">
            <wp:extent cx="5669280" cy="3287230"/>
            <wp:docPr id="2" name="Picture 2"/>
            <wp:cNvGraphicFramePr>
              <a:graphicFrameLocks noChangeAspect="1"/>
            </wp:cNvGraphicFramePr>
            <a:graphic>
              <a:graphicData uri="http://schemas.openxmlformats.org/drawingml/2006/picture">
                <pic:pic>
                  <pic:nvPicPr>
                    <pic:cNvPr id="0" name="diagram_block.png"/>
                    <pic:cNvPicPr/>
                  </pic:nvPicPr>
                  <pic:blipFill>
                    <a:blip r:embed="rId10"/>
                    <a:stretch>
                      <a:fillRect/>
                    </a:stretch>
                  </pic:blipFill>
                  <pic:spPr>
                    <a:xfrm>
                      <a:off x="0" y="0"/>
                      <a:ext cx="5669280" cy="3287230"/>
                    </a:xfrm>
                    <a:prstGeom prst="rect"/>
                  </pic:spPr>
                </pic:pic>
              </a:graphicData>
            </a:graphic>
          </wp:inline>
        </w:drawing>
      </w:r>
    </w:p>
    <w:p>
      <w:pPr>
        <w:spacing w:after="240"/>
        <w:jc w:val="center"/>
      </w:pPr>
      <w:r>
        <w:rPr>
          <w:rFonts w:ascii="Times New Roman" w:hAnsi="Times New Roman"/>
          <w:i/>
          <w:color w:val="475569"/>
          <w:sz w:val="20"/>
        </w:rPr>
        <w:t>Figure 6.1: High-Level System Architecture and Component Interfacing Block Diagram</w:t>
      </w:r>
    </w:p>
    <w:p>
      <w:pPr>
        <w:spacing w:before="240" w:after="120"/>
      </w:pPr>
      <w:r>
        <w:rPr>
          <w:rFonts w:ascii="Times New Roman" w:hAnsi="Times New Roman"/>
          <w:b/>
          <w:color w:val="0F172A"/>
          <w:sz w:val="32"/>
        </w:rPr>
        <w:t>7. UML Diagrams</w:t>
      </w:r>
    </w:p>
    <w:p>
      <w:pPr>
        <w:spacing w:before="240" w:after="120"/>
      </w:pPr>
      <w:r>
        <w:rPr>
          <w:rFonts w:ascii="Times New Roman" w:hAnsi="Times New Roman"/>
          <w:b/>
          <w:color w:val="1E3A8A"/>
          <w:sz w:val="27"/>
        </w:rPr>
        <w:t>7.1 UML Class Diagram</w:t>
      </w:r>
    </w:p>
    <w:p>
      <w:pPr>
        <w:spacing w:after="120" w:line="276" w:lineRule="auto"/>
      </w:pPr>
      <w:r>
        <w:rPr>
          <w:rFonts w:ascii="Times New Roman" w:hAnsi="Times New Roman"/>
          <w:color w:val="1E293B"/>
          <w:sz w:val="23"/>
        </w:rPr>
        <w:t>The UML Class Diagram illustrates the object-oriented design of the AST hierarchy, the Visitor pattern implementation, and the core operational classes (Lexer, Parser, SymbolTable, Analyzer, ReportGenerator).</w:t>
      </w:r>
    </w:p>
    <w:p>
      <w:pPr>
        <w:spacing w:before="160" w:after="80"/>
        <w:jc w:val="center"/>
      </w:pPr>
      <w:r>
        <w:drawing>
          <wp:inline xmlns:a="http://schemas.openxmlformats.org/drawingml/2006/main" xmlns:pic="http://schemas.openxmlformats.org/drawingml/2006/picture">
            <wp:extent cx="5669280" cy="3911364"/>
            <wp:docPr id="3" name="Picture 3"/>
            <wp:cNvGraphicFramePr>
              <a:graphicFrameLocks noChangeAspect="1"/>
            </wp:cNvGraphicFramePr>
            <a:graphic>
              <a:graphicData uri="http://schemas.openxmlformats.org/drawingml/2006/picture">
                <pic:pic>
                  <pic:nvPicPr>
                    <pic:cNvPr id="0" name="diagram_class.png"/>
                    <pic:cNvPicPr/>
                  </pic:nvPicPr>
                  <pic:blipFill>
                    <a:blip r:embed="rId11"/>
                    <a:stretch>
                      <a:fillRect/>
                    </a:stretch>
                  </pic:blipFill>
                  <pic:spPr>
                    <a:xfrm>
                      <a:off x="0" y="0"/>
                      <a:ext cx="5669280" cy="3911364"/>
                    </a:xfrm>
                    <a:prstGeom prst="rect"/>
                  </pic:spPr>
                </pic:pic>
              </a:graphicData>
            </a:graphic>
          </wp:inline>
        </w:drawing>
      </w:r>
    </w:p>
    <w:p>
      <w:pPr>
        <w:spacing w:after="240"/>
        <w:jc w:val="center"/>
      </w:pPr>
      <w:r>
        <w:rPr>
          <w:rFonts w:ascii="Times New Roman" w:hAnsi="Times New Roman"/>
          <w:i/>
          <w:color w:val="475569"/>
          <w:sz w:val="20"/>
        </w:rPr>
        <w:t>Figure 7.1: UML Class Diagram Representing AST Nodes and Visitor Design Pattern</w:t>
      </w:r>
    </w:p>
    <w:p>
      <w:pPr>
        <w:spacing w:before="240" w:after="120"/>
      </w:pPr>
      <w:r>
        <w:rPr>
          <w:rFonts w:ascii="Times New Roman" w:hAnsi="Times New Roman"/>
          <w:b/>
          <w:color w:val="1E3A8A"/>
          <w:sz w:val="27"/>
        </w:rPr>
        <w:t>7.2 UML Sequence Diagram</w:t>
      </w:r>
    </w:p>
    <w:p>
      <w:pPr>
        <w:spacing w:after="120" w:line="276" w:lineRule="auto"/>
      </w:pPr>
      <w:r>
        <w:rPr>
          <w:rFonts w:ascii="Times New Roman" w:hAnsi="Times New Roman"/>
          <w:color w:val="1E293B"/>
          <w:sz w:val="23"/>
        </w:rPr>
        <w:t>The UML Sequence Diagram models the dynamic interaction between objects across time, tracking message flow from user input down through tokenization, parsing, traversal, and terminal reporting.</w:t>
      </w:r>
    </w:p>
    <w:p>
      <w:pPr>
        <w:spacing w:before="160" w:after="80"/>
        <w:jc w:val="center"/>
      </w:pPr>
      <w:r>
        <w:drawing>
          <wp:inline xmlns:a="http://schemas.openxmlformats.org/drawingml/2006/main" xmlns:pic="http://schemas.openxmlformats.org/drawingml/2006/picture">
            <wp:extent cx="5669280" cy="3763640"/>
            <wp:docPr id="4" name="Picture 4"/>
            <wp:cNvGraphicFramePr>
              <a:graphicFrameLocks noChangeAspect="1"/>
            </wp:cNvGraphicFramePr>
            <a:graphic>
              <a:graphicData uri="http://schemas.openxmlformats.org/drawingml/2006/picture">
                <pic:pic>
                  <pic:nvPicPr>
                    <pic:cNvPr id="0" name="diagram_sequence.png"/>
                    <pic:cNvPicPr/>
                  </pic:nvPicPr>
                  <pic:blipFill>
                    <a:blip r:embed="rId12"/>
                    <a:stretch>
                      <a:fillRect/>
                    </a:stretch>
                  </pic:blipFill>
                  <pic:spPr>
                    <a:xfrm>
                      <a:off x="0" y="0"/>
                      <a:ext cx="5669280" cy="3763640"/>
                    </a:xfrm>
                    <a:prstGeom prst="rect"/>
                  </pic:spPr>
                </pic:pic>
              </a:graphicData>
            </a:graphic>
          </wp:inline>
        </w:drawing>
      </w:r>
    </w:p>
    <w:p>
      <w:pPr>
        <w:spacing w:after="240"/>
        <w:jc w:val="center"/>
      </w:pPr>
      <w:r>
        <w:rPr>
          <w:rFonts w:ascii="Times New Roman" w:hAnsi="Times New Roman"/>
          <w:i/>
          <w:color w:val="475569"/>
          <w:sz w:val="20"/>
        </w:rPr>
        <w:t>Figure 7.2: UML Sequence Diagram Illustrating Runtime Execution Pipeline</w:t>
      </w:r>
    </w:p>
    <w:p>
      <w:pPr>
        <w:spacing w:before="240" w:after="120"/>
      </w:pPr>
      <w:r>
        <w:rPr>
          <w:rFonts w:ascii="Times New Roman" w:hAnsi="Times New Roman"/>
          <w:b/>
          <w:color w:val="1E3A8A"/>
          <w:sz w:val="27"/>
        </w:rPr>
        <w:t>7.3 UML Activity Diagram</w:t>
      </w:r>
    </w:p>
    <w:p>
      <w:pPr>
        <w:spacing w:after="120" w:line="276" w:lineRule="auto"/>
      </w:pPr>
      <w:r>
        <w:rPr>
          <w:rFonts w:ascii="Times New Roman" w:hAnsi="Times New Roman"/>
          <w:color w:val="1E293B"/>
          <w:sz w:val="23"/>
        </w:rPr>
        <w:t>The UML Activity Diagram outlines the control-flow state transitions of the static analysis engine from initialization to final quality rating calculation.</w:t>
      </w:r>
    </w:p>
    <w:p>
      <w:pPr>
        <w:spacing w:before="160" w:after="80"/>
        <w:jc w:val="center"/>
      </w:pPr>
      <w:r>
        <w:drawing>
          <wp:inline xmlns:a="http://schemas.openxmlformats.org/drawingml/2006/main" xmlns:pic="http://schemas.openxmlformats.org/drawingml/2006/picture">
            <wp:extent cx="5120640" cy="4086167"/>
            <wp:docPr id="5" name="Picture 5"/>
            <wp:cNvGraphicFramePr>
              <a:graphicFrameLocks noChangeAspect="1"/>
            </wp:cNvGraphicFramePr>
            <a:graphic>
              <a:graphicData uri="http://schemas.openxmlformats.org/drawingml/2006/picture">
                <pic:pic>
                  <pic:nvPicPr>
                    <pic:cNvPr id="0" name="diagram_activity.png"/>
                    <pic:cNvPicPr/>
                  </pic:nvPicPr>
                  <pic:blipFill>
                    <a:blip r:embed="rId13"/>
                    <a:stretch>
                      <a:fillRect/>
                    </a:stretch>
                  </pic:blipFill>
                  <pic:spPr>
                    <a:xfrm>
                      <a:off x="0" y="0"/>
                      <a:ext cx="5120640" cy="4086167"/>
                    </a:xfrm>
                    <a:prstGeom prst="rect"/>
                  </pic:spPr>
                </pic:pic>
              </a:graphicData>
            </a:graphic>
          </wp:inline>
        </w:drawing>
      </w:r>
    </w:p>
    <w:p>
      <w:pPr>
        <w:spacing w:after="240"/>
        <w:jc w:val="center"/>
      </w:pPr>
      <w:r>
        <w:rPr>
          <w:rFonts w:ascii="Times New Roman" w:hAnsi="Times New Roman"/>
          <w:i/>
          <w:color w:val="475569"/>
          <w:sz w:val="20"/>
        </w:rPr>
        <w:t>Figure 7.3: UML Activity Diagram Depicting Step-by-Step Analysis Workflow</w:t>
      </w:r>
    </w:p>
    <w:p>
      <w:pPr>
        <w:spacing w:before="240" w:after="120"/>
      </w:pPr>
      <w:r>
        <w:rPr>
          <w:rFonts w:ascii="Times New Roman" w:hAnsi="Times New Roman"/>
          <w:b/>
          <w:color w:val="0F172A"/>
          <w:sz w:val="32"/>
        </w:rPr>
        <w:t>8. Screenshots</w:t>
      </w:r>
    </w:p>
    <w:p>
      <w:pPr>
        <w:spacing w:after="120" w:line="276" w:lineRule="auto"/>
      </w:pPr>
      <w:r>
        <w:rPr>
          <w:rFonts w:ascii="Times New Roman" w:hAnsi="Times New Roman"/>
          <w:color w:val="1E293B"/>
          <w:sz w:val="23"/>
        </w:rPr>
        <w:t>The following screenshots document the actual runtime execution of the Static Code Analyzer in the Windows PowerShell environment, demonstrating interactive code input, accuracy evaluation, function metrics calculation, and diagnostic reports.</w:t>
      </w:r>
    </w:p>
    <w:p>
      <w:pPr>
        <w:spacing w:before="160" w:after="80"/>
        <w:jc w:val="center"/>
      </w:pPr>
      <w:r>
        <w:drawing>
          <wp:inline xmlns:a="http://schemas.openxmlformats.org/drawingml/2006/main" xmlns:pic="http://schemas.openxmlformats.org/drawingml/2006/picture">
            <wp:extent cx="5303520" cy="3293983"/>
            <wp:docPr id="6" name="Picture 6"/>
            <wp:cNvGraphicFramePr>
              <a:graphicFrameLocks noChangeAspect="1"/>
            </wp:cNvGraphicFramePr>
            <a:graphic>
              <a:graphicData uri="http://schemas.openxmlformats.org/drawingml/2006/picture">
                <pic:pic>
                  <pic:nvPicPr>
                    <pic:cNvPr id="0" name="media_1789887653292.png"/>
                    <pic:cNvPicPr/>
                  </pic:nvPicPr>
                  <pic:blipFill>
                    <a:blip r:embed="rId14"/>
                    <a:stretch>
                      <a:fillRect/>
                    </a:stretch>
                  </pic:blipFill>
                  <pic:spPr>
                    <a:xfrm>
                      <a:off x="0" y="0"/>
                      <a:ext cx="5303520" cy="3293983"/>
                    </a:xfrm>
                    <a:prstGeom prst="rect"/>
                  </pic:spPr>
                </pic:pic>
              </a:graphicData>
            </a:graphic>
          </wp:inline>
        </w:drawing>
      </w:r>
    </w:p>
    <w:p>
      <w:pPr>
        <w:spacing w:after="240"/>
        <w:jc w:val="center"/>
      </w:pPr>
      <w:r>
        <w:rPr>
          <w:rFonts w:ascii="Times New Roman" w:hAnsi="Times New Roman"/>
          <w:i/>
          <w:color w:val="475569"/>
          <w:sz w:val="20"/>
        </w:rPr>
        <w:t>Figure 8.1: Live Terminal Execution - Interactive C++ Code Input via PowerShell Pipeline</w:t>
      </w:r>
    </w:p>
    <w:p>
      <w:pPr>
        <w:spacing w:after="120" w:line="276" w:lineRule="auto"/>
      </w:pPr>
      <w:r>
        <w:rPr>
          <w:rFonts w:ascii="Times New Roman" w:hAnsi="Times New Roman"/>
          <w:color w:val="1E293B"/>
          <w:sz w:val="23"/>
        </w:rPr>
        <w:t>Figure 8.1 illustrates the interactive input mechanism. The user pipes C++ source code directly into the analyzer executable. The program reads the multi-line input buffer and passes it into the compiler front-end pipeline without requiring a physical file.</w:t>
      </w:r>
    </w:p>
    <w:p>
      <w:pPr>
        <w:spacing w:before="160" w:after="80"/>
        <w:jc w:val="center"/>
      </w:pPr>
      <w:r>
        <w:drawing>
          <wp:inline xmlns:a="http://schemas.openxmlformats.org/drawingml/2006/main" xmlns:pic="http://schemas.openxmlformats.org/drawingml/2006/picture">
            <wp:extent cx="5303520" cy="1900773"/>
            <wp:docPr id="7" name="Picture 7"/>
            <wp:cNvGraphicFramePr>
              <a:graphicFrameLocks noChangeAspect="1"/>
            </wp:cNvGraphicFramePr>
            <a:graphic>
              <a:graphicData uri="http://schemas.openxmlformats.org/drawingml/2006/picture">
                <pic:pic>
                  <pic:nvPicPr>
                    <pic:cNvPr id="0" name="media_1789887653237.png"/>
                    <pic:cNvPicPr/>
                  </pic:nvPicPr>
                  <pic:blipFill>
                    <a:blip r:embed="rId15"/>
                    <a:stretch>
                      <a:fillRect/>
                    </a:stretch>
                  </pic:blipFill>
                  <pic:spPr>
                    <a:xfrm>
                      <a:off x="0" y="0"/>
                      <a:ext cx="5303520" cy="1900773"/>
                    </a:xfrm>
                    <a:prstGeom prst="rect"/>
                  </pic:spPr>
                </pic:pic>
              </a:graphicData>
            </a:graphic>
          </wp:inline>
        </w:drawing>
      </w:r>
    </w:p>
    <w:p>
      <w:pPr>
        <w:spacing w:after="240"/>
        <w:jc w:val="center"/>
      </w:pPr>
      <w:r>
        <w:rPr>
          <w:rFonts w:ascii="Times New Roman" w:hAnsi="Times New Roman"/>
          <w:i/>
          <w:color w:val="475569"/>
          <w:sz w:val="20"/>
        </w:rPr>
        <w:t>Figure 8.2: Static Code Analyzer &amp; Accuracy Report Header (100% Accuracy Score, Grade A+)</w:t>
      </w:r>
    </w:p>
    <w:p>
      <w:pPr>
        <w:spacing w:after="120" w:line="276" w:lineRule="auto"/>
      </w:pPr>
      <w:r>
        <w:rPr>
          <w:rFonts w:ascii="Times New Roman" w:hAnsi="Times New Roman"/>
          <w:color w:val="1E293B"/>
          <w:sz w:val="23"/>
        </w:rPr>
        <w:t>Figure 8.2 demonstrates the Accuracy &amp; Quality Assessment output for clean code. The system evaluated the input code, awarded a 100.0% Accuracy Score (Grade A+), and confirmed zero syntax, semantic, or structural violations.</w:t>
      </w:r>
    </w:p>
    <w:p>
      <w:pPr>
        <w:spacing w:before="160" w:after="80"/>
        <w:jc w:val="center"/>
      </w:pPr>
      <w:r>
        <w:drawing>
          <wp:inline xmlns:a="http://schemas.openxmlformats.org/drawingml/2006/main" xmlns:pic="http://schemas.openxmlformats.org/drawingml/2006/picture">
            <wp:extent cx="5303520" cy="2351365"/>
            <wp:docPr id="8" name="Picture 8"/>
            <wp:cNvGraphicFramePr>
              <a:graphicFrameLocks noChangeAspect="1"/>
            </wp:cNvGraphicFramePr>
            <a:graphic>
              <a:graphicData uri="http://schemas.openxmlformats.org/drawingml/2006/picture">
                <pic:pic>
                  <pic:nvPicPr>
                    <pic:cNvPr id="0" name="media_1789887660975.png"/>
                    <pic:cNvPicPr/>
                  </pic:nvPicPr>
                  <pic:blipFill>
                    <a:blip r:embed="rId16"/>
                    <a:stretch>
                      <a:fillRect/>
                    </a:stretch>
                  </pic:blipFill>
                  <pic:spPr>
                    <a:xfrm>
                      <a:off x="0" y="0"/>
                      <a:ext cx="5303520" cy="2351365"/>
                    </a:xfrm>
                    <a:prstGeom prst="rect"/>
                  </pic:spPr>
                </pic:pic>
              </a:graphicData>
            </a:graphic>
          </wp:inline>
        </w:drawing>
      </w:r>
    </w:p>
    <w:p>
      <w:pPr>
        <w:spacing w:after="240"/>
        <w:jc w:val="center"/>
      </w:pPr>
      <w:r>
        <w:rPr>
          <w:rFonts w:ascii="Times New Roman" w:hAnsi="Times New Roman"/>
          <w:i/>
          <w:color w:val="475569"/>
          <w:sz w:val="20"/>
        </w:rPr>
        <w:t>Figure 8.3: Function Metrics Table, McCabe Cyclomatic Complexity, and Final Passed Status</w:t>
      </w:r>
    </w:p>
    <w:p>
      <w:pPr>
        <w:spacing w:after="120" w:line="276" w:lineRule="auto"/>
      </w:pPr>
      <w:r>
        <w:rPr>
          <w:rFonts w:ascii="Times New Roman" w:hAnsi="Times New Roman"/>
          <w:color w:val="1E293B"/>
          <w:sz w:val="23"/>
        </w:rPr>
        <w:t>Figure 8.3 shows the per-function complexity metrics table. Each function's line span, LOC, maximum control flow nesting depth, McCabe cyclomatic complexity, and risk level are tabulated, followed by the final clean pass status.</w:t>
      </w:r>
    </w:p>
    <w:p>
      <w:pPr>
        <w:spacing w:before="240" w:after="120"/>
      </w:pPr>
      <w:r>
        <w:rPr>
          <w:rFonts w:ascii="Times New Roman" w:hAnsi="Times New Roman"/>
          <w:b/>
          <w:color w:val="0F172A"/>
          <w:sz w:val="32"/>
        </w:rPr>
        <w:t>9. References</w:t>
      </w:r>
    </w:p>
    <w:p>
      <w:pPr>
        <w:spacing w:after="120"/>
        <w:ind w:left="576" w:hanging="576"/>
      </w:pPr>
      <w:r>
        <w:rPr>
          <w:rFonts w:ascii="Times New Roman" w:hAnsi="Times New Roman"/>
          <w:sz w:val="21"/>
        </w:rPr>
        <w:t>Aho, A. V., Lam, M. S., Sethi, R., &amp; Ullman, J. D. (2006). Compilers: Principles, Techniques, and Tools (2nd ed.). Addison-Wesley (The Dragon Book).</w:t>
      </w:r>
    </w:p>
    <w:p>
      <w:pPr>
        <w:spacing w:after="120"/>
        <w:ind w:left="576" w:hanging="576"/>
      </w:pPr>
      <w:r>
        <w:rPr>
          <w:rFonts w:ascii="Times New Roman" w:hAnsi="Times New Roman"/>
          <w:sz w:val="21"/>
        </w:rPr>
        <w:t>McCabe, T. J. (1976). A Complexity Measure. IEEE Transactions on Software Engineering, SE-2(4), 308-320.</w:t>
      </w:r>
    </w:p>
    <w:p>
      <w:pPr>
        <w:spacing w:after="120"/>
        <w:ind w:left="576" w:hanging="576"/>
      </w:pPr>
      <w:r>
        <w:rPr>
          <w:rFonts w:ascii="Times New Roman" w:hAnsi="Times New Roman"/>
          <w:sz w:val="21"/>
        </w:rPr>
        <w:t>Hopcroft, J. E., Motwani, R., &amp; Ullman, J. D. (2006). Introduction to Automata Theory, Languages, and Computation (3rd ed.). Pearson.</w:t>
      </w:r>
    </w:p>
    <w:p>
      <w:pPr>
        <w:spacing w:after="120"/>
        <w:ind w:left="576" w:hanging="576"/>
      </w:pPr>
      <w:r>
        <w:rPr>
          <w:rFonts w:ascii="Times New Roman" w:hAnsi="Times New Roman"/>
          <w:sz w:val="21"/>
        </w:rPr>
        <w:t>Stroustrup, B. (2018). A Tour of C++ (2nd ed.). Addison-Wesley Professional.</w:t>
      </w:r>
    </w:p>
    <w:p>
      <w:pPr>
        <w:spacing w:after="120"/>
        <w:ind w:left="576" w:hanging="576"/>
      </w:pPr>
      <w:r>
        <w:rPr>
          <w:rFonts w:ascii="Times New Roman" w:hAnsi="Times New Roman"/>
          <w:sz w:val="21"/>
        </w:rPr>
        <w:t>Gamma, E., Helm, R., Johnson, R., &amp; Vlissides, J. (1994). Design Patterns: Elements of Reusable Object-Oriented Software. Addison-Wesley.</w:t>
      </w:r>
    </w:p>
    <w:p>
      <w:pPr>
        <w:spacing w:after="120"/>
        <w:ind w:left="576" w:hanging="576"/>
      </w:pPr>
      <w:r>
        <w:rPr>
          <w:rFonts w:ascii="Times New Roman" w:hAnsi="Times New Roman"/>
          <w:sz w:val="21"/>
        </w:rPr>
        <w:t>ISO/IEC 14882:2017. (2017). Programming Languages - C++ (Standard C++17). International Organization for Standardization.</w:t>
      </w:r>
    </w:p>
    <w:p>
      <w:pPr>
        <w:spacing w:after="120"/>
        <w:ind w:left="576" w:hanging="576"/>
      </w:pPr>
      <w:r>
        <w:rPr>
          <w:rFonts w:ascii="Times New Roman" w:hAnsi="Times New Roman"/>
          <w:sz w:val="21"/>
        </w:rPr>
        <w:t>Chess, B., &amp; McGraw, G. (2004). Static Analysis for Security. IEEE Security &amp; Privacy, 2(6), 76-79.</w:t>
      </w:r>
    </w:p>
    <w:p>
      <w:pPr>
        <w:spacing w:after="120"/>
        <w:ind w:left="576" w:hanging="576"/>
      </w:pPr>
      <w:r>
        <w:rPr>
          <w:rFonts w:ascii="Times New Roman" w:hAnsi="Times New Roman"/>
          <w:sz w:val="21"/>
        </w:rPr>
        <w:t>MISRA C++:2008. (2008). Guidelines for the Use of the C++ Language in Critical Systems. Motor Industry Software Reliability Association.</w:t>
      </w:r>
    </w:p>
    <w:p>
      <w:pPr>
        <w:spacing w:before="240" w:after="120"/>
      </w:pPr>
      <w:r>
        <w:rPr>
          <w:rFonts w:ascii="Times New Roman" w:hAnsi="Times New Roman"/>
          <w:b/>
          <w:color w:val="0F172A"/>
          <w:sz w:val="32"/>
        </w:rPr>
        <w:t>10. Approval of the Project</w:t>
      </w:r>
    </w:p>
    <w:p>
      <w:pPr>
        <w:spacing w:after="120" w:line="276" w:lineRule="auto"/>
      </w:pPr>
      <w:r>
        <w:rPr>
          <w:rFonts w:ascii="Times New Roman" w:hAnsi="Times New Roman"/>
          <w:color w:val="1E293B"/>
          <w:sz w:val="23"/>
        </w:rPr>
        <w:t>This is to certify that the project report entitled 'STATIC CODE ANALYZER &amp; ACCURACY SCORER IN C++' submitted by Anand Gaur (Roll No: &lt;Roll No.&gt;) in partial fulfillment of the requirements for the award of the degree of Bachelor of Technology in Computer Science &amp; Engineering (Artificial Intelligence) of Rajasthan Technical University, Kota, is an authentic work carried out under my guidance and supervision at Jaipur Engineering College and Research Centre, Jaipur.</w:t>
      </w:r>
    </w:p>
    <w:p>
      <w:pPr>
        <w:spacing w:after="120" w:line="276" w:lineRule="auto"/>
      </w:pPr>
      <w:r>
        <w:rPr>
          <w:rFonts w:ascii="Times New Roman" w:hAnsi="Times New Roman"/>
          <w:color w:val="1E293B"/>
          <w:sz w:val="23"/>
        </w:rPr>
        <w:t>To the best of my knowledge, the matter embodied in this report has not been submitted to any other University / Institute for the award of any degree or diploma.</w:t>
      </w:r>
    </w:p>
    <w:p>
      <w:pPr>
        <w:spacing w:before="720" w:after="40"/>
      </w:pPr>
    </w:p>
    <w:tbl>
      <w:tblPr>
        <w:tblW w:type="auto" w:w="0"/>
        <w:jc w:val="center"/>
        <w:tblLayout w:type="fixed"/>
        <w:tblLook w:firstColumn="1" w:firstRow="1" w:lastColumn="0" w:lastRow="0" w:noHBand="0" w:noVBand="1" w:val="04A0"/>
      </w:tblPr>
      <w:tblGrid>
        <w:gridCol w:w="4608"/>
        <w:gridCol w:w="4608"/>
      </w:tblGrid>
      <w:tr>
        <w:tc>
          <w:tcPr>
            <w:tcW w:type="dxa" w:w="4536"/>
          </w:tcPr>
          <w:p>
            <w:r>
              <w:rPr>
                <w:rFonts w:ascii="Times New Roman" w:hAnsi="Times New Roman"/>
                <w:b/>
                <w:sz w:val="22"/>
              </w:rPr>
              <w:t>____________________________</w:t>
              <w:br/>
              <w:t>Signature of Candidate</w:t>
              <w:br/>
              <w:t>Anand Gaur</w:t>
              <w:br/>
              <w:t>Roll No: &lt;Roll No.&gt;</w:t>
            </w:r>
          </w:p>
        </w:tc>
        <w:tc>
          <w:tcPr>
            <w:tcW w:type="dxa" w:w="4536"/>
          </w:tcPr>
          <w:p>
            <w:pPr>
              <w:jc w:val="right"/>
            </w:pPr>
            <w:r>
              <w:rPr>
                <w:rFonts w:ascii="Times New Roman" w:hAnsi="Times New Roman"/>
                <w:b/>
                <w:sz w:val="22"/>
              </w:rPr>
              <w:t>____________________________</w:t>
              <w:br/>
              <w:t>Signature of Faculty Coordinator</w:t>
              <w:br/>
              <w:t>&lt;Faculty Name&gt;</w:t>
              <w:br/>
              <w:t>&lt;Designation&gt;, CSE (AI)</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