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Machine Learning Operations (MLOps) — AIMLCZG523 | Assignment 01</w:t>
      </w:r>
    </w:p>
    <w:p>
      <w:pPr>
        <w:jc w:val="center"/>
      </w:pPr>
      <w:r>
        <w:t>Student ID: 2025AE05407 | GitHub Repository: https://github.com/anandhasabesan89/2025AE05407_MLOps_AIMLZG523_Assigment1</w:t>
        <w:br/>
        <w:t>End-to-End Cardiovascular Risk Classification, MLflow Tracking, CI/CD, Docker Containerization, Kubernetes Orchestration &amp; Prometheus Monitoring</w:t>
      </w:r>
    </w:p>
    <w:p>
      <w:pPr>
        <w:pStyle w:val="Heading1"/>
      </w:pPr>
      <w:r>
        <w:rPr>
          <w:color w:val="1B365D"/>
        </w:rPr>
        <w:t>1. Executive Summary &amp; System Architecture</w:t>
      </w:r>
    </w:p>
    <w:p>
      <w:r>
        <w:t>This report documents the end-to-end architecture and implementation of the Cardio-Risk MLOps solution built on the UCI Heart Disease Cleveland dataset (303 patients, 14 clinical attributes). The pipeline integrates automated data ingestion, deterministic '?' missing value imputation, four custom cardiovascular interaction features, 5-fold Stratified Cross-Validation across three model families, MLflow experiment tracking, GitHub Actions CI/CD, FastAPI Docker serving, Kubernetes orchestration on Minikube, and Prometheus + Grafana observability.</w:t>
      </w:r>
    </w:p>
    <w:p>
      <w:pPr>
        <w:jc w:val="center"/>
      </w:pPr>
      <w:r>
        <w:drawing>
          <wp:inline xmlns:a="http://schemas.openxmlformats.org/drawingml/2006/main" xmlns:pic="http://schemas.openxmlformats.org/drawingml/2006/picture">
            <wp:extent cx="5852160" cy="295645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2956454"/>
                    </a:xfrm>
                    <a:prstGeom prst="rect"/>
                  </pic:spPr>
                </pic:pic>
              </a:graphicData>
            </a:graphic>
          </wp:inline>
        </w:drawing>
      </w:r>
    </w:p>
    <w:p>
      <w:r>
        <w:br w:type="page"/>
      </w:r>
    </w:p>
    <w:p>
      <w:pPr>
        <w:pStyle w:val="Heading1"/>
      </w:pPr>
      <w:r>
        <w:rPr>
          <w:color w:val="1B365D"/>
        </w:rPr>
        <w:t>2. Task 1: Data Acquisition, Cleaning &amp; Demographic EDA</w:t>
      </w:r>
    </w:p>
    <w:p>
      <w:r>
        <w:t>Dataset fetched via src/data/download_data.py (303 rows, SHA-256 verified). Six '?' missing values (ca: 4, thal: 2) were imputed deterministically using column mode, and the angiographic severity score (num 0-4) was converted into a binary target (0 = Absence [164 cases, 54.13%], 1 = Presence [139 cases, 45.87%]).</w:t>
      </w:r>
    </w:p>
    <w:p>
      <w:pPr>
        <w:jc w:val="center"/>
      </w:pPr>
      <w:r>
        <w:drawing>
          <wp:inline xmlns:a="http://schemas.openxmlformats.org/drawingml/2006/main" xmlns:pic="http://schemas.openxmlformats.org/drawingml/2006/picture">
            <wp:extent cx="5760720" cy="1860060"/>
            <wp:docPr id="2" name="Picture 2"/>
            <wp:cNvGraphicFramePr>
              <a:graphicFrameLocks noChangeAspect="1"/>
            </wp:cNvGraphicFramePr>
            <a:graphic>
              <a:graphicData uri="http://schemas.openxmlformats.org/drawingml/2006/picture">
                <pic:pic>
                  <pic:nvPicPr>
                    <pic:cNvPr id="0" name="eda_01_class_balance_demographics.png"/>
                    <pic:cNvPicPr/>
                  </pic:nvPicPr>
                  <pic:blipFill>
                    <a:blip r:embed="rId10"/>
                    <a:stretch>
                      <a:fillRect/>
                    </a:stretch>
                  </pic:blipFill>
                  <pic:spPr>
                    <a:xfrm>
                      <a:off x="0" y="0"/>
                      <a:ext cx="5760720" cy="1860060"/>
                    </a:xfrm>
                    <a:prstGeom prst="rect"/>
                  </pic:spPr>
                </pic:pic>
              </a:graphicData>
            </a:graphic>
          </wp:inline>
        </w:drawing>
      </w:r>
    </w:p>
    <w:p>
      <w:pPr>
        <w:jc w:val="center"/>
      </w:pPr>
      <w:r>
        <w:drawing>
          <wp:inline xmlns:a="http://schemas.openxmlformats.org/drawingml/2006/main" xmlns:pic="http://schemas.openxmlformats.org/drawingml/2006/picture">
            <wp:extent cx="5760720" cy="3290060"/>
            <wp:docPr id="3" name="Picture 3"/>
            <wp:cNvGraphicFramePr>
              <a:graphicFrameLocks noChangeAspect="1"/>
            </wp:cNvGraphicFramePr>
            <a:graphic>
              <a:graphicData uri="http://schemas.openxmlformats.org/drawingml/2006/picture">
                <pic:pic>
                  <pic:nvPicPr>
                    <pic:cNvPr id="0" name="eda_02_continuous_distributions.png"/>
                    <pic:cNvPicPr/>
                  </pic:nvPicPr>
                  <pic:blipFill>
                    <a:blip r:embed="rId11"/>
                    <a:stretch>
                      <a:fillRect/>
                    </a:stretch>
                  </pic:blipFill>
                  <pic:spPr>
                    <a:xfrm>
                      <a:off x="0" y="0"/>
                      <a:ext cx="5760720" cy="3290060"/>
                    </a:xfrm>
                    <a:prstGeom prst="rect"/>
                  </pic:spPr>
                </pic:pic>
              </a:graphicData>
            </a:graphic>
          </wp:inline>
        </w:drawing>
      </w:r>
    </w:p>
    <w:p>
      <w:r>
        <w:br w:type="page"/>
      </w:r>
    </w:p>
    <w:p>
      <w:pPr>
        <w:pStyle w:val="Heading1"/>
      </w:pPr>
      <w:r>
        <w:rPr>
          <w:color w:val="1B365D"/>
        </w:rPr>
        <w:t>3. Task 1 (Continued): Correlation Matrix &amp; Categorical Risk Analysis</w:t>
      </w:r>
    </w:p>
    <w:p>
      <w:r>
        <w:t>Pearson correlation analysis confirms strong positive risk associations with exercise-induced ST depression (oldpeak, r=+0.42), fluoroscopy-colored vessels (ca, r=+0.46), exercise angina (exang, r=+0.43), and chest pain type (cp, r=+0.41), alongside a strong negative correlation with maximum achieved heart rate (thalach, r=-0.42).</w:t>
      </w:r>
    </w:p>
    <w:p>
      <w:pPr>
        <w:jc w:val="center"/>
      </w:pPr>
      <w:r>
        <w:drawing>
          <wp:inline xmlns:a="http://schemas.openxmlformats.org/drawingml/2006/main" xmlns:pic="http://schemas.openxmlformats.org/drawingml/2006/picture">
            <wp:extent cx="4754880" cy="4197891"/>
            <wp:docPr id="4" name="Picture 4"/>
            <wp:cNvGraphicFramePr>
              <a:graphicFrameLocks noChangeAspect="1"/>
            </wp:cNvGraphicFramePr>
            <a:graphic>
              <a:graphicData uri="http://schemas.openxmlformats.org/drawingml/2006/picture">
                <pic:pic>
                  <pic:nvPicPr>
                    <pic:cNvPr id="0" name="eda_03_correlation_heatmap.png"/>
                    <pic:cNvPicPr/>
                  </pic:nvPicPr>
                  <pic:blipFill>
                    <a:blip r:embed="rId12"/>
                    <a:stretch>
                      <a:fillRect/>
                    </a:stretch>
                  </pic:blipFill>
                  <pic:spPr>
                    <a:xfrm>
                      <a:off x="0" y="0"/>
                      <a:ext cx="4754880" cy="4197891"/>
                    </a:xfrm>
                    <a:prstGeom prst="rect"/>
                  </pic:spPr>
                </pic:pic>
              </a:graphicData>
            </a:graphic>
          </wp:inline>
        </w:drawing>
      </w:r>
    </w:p>
    <w:p>
      <w:pPr>
        <w:jc w:val="center"/>
      </w:pPr>
      <w:r>
        <w:drawing>
          <wp:inline xmlns:a="http://schemas.openxmlformats.org/drawingml/2006/main" xmlns:pic="http://schemas.openxmlformats.org/drawingml/2006/picture">
            <wp:extent cx="5486400" cy="3743483"/>
            <wp:docPr id="5" name="Picture 5"/>
            <wp:cNvGraphicFramePr>
              <a:graphicFrameLocks noChangeAspect="1"/>
            </wp:cNvGraphicFramePr>
            <a:graphic>
              <a:graphicData uri="http://schemas.openxmlformats.org/drawingml/2006/picture">
                <pic:pic>
                  <pic:nvPicPr>
                    <pic:cNvPr id="0" name="eda_04_categorical_risk_factors.png"/>
                    <pic:cNvPicPr/>
                  </pic:nvPicPr>
                  <pic:blipFill>
                    <a:blip r:embed="rId13"/>
                    <a:stretch>
                      <a:fillRect/>
                    </a:stretch>
                  </pic:blipFill>
                  <pic:spPr>
                    <a:xfrm>
                      <a:off x="0" y="0"/>
                      <a:ext cx="5486400" cy="3743483"/>
                    </a:xfrm>
                    <a:prstGeom prst="rect"/>
                  </pic:spPr>
                </pic:pic>
              </a:graphicData>
            </a:graphic>
          </wp:inline>
        </w:drawing>
      </w:r>
    </w:p>
    <w:p>
      <w:r>
        <w:br w:type="page"/>
      </w:r>
    </w:p>
    <w:p>
      <w:pPr>
        <w:pStyle w:val="Heading1"/>
      </w:pPr>
      <w:r>
        <w:rPr>
          <w:color w:val="1B365D"/>
        </w:rPr>
        <w:t>4. Task 2: Domain-Specific Cardiovascular Feature Engineering</w:t>
      </w:r>
    </w:p>
    <w:p>
      <w:r>
        <w:t>The custom ClinicalFeatureEngineer transformer derives four physiological interaction features: (1) hr_reserve_ratio = thalach / (220 - age), (2) rate_pressure_product = (trestbps * thalach) / 1000, (3) chol_age_ratio = chol / age, and (4) st_depression_per_hr = oldpeak / (thalach / 100). All numeric features are imputed via median and scaled via StandardScaler; categorical features are imputed via mode and OneHotEncoded inside a unified ColumnTransformer.</w:t>
      </w:r>
    </w:p>
    <w:p>
      <w:pPr>
        <w:jc w:val="center"/>
      </w:pPr>
      <w:r>
        <w:drawing>
          <wp:inline xmlns:a="http://schemas.openxmlformats.org/drawingml/2006/main" xmlns:pic="http://schemas.openxmlformats.org/drawingml/2006/picture">
            <wp:extent cx="5760720" cy="2185466"/>
            <wp:docPr id="6" name="Picture 6"/>
            <wp:cNvGraphicFramePr>
              <a:graphicFrameLocks noChangeAspect="1"/>
            </wp:cNvGraphicFramePr>
            <a:graphic>
              <a:graphicData uri="http://schemas.openxmlformats.org/drawingml/2006/picture">
                <pic:pic>
                  <pic:nvPicPr>
                    <pic:cNvPr id="0" name="eda_05_multivariate_physiology.png"/>
                    <pic:cNvPicPr/>
                  </pic:nvPicPr>
                  <pic:blipFill>
                    <a:blip r:embed="rId14"/>
                    <a:stretch>
                      <a:fillRect/>
                    </a:stretch>
                  </pic:blipFill>
                  <pic:spPr>
                    <a:xfrm>
                      <a:off x="0" y="0"/>
                      <a:ext cx="5760720" cy="2185466"/>
                    </a:xfrm>
                    <a:prstGeom prst="rect"/>
                  </pic:spPr>
                </pic:pic>
              </a:graphicData>
            </a:graphic>
          </wp:inline>
        </w:drawing>
      </w:r>
    </w:p>
    <w:p>
      <w:r>
        <w:br w:type="page"/>
      </w:r>
    </w:p>
    <w:p>
      <w:pPr>
        <w:pStyle w:val="Heading1"/>
      </w:pPr>
      <w:r>
        <w:rPr>
          <w:color w:val="1B365D"/>
        </w:rPr>
        <w:t>5. Task 2 &amp; Task 3: Cross-Validation Benchmark &amp; Diagnostic Curves</w:t>
      </w:r>
    </w:p>
    <w:tbl>
      <w:tblPr>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t>Model</w:t>
            </w:r>
          </w:p>
        </w:tc>
        <w:tc>
          <w:tcPr>
            <w:tcW w:type="dxa" w:w="1481"/>
          </w:tcPr>
          <w:p>
            <w:r>
              <w:t>CV ROC-AUC</w:t>
            </w:r>
          </w:p>
        </w:tc>
        <w:tc>
          <w:tcPr>
            <w:tcW w:type="dxa" w:w="1481"/>
          </w:tcPr>
          <w:p>
            <w:r>
              <w:t>Test ROC-AUC</w:t>
            </w:r>
          </w:p>
        </w:tc>
        <w:tc>
          <w:tcPr>
            <w:tcW w:type="dxa" w:w="1481"/>
          </w:tcPr>
          <w:p>
            <w:r>
              <w:t>Accuracy</w:t>
            </w:r>
          </w:p>
        </w:tc>
        <w:tc>
          <w:tcPr>
            <w:tcW w:type="dxa" w:w="1481"/>
          </w:tcPr>
          <w:p>
            <w:r>
              <w:t>Precision</w:t>
            </w:r>
          </w:p>
        </w:tc>
        <w:tc>
          <w:tcPr>
            <w:tcW w:type="dxa" w:w="1481"/>
          </w:tcPr>
          <w:p>
            <w:r>
              <w:t>Recall</w:t>
            </w:r>
          </w:p>
        </w:tc>
        <w:tc>
          <w:tcPr>
            <w:tcW w:type="dxa" w:w="1481"/>
          </w:tcPr>
          <w:p>
            <w:r>
              <w:t>F1-Score</w:t>
            </w:r>
          </w:p>
        </w:tc>
      </w:tr>
      <w:tr>
        <w:tc>
          <w:tcPr>
            <w:tcW w:type="dxa" w:w="1481"/>
          </w:tcPr>
          <w:p>
            <w:r>
              <w:t>Logistic Regression</w:t>
            </w:r>
          </w:p>
        </w:tc>
        <w:tc>
          <w:tcPr>
            <w:tcW w:type="dxa" w:w="1481"/>
          </w:tcPr>
          <w:p>
            <w:r>
              <w:t>0.9011 (±0.0138)</w:t>
            </w:r>
          </w:p>
        </w:tc>
        <w:tc>
          <w:tcPr>
            <w:tcW w:type="dxa" w:w="1481"/>
          </w:tcPr>
          <w:p>
            <w:r>
              <w:t>0.9697</w:t>
            </w:r>
          </w:p>
        </w:tc>
        <w:tc>
          <w:tcPr>
            <w:tcW w:type="dxa" w:w="1481"/>
          </w:tcPr>
          <w:p>
            <w:r>
              <w:t>0.8852</w:t>
            </w:r>
          </w:p>
        </w:tc>
        <w:tc>
          <w:tcPr>
            <w:tcW w:type="dxa" w:w="1481"/>
          </w:tcPr>
          <w:p>
            <w:r>
              <w:t>0.8387</w:t>
            </w:r>
          </w:p>
        </w:tc>
        <w:tc>
          <w:tcPr>
            <w:tcW w:type="dxa" w:w="1481"/>
          </w:tcPr>
          <w:p>
            <w:r>
              <w:t>0.9286</w:t>
            </w:r>
          </w:p>
        </w:tc>
        <w:tc>
          <w:tcPr>
            <w:tcW w:type="dxa" w:w="1481"/>
          </w:tcPr>
          <w:p>
            <w:r>
              <w:t>0.8814</w:t>
            </w:r>
          </w:p>
        </w:tc>
      </w:tr>
      <w:tr>
        <w:tc>
          <w:tcPr>
            <w:tcW w:type="dxa" w:w="1481"/>
          </w:tcPr>
          <w:p>
            <w:r>
              <w:t>Random Forest</w:t>
            </w:r>
          </w:p>
        </w:tc>
        <w:tc>
          <w:tcPr>
            <w:tcW w:type="dxa" w:w="1481"/>
          </w:tcPr>
          <w:p>
            <w:r>
              <w:t>0.8977 (±0.0236)</w:t>
            </w:r>
          </w:p>
        </w:tc>
        <w:tc>
          <w:tcPr>
            <w:tcW w:type="dxa" w:w="1481"/>
          </w:tcPr>
          <w:p>
            <w:r>
              <w:t>0.9654</w:t>
            </w:r>
          </w:p>
        </w:tc>
        <w:tc>
          <w:tcPr>
            <w:tcW w:type="dxa" w:w="1481"/>
          </w:tcPr>
          <w:p>
            <w:r>
              <w:t>0.9180</w:t>
            </w:r>
          </w:p>
        </w:tc>
        <w:tc>
          <w:tcPr>
            <w:tcW w:type="dxa" w:w="1481"/>
          </w:tcPr>
          <w:p>
            <w:r>
              <w:t>0.8966</w:t>
            </w:r>
          </w:p>
        </w:tc>
        <w:tc>
          <w:tcPr>
            <w:tcW w:type="dxa" w:w="1481"/>
          </w:tcPr>
          <w:p>
            <w:r>
              <w:t>0.9286</w:t>
            </w:r>
          </w:p>
        </w:tc>
        <w:tc>
          <w:tcPr>
            <w:tcW w:type="dxa" w:w="1481"/>
          </w:tcPr>
          <w:p>
            <w:r>
              <w:t>0.9123</w:t>
            </w:r>
          </w:p>
        </w:tc>
      </w:tr>
      <w:tr>
        <w:tc>
          <w:tcPr>
            <w:tcW w:type="dxa" w:w="1481"/>
          </w:tcPr>
          <w:p>
            <w:r>
              <w:t>Gradient Boosting</w:t>
            </w:r>
          </w:p>
        </w:tc>
        <w:tc>
          <w:tcPr>
            <w:tcW w:type="dxa" w:w="1481"/>
          </w:tcPr>
          <w:p>
            <w:r>
              <w:t>0.8840 (±0.0272)</w:t>
            </w:r>
          </w:p>
        </w:tc>
        <w:tc>
          <w:tcPr>
            <w:tcW w:type="dxa" w:w="1481"/>
          </w:tcPr>
          <w:p>
            <w:r>
              <w:t>0.9545</w:t>
            </w:r>
          </w:p>
        </w:tc>
        <w:tc>
          <w:tcPr>
            <w:tcW w:type="dxa" w:w="1481"/>
          </w:tcPr>
          <w:p>
            <w:r>
              <w:t>0.8689</w:t>
            </w:r>
          </w:p>
        </w:tc>
        <w:tc>
          <w:tcPr>
            <w:tcW w:type="dxa" w:w="1481"/>
          </w:tcPr>
          <w:p>
            <w:r>
              <w:t>0.8571</w:t>
            </w:r>
          </w:p>
        </w:tc>
        <w:tc>
          <w:tcPr>
            <w:tcW w:type="dxa" w:w="1481"/>
          </w:tcPr>
          <w:p>
            <w:r>
              <w:t>0.8571</w:t>
            </w:r>
          </w:p>
        </w:tc>
        <w:tc>
          <w:tcPr>
            <w:tcW w:type="dxa" w:w="1481"/>
          </w:tcPr>
          <w:p>
            <w:r>
              <w:t>0.8571</w:t>
            </w:r>
          </w:p>
        </w:tc>
      </w:tr>
    </w:tbl>
    <w:p>
      <w:pPr>
        <w:jc w:val="center"/>
      </w:pPr>
      <w:r>
        <w:drawing>
          <wp:inline xmlns:a="http://schemas.openxmlformats.org/drawingml/2006/main" xmlns:pic="http://schemas.openxmlformats.org/drawingml/2006/picture">
            <wp:extent cx="5669280" cy="2344230"/>
            <wp:docPr id="7" name="Picture 7"/>
            <wp:cNvGraphicFramePr>
              <a:graphicFrameLocks noChangeAspect="1"/>
            </wp:cNvGraphicFramePr>
            <a:graphic>
              <a:graphicData uri="http://schemas.openxmlformats.org/drawingml/2006/picture">
                <pic:pic>
                  <pic:nvPicPr>
                    <pic:cNvPr id="0" name="model_01_roc_and_pr_comparison.png"/>
                    <pic:cNvPicPr/>
                  </pic:nvPicPr>
                  <pic:blipFill>
                    <a:blip r:embed="rId15"/>
                    <a:stretch>
                      <a:fillRect/>
                    </a:stretch>
                  </pic:blipFill>
                  <pic:spPr>
                    <a:xfrm>
                      <a:off x="0" y="0"/>
                      <a:ext cx="5669280" cy="2344230"/>
                    </a:xfrm>
                    <a:prstGeom prst="rect"/>
                  </pic:spPr>
                </pic:pic>
              </a:graphicData>
            </a:graphic>
          </wp:inline>
        </w:drawing>
      </w:r>
    </w:p>
    <w:p>
      <w:pPr>
        <w:jc w:val="center"/>
      </w:pPr>
      <w:r>
        <w:drawing>
          <wp:inline xmlns:a="http://schemas.openxmlformats.org/drawingml/2006/main" xmlns:pic="http://schemas.openxmlformats.org/drawingml/2006/picture">
            <wp:extent cx="5669280" cy="2574203"/>
            <wp:docPr id="8" name="Picture 8"/>
            <wp:cNvGraphicFramePr>
              <a:graphicFrameLocks noChangeAspect="1"/>
            </wp:cNvGraphicFramePr>
            <a:graphic>
              <a:graphicData uri="http://schemas.openxmlformats.org/drawingml/2006/picture">
                <pic:pic>
                  <pic:nvPicPr>
                    <pic:cNvPr id="0" name="model_02_cv_and_test_metrics.png"/>
                    <pic:cNvPicPr/>
                  </pic:nvPicPr>
                  <pic:blipFill>
                    <a:blip r:embed="rId16"/>
                    <a:stretch>
                      <a:fillRect/>
                    </a:stretch>
                  </pic:blipFill>
                  <pic:spPr>
                    <a:xfrm>
                      <a:off x="0" y="0"/>
                      <a:ext cx="5669280" cy="2574203"/>
                    </a:xfrm>
                    <a:prstGeom prst="rect"/>
                  </pic:spPr>
                </pic:pic>
              </a:graphicData>
            </a:graphic>
          </wp:inline>
        </w:drawing>
      </w:r>
    </w:p>
    <w:p>
      <w:r>
        <w:br w:type="page"/>
      </w:r>
    </w:p>
    <w:p>
      <w:pPr>
        <w:pStyle w:val="Heading1"/>
      </w:pPr>
      <w:r>
        <w:rPr>
          <w:color w:val="1B365D"/>
        </w:rPr>
        <w:t>6. Task 3 &amp; Task 4: MLflow Experiment Tracking &amp; Model Packaging</w:t>
      </w:r>
    </w:p>
    <w:p>
      <w:r>
        <w:t>Winning Model: Logistic Regression. Packaged as a self-contained scikit-learn Pipeline in models/heart_disease_pipeline.joblib and logged to MLflow with full parameter, metric, and diagnostic plot artifacts.</w:t>
      </w:r>
    </w:p>
    <w:p>
      <w:pPr>
        <w:jc w:val="center"/>
      </w:pPr>
      <w:r>
        <w:drawing>
          <wp:inline xmlns:a="http://schemas.openxmlformats.org/drawingml/2006/main" xmlns:pic="http://schemas.openxmlformats.org/drawingml/2006/picture">
            <wp:extent cx="5760720" cy="2200484"/>
            <wp:docPr id="9" name="Picture 9"/>
            <wp:cNvGraphicFramePr>
              <a:graphicFrameLocks noChangeAspect="1"/>
            </wp:cNvGraphicFramePr>
            <a:graphic>
              <a:graphicData uri="http://schemas.openxmlformats.org/drawingml/2006/picture">
                <pic:pic>
                  <pic:nvPicPr>
                    <pic:cNvPr id="0" name="mlflow_experiment_tracking_dashboard.png"/>
                    <pic:cNvPicPr/>
                  </pic:nvPicPr>
                  <pic:blipFill>
                    <a:blip r:embed="rId17"/>
                    <a:stretch>
                      <a:fillRect/>
                    </a:stretch>
                  </pic:blipFill>
                  <pic:spPr>
                    <a:xfrm>
                      <a:off x="0" y="0"/>
                      <a:ext cx="5760720" cy="2200484"/>
                    </a:xfrm>
                    <a:prstGeom prst="rect"/>
                  </pic:spPr>
                </pic:pic>
              </a:graphicData>
            </a:graphic>
          </wp:inline>
        </w:drawing>
      </w:r>
    </w:p>
    <w:p>
      <w:pPr>
        <w:jc w:val="center"/>
      </w:pPr>
      <w:r>
        <w:drawing>
          <wp:inline xmlns:a="http://schemas.openxmlformats.org/drawingml/2006/main" xmlns:pic="http://schemas.openxmlformats.org/drawingml/2006/picture">
            <wp:extent cx="5760720" cy="1894522"/>
            <wp:docPr id="10" name="Picture 10"/>
            <wp:cNvGraphicFramePr>
              <a:graphicFrameLocks noChangeAspect="1"/>
            </wp:cNvGraphicFramePr>
            <a:graphic>
              <a:graphicData uri="http://schemas.openxmlformats.org/drawingml/2006/picture">
                <pic:pic>
                  <pic:nvPicPr>
                    <pic:cNvPr id="0" name="model_03_confusion_matrices.png"/>
                    <pic:cNvPicPr/>
                  </pic:nvPicPr>
                  <pic:blipFill>
                    <a:blip r:embed="rId18"/>
                    <a:stretch>
                      <a:fillRect/>
                    </a:stretch>
                  </pic:blipFill>
                  <pic:spPr>
                    <a:xfrm>
                      <a:off x="0" y="0"/>
                      <a:ext cx="5760720" cy="1894522"/>
                    </a:xfrm>
                    <a:prstGeom prst="rect"/>
                  </pic:spPr>
                </pic:pic>
              </a:graphicData>
            </a:graphic>
          </wp:inline>
        </w:drawing>
      </w:r>
    </w:p>
    <w:p>
      <w:pPr>
        <w:jc w:val="center"/>
      </w:pPr>
      <w:r>
        <w:drawing>
          <wp:inline xmlns:a="http://schemas.openxmlformats.org/drawingml/2006/main" xmlns:pic="http://schemas.openxmlformats.org/drawingml/2006/picture">
            <wp:extent cx="4754880" cy="2820729"/>
            <wp:docPr id="11" name="Picture 11"/>
            <wp:cNvGraphicFramePr>
              <a:graphicFrameLocks noChangeAspect="1"/>
            </wp:cNvGraphicFramePr>
            <a:graphic>
              <a:graphicData uri="http://schemas.openxmlformats.org/drawingml/2006/picture">
                <pic:pic>
                  <pic:nvPicPr>
                    <pic:cNvPr id="0" name="model_04_feature_importances.png"/>
                    <pic:cNvPicPr/>
                  </pic:nvPicPr>
                  <pic:blipFill>
                    <a:blip r:embed="rId19"/>
                    <a:stretch>
                      <a:fillRect/>
                    </a:stretch>
                  </pic:blipFill>
                  <pic:spPr>
                    <a:xfrm>
                      <a:off x="0" y="0"/>
                      <a:ext cx="4754880" cy="2820729"/>
                    </a:xfrm>
                    <a:prstGeom prst="rect"/>
                  </pic:spPr>
                </pic:pic>
              </a:graphicData>
            </a:graphic>
          </wp:inline>
        </w:drawing>
      </w:r>
    </w:p>
    <w:p>
      <w:r>
        <w:br w:type="page"/>
      </w:r>
    </w:p>
    <w:p>
      <w:pPr>
        <w:pStyle w:val="Heading1"/>
      </w:pPr>
      <w:r>
        <w:rPr>
          <w:color w:val="1B365D"/>
        </w:rPr>
        <w:t>7. Task 5: CI/CD Pipeline &amp; Automated Testing</w:t>
      </w:r>
    </w:p>
    <w:p>
      <w:r>
        <w:t>GitHub Actions workflow (.github/workflows/mlops_pipeline.yml) automates flake8 linting, pytest unit/integration testing with coverage, model training verification, Docker build, and container smoke tests.</w:t>
      </w:r>
    </w:p>
    <w:p>
      <w:pPr>
        <w:jc w:val="center"/>
      </w:pPr>
      <w:r>
        <w:drawing>
          <wp:inline xmlns:a="http://schemas.openxmlformats.org/drawingml/2006/main" xmlns:pic="http://schemas.openxmlformats.org/drawingml/2006/picture">
            <wp:extent cx="5760720" cy="3114959"/>
            <wp:docPr id="12" name="Picture 12"/>
            <wp:cNvGraphicFramePr>
              <a:graphicFrameLocks noChangeAspect="1"/>
            </wp:cNvGraphicFramePr>
            <a:graphic>
              <a:graphicData uri="http://schemas.openxmlformats.org/drawingml/2006/picture">
                <pic:pic>
                  <pic:nvPicPr>
                    <pic:cNvPr id="0" name="cicd_and_pytest_verification.png"/>
                    <pic:cNvPicPr/>
                  </pic:nvPicPr>
                  <pic:blipFill>
                    <a:blip r:embed="rId20"/>
                    <a:stretch>
                      <a:fillRect/>
                    </a:stretch>
                  </pic:blipFill>
                  <pic:spPr>
                    <a:xfrm>
                      <a:off x="0" y="0"/>
                      <a:ext cx="5760720" cy="3114959"/>
                    </a:xfrm>
                    <a:prstGeom prst="rect"/>
                  </pic:spPr>
                </pic:pic>
              </a:graphicData>
            </a:graphic>
          </wp:inline>
        </w:drawing>
      </w:r>
    </w:p>
    <w:p>
      <w:r>
        <w:br w:type="page"/>
      </w:r>
    </w:p>
    <w:p>
      <w:pPr>
        <w:pStyle w:val="Heading1"/>
      </w:pPr>
      <w:r>
        <w:rPr>
          <w:color w:val="1B365D"/>
        </w:rPr>
        <w:t>8. Task 6: FastAPI Microservice &amp; Docker Containerization</w:t>
      </w:r>
    </w:p>
    <w:p>
      <w:r>
        <w:t>The FastAPI service exposes /predict, /predict/batch, /health, /metrics, and /dashboard inside a lightweight python:3.11-slim Docker container running as non-root appuser.</w:t>
      </w:r>
    </w:p>
    <w:p>
      <w:pPr>
        <w:jc w:val="center"/>
      </w:pPr>
      <w:r>
        <w:drawing>
          <wp:inline xmlns:a="http://schemas.openxmlformats.org/drawingml/2006/main" xmlns:pic="http://schemas.openxmlformats.org/drawingml/2006/picture">
            <wp:extent cx="5760720" cy="2842649"/>
            <wp:docPr id="13" name="Picture 13"/>
            <wp:cNvGraphicFramePr>
              <a:graphicFrameLocks noChangeAspect="1"/>
            </wp:cNvGraphicFramePr>
            <a:graphic>
              <a:graphicData uri="http://schemas.openxmlformats.org/drawingml/2006/picture">
                <pic:pic>
                  <pic:nvPicPr>
                    <pic:cNvPr id="0" name="docker_container_build_and_predict.png"/>
                    <pic:cNvPicPr/>
                  </pic:nvPicPr>
                  <pic:blipFill>
                    <a:blip r:embed="rId21"/>
                    <a:stretch>
                      <a:fillRect/>
                    </a:stretch>
                  </pic:blipFill>
                  <pic:spPr>
                    <a:xfrm>
                      <a:off x="0" y="0"/>
                      <a:ext cx="5760720" cy="2842649"/>
                    </a:xfrm>
                    <a:prstGeom prst="rect"/>
                  </pic:spPr>
                </pic:pic>
              </a:graphicData>
            </a:graphic>
          </wp:inline>
        </w:drawing>
      </w:r>
    </w:p>
    <w:p>
      <w:r>
        <w:br w:type="page"/>
      </w:r>
    </w:p>
    <w:p>
      <w:pPr>
        <w:pStyle w:val="Heading1"/>
      </w:pPr>
      <w:r>
        <w:rPr>
          <w:color w:val="1B365D"/>
        </w:rPr>
        <w:t>9. Task 7: Production Deployment on Kubernetes (Minikube &amp; Helm)</w:t>
      </w:r>
    </w:p>
    <w:p>
      <w:r>
        <w:t>Deployed onto Kubernetes (Minikube) using a 2-replica RollingUpdate Deployment, LoadBalancer Service (port 80 -&gt; 8000, NodePort 30080), Nginx Ingress, and Helm chart.</w:t>
      </w:r>
    </w:p>
    <w:p>
      <w:pPr>
        <w:jc w:val="center"/>
      </w:pPr>
      <w:r>
        <w:drawing>
          <wp:inline xmlns:a="http://schemas.openxmlformats.org/drawingml/2006/main" xmlns:pic="http://schemas.openxmlformats.org/drawingml/2006/picture">
            <wp:extent cx="5760720" cy="2559059"/>
            <wp:docPr id="14" name="Picture 14"/>
            <wp:cNvGraphicFramePr>
              <a:graphicFrameLocks noChangeAspect="1"/>
            </wp:cNvGraphicFramePr>
            <a:graphic>
              <a:graphicData uri="http://schemas.openxmlformats.org/drawingml/2006/picture">
                <pic:pic>
                  <pic:nvPicPr>
                    <pic:cNvPr id="0" name="kubernetes_deployment_verification.png"/>
                    <pic:cNvPicPr/>
                  </pic:nvPicPr>
                  <pic:blipFill>
                    <a:blip r:embed="rId22"/>
                    <a:stretch>
                      <a:fillRect/>
                    </a:stretch>
                  </pic:blipFill>
                  <pic:spPr>
                    <a:xfrm>
                      <a:off x="0" y="0"/>
                      <a:ext cx="5760720" cy="2559059"/>
                    </a:xfrm>
                    <a:prstGeom prst="rect"/>
                  </pic:spPr>
                </pic:pic>
              </a:graphicData>
            </a:graphic>
          </wp:inline>
        </w:drawing>
      </w:r>
    </w:p>
    <w:p>
      <w:r>
        <w:br w:type="page"/>
      </w:r>
    </w:p>
    <w:p>
      <w:pPr>
        <w:pStyle w:val="Heading1"/>
      </w:pPr>
      <w:r>
        <w:rPr>
          <w:color w:val="1B365D"/>
        </w:rPr>
        <w:t>10. Task 8 &amp; Task 9: Prometheus Monitoring, Audit Logging &amp; Summary</w:t>
      </w:r>
    </w:p>
    <w:p>
      <w:r>
        <w:t>Real-time monitoring is provided via Prometheus custom counters/histograms (/metrics), Grafana dashboard provisioning (monitoring/grafana_dashboard.json), structured JSON request logging (logs/api_requests.log), and the built-in HTML observability dashboard (/dashboard).</w:t>
      </w:r>
    </w:p>
    <w:p>
      <w:pPr>
        <w:jc w:val="center"/>
      </w:pPr>
      <w:r>
        <w:drawing>
          <wp:inline xmlns:a="http://schemas.openxmlformats.org/drawingml/2006/main" xmlns:pic="http://schemas.openxmlformats.org/drawingml/2006/picture">
            <wp:extent cx="5760720" cy="2760454"/>
            <wp:docPr id="15" name="Picture 15"/>
            <wp:cNvGraphicFramePr>
              <a:graphicFrameLocks noChangeAspect="1"/>
            </wp:cNvGraphicFramePr>
            <a:graphic>
              <a:graphicData uri="http://schemas.openxmlformats.org/drawingml/2006/picture">
                <pic:pic>
                  <pic:nvPicPr>
                    <pic:cNvPr id="0" name="prometheus_and_api_monitoring_dashboard.png"/>
                    <pic:cNvPicPr/>
                  </pic:nvPicPr>
                  <pic:blipFill>
                    <a:blip r:embed="rId23"/>
                    <a:stretch>
                      <a:fillRect/>
                    </a:stretch>
                  </pic:blipFill>
                  <pic:spPr>
                    <a:xfrm>
                      <a:off x="0" y="0"/>
                      <a:ext cx="5760720" cy="2760454"/>
                    </a:xfrm>
                    <a:prstGeom prst="rect"/>
                  </pic:spPr>
                </pic:pic>
              </a:graphicData>
            </a:graphic>
          </wp:inline>
        </w:drawing>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