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E3A8A"/>
          <w:sz w:val="48"/>
        </w:rPr>
        <w:t>PROJECT REQUIREMENTS &amp; TECHNICAL OVERVIEW</w:t>
      </w:r>
    </w:p>
    <w:p>
      <w:pPr>
        <w:spacing w:after="480"/>
        <w:jc w:val="center"/>
      </w:pPr>
      <w:r>
        <w:rPr>
          <w:rFonts w:ascii="Calibri" w:hAnsi="Calibri"/>
          <w:color w:val="4B5563"/>
          <w:sz w:val="28"/>
        </w:rPr>
        <w:t>International Conference Web Platform (ICSWHMH)</w:t>
        <w:br/>
        <w:t>Rajagiri College of Social Sciences</w:t>
      </w:r>
    </w:p>
    <w:p>
      <w:pPr>
        <w:spacing w:before="320" w:after="120"/>
      </w:pPr>
      <w:r>
        <w:rPr>
          <w:rFonts w:ascii="Calibri" w:hAnsi="Calibri"/>
          <w:b/>
          <w:color w:val="1E3A8A"/>
          <w:sz w:val="32"/>
        </w:rPr>
        <w:t>1. Executive Summary</w:t>
      </w:r>
    </w:p>
    <w:p>
      <w:pPr>
        <w:spacing w:after="200"/>
      </w:pPr>
      <w:r>
        <w:t>The International Conference Web Platform is a comprehensive digital solution designed for Rajagiri College of Social Sciences to manage and host the International Conference on Social Work, Health, and Mental Health (ICSWHMH). The system serves as the primary digital gateway for international delegates, researchers, keynote speakers, and organizers. It bridges public-facing informational modules with secure administrative back-end workflows, enabling seamless registration, abstract submissions, venue details, payment processing, and event administration.</w:t>
      </w:r>
    </w:p>
    <w:p>
      <w:pPr>
        <w:spacing w:before="320" w:after="120"/>
      </w:pPr>
      <w:r>
        <w:rPr>
          <w:rFonts w:ascii="Calibri" w:hAnsi="Calibri"/>
          <w:b/>
          <w:color w:val="1E3A8A"/>
          <w:sz w:val="32"/>
        </w:rPr>
        <w:t>2. Current Problem Statement</w:t>
      </w:r>
    </w:p>
    <w:p>
      <w:pPr>
        <w:spacing w:after="160"/>
      </w:pPr>
      <w:r>
        <w:t>Organizing large-scale international academic conferences poses severe operational and technological challenges when managed manually or via fragmented tools:</w:t>
      </w:r>
    </w:p>
    <w:p>
      <w:pPr>
        <w:pStyle w:val="ListBullet"/>
        <w:spacing w:after="80"/>
      </w:pPr>
      <w:r>
        <w:rPr>
          <w:b/>
          <w:color w:val="1E3A8A"/>
        </w:rPr>
        <w:t xml:space="preserve">Manual Delegate &amp; Abstract Management: </w:t>
      </w:r>
      <w:r>
        <w:rPr>
          <w:color w:val="2B2D42"/>
        </w:rPr>
        <w:t xml:space="preserve"> High risk of data mismatches, lost submission files, and manual entry errors during paper registrations.</w:t>
      </w:r>
    </w:p>
    <w:p>
      <w:pPr>
        <w:pStyle w:val="ListBullet"/>
        <w:spacing w:after="80"/>
      </w:pPr>
      <w:r>
        <w:rPr>
          <w:b/>
          <w:color w:val="1E3A8A"/>
        </w:rPr>
        <w:t xml:space="preserve">Unintegrated Payment Gateways: </w:t>
      </w:r>
      <w:r>
        <w:rPr>
          <w:color w:val="2B2D42"/>
        </w:rPr>
        <w:t xml:space="preserve"> Delay in payment verification for international and domestic currencies, leading to reconciliation conflicts.</w:t>
      </w:r>
    </w:p>
    <w:p>
      <w:pPr>
        <w:pStyle w:val="ListBullet"/>
        <w:spacing w:after="80"/>
      </w:pPr>
      <w:r>
        <w:rPr>
          <w:b/>
          <w:color w:val="1E3A8A"/>
        </w:rPr>
        <w:t xml:space="preserve">Fragmented Information Delivery: </w:t>
      </w:r>
      <w:r>
        <w:rPr>
          <w:color w:val="2B2D42"/>
        </w:rPr>
        <w:t xml:space="preserve"> International attendees lack a single centralized hub to view conference themes, schedules, hotel accommodations, and local tourist attraction details.</w:t>
      </w:r>
    </w:p>
    <w:p>
      <w:pPr>
        <w:pStyle w:val="ListBullet"/>
        <w:spacing w:after="80"/>
      </w:pPr>
      <w:r>
        <w:rPr>
          <w:b/>
          <w:color w:val="1E3A8A"/>
        </w:rPr>
        <w:t xml:space="preserve">Lack of Administrative Dashboard &amp; Insights: </w:t>
      </w:r>
      <w:r>
        <w:rPr>
          <w:color w:val="2B2D42"/>
        </w:rPr>
        <w:t xml:space="preserve"> Organizers lack real-time visibility into registration numbers, payment statuses, and delegate categorizations necessary for logistics planning.</w:t>
      </w:r>
    </w:p>
    <w:p>
      <w:pPr>
        <w:spacing w:before="320" w:after="120"/>
      </w:pPr>
      <w:r>
        <w:rPr>
          <w:rFonts w:ascii="Calibri" w:hAnsi="Calibri"/>
          <w:b/>
          <w:color w:val="1E3A8A"/>
          <w:sz w:val="32"/>
        </w:rPr>
        <w:t>3. Core Objectives</w:t>
      </w:r>
    </w:p>
    <w:p>
      <w:pPr>
        <w:spacing w:after="160"/>
      </w:pPr>
      <w:r>
        <w:t>The primary objectives of the project are as follows:</w:t>
      </w:r>
    </w:p>
    <w:p>
      <w:pPr>
        <w:pStyle w:val="ListBullet"/>
        <w:spacing w:after="80"/>
      </w:pPr>
      <w:r>
        <w:rPr>
          <w:b/>
          <w:color w:val="1E3A8A"/>
        </w:rPr>
        <w:t xml:space="preserve">Centralized Information Hub: </w:t>
      </w:r>
      <w:r>
        <w:rPr>
          <w:color w:val="2B2D42"/>
        </w:rPr>
        <w:t xml:space="preserve"> Provide a responsive, high-performance web platform detailing conference schedules, keynotes, themes, topics, and venue guides.</w:t>
      </w:r>
    </w:p>
    <w:p>
      <w:pPr>
        <w:pStyle w:val="ListBullet"/>
        <w:spacing w:after="80"/>
      </w:pPr>
      <w:r>
        <w:rPr>
          <w:b/>
          <w:color w:val="1E3A8A"/>
        </w:rPr>
        <w:t xml:space="preserve">Digital Abstract Submission &amp; Registration: </w:t>
      </w:r>
      <w:r>
        <w:rPr>
          <w:color w:val="2B2D42"/>
        </w:rPr>
        <w:t xml:space="preserve"> Offer an intuitive web form allowing attendees to submit paper abstracts, personal details, and delegate classifications.</w:t>
      </w:r>
    </w:p>
    <w:p>
      <w:pPr>
        <w:pStyle w:val="ListBullet"/>
        <w:spacing w:after="80"/>
      </w:pPr>
      <w:r>
        <w:rPr>
          <w:b/>
          <w:color w:val="1E3A8A"/>
        </w:rPr>
        <w:t xml:space="preserve">Automated Payment Integration: </w:t>
      </w:r>
      <w:r>
        <w:rPr>
          <w:color w:val="2B2D42"/>
        </w:rPr>
        <w:t xml:space="preserve"> Seamlessly integrate Razorpay API to process real-time registration fee payments securely with automated tracking.</w:t>
      </w:r>
    </w:p>
    <w:p>
      <w:pPr>
        <w:pStyle w:val="ListBullet"/>
        <w:spacing w:after="80"/>
      </w:pPr>
      <w:r>
        <w:rPr>
          <w:b/>
          <w:color w:val="1E3A8A"/>
        </w:rPr>
        <w:t xml:space="preserve">Robust Administrative Backend: </w:t>
      </w:r>
      <w:r>
        <w:rPr>
          <w:color w:val="2B2D42"/>
        </w:rPr>
        <w:t xml:space="preserve"> Provide administrators with a secure dashboard to monitor live registration statistics, verify candidate records, update settings, and export attendee data.</w:t>
      </w:r>
    </w:p>
    <w:p>
      <w:pPr>
        <w:pStyle w:val="ListBullet"/>
        <w:spacing w:after="80"/>
      </w:pPr>
      <w:r>
        <w:rPr>
          <w:b/>
          <w:color w:val="1E3A8A"/>
        </w:rPr>
        <w:t xml:space="preserve">Security &amp; Scalability: </w:t>
      </w:r>
      <w:r>
        <w:rPr>
          <w:color w:val="2B2D42"/>
        </w:rPr>
        <w:t xml:space="preserve"> Ensure data privacy, robust environment configuration handling, cross-browser compatibility, and mobile responsiveness.</w:t>
      </w:r>
    </w:p>
    <w:p>
      <w:pPr>
        <w:spacing w:before="320" w:after="120"/>
      </w:pPr>
      <w:r>
        <w:rPr>
          <w:rFonts w:ascii="Calibri" w:hAnsi="Calibri"/>
          <w:b/>
          <w:color w:val="1E3A8A"/>
          <w:sz w:val="32"/>
        </w:rPr>
        <w:t>4. Scope of Work</w:t>
      </w:r>
    </w:p>
    <w:p>
      <w:pPr>
        <w:spacing w:before="240" w:after="80"/>
      </w:pPr>
      <w:r>
        <w:rPr>
          <w:rFonts w:ascii="Calibri" w:hAnsi="Calibri"/>
          <w:b/>
          <w:color w:val="2563EB"/>
          <w:sz w:val="26"/>
        </w:rPr>
        <w:t>4.1 In-Scope Features</w:t>
      </w:r>
    </w:p>
    <w:p>
      <w:pPr>
        <w:pStyle w:val="ListBullet"/>
        <w:spacing w:after="80"/>
      </w:pPr>
      <w:r>
        <w:rPr>
          <w:b/>
          <w:color w:val="1E3A8A"/>
        </w:rPr>
        <w:t xml:space="preserve">1. Informational &amp; Marketing Portal: </w:t>
      </w:r>
      <w:r>
        <w:rPr>
          <w:color w:val="2B2D42"/>
        </w:rPr>
        <w:t>Public Landing Page (index.html), Themes &amp; Sub-themes (themes.html, topics.html), Abstract Guidelines (abstract.html), Committee details, Tourist Attractions, and Hotel Guides.</w:t>
      </w:r>
    </w:p>
    <w:p>
      <w:pPr>
        <w:pStyle w:val="ListBullet"/>
        <w:spacing w:after="80"/>
      </w:pPr>
      <w:r>
        <w:rPr>
          <w:b/>
          <w:color w:val="1E3A8A"/>
        </w:rPr>
        <w:t xml:space="preserve">2. Delegate Registration System: </w:t>
      </w:r>
      <w:r>
        <w:rPr>
          <w:color w:val="2B2D42"/>
        </w:rPr>
        <w:t>Dynamic registration forms (registration.html/php) with live email verification (check_email.php) and registration database storage (save_registration.php).</w:t>
      </w:r>
    </w:p>
    <w:p>
      <w:pPr>
        <w:pStyle w:val="ListBullet"/>
        <w:spacing w:after="80"/>
      </w:pPr>
      <w:r>
        <w:rPr>
          <w:b/>
          <w:color w:val="1E3A8A"/>
        </w:rPr>
        <w:t xml:space="preserve">3. Payment Processing Engine: </w:t>
      </w:r>
      <w:r>
        <w:rPr>
          <w:color w:val="2B2D42"/>
        </w:rPr>
        <w:t>Integration with Razorpay SDK (process_payment.php, razorpay/ folder) supporting multi-currency/tier payments and transaction verification (view_transaction.php).</w:t>
      </w:r>
    </w:p>
    <w:p>
      <w:pPr>
        <w:pStyle w:val="ListBullet"/>
        <w:spacing w:after="80"/>
      </w:pPr>
      <w:r>
        <w:rPr>
          <w:b/>
          <w:color w:val="1E3A8A"/>
        </w:rPr>
        <w:t xml:space="preserve">4. Admin Control Panel: </w:t>
      </w:r>
      <w:r>
        <w:rPr>
          <w:color w:val="2B2D42"/>
        </w:rPr>
        <w:t>Protected management area (admin/) for viewing registration lists, filtering delegates, managing configuration variables, and exporting data.</w:t>
      </w:r>
    </w:p>
    <w:p>
      <w:pPr>
        <w:pStyle w:val="ListBullet"/>
        <w:spacing w:after="80"/>
      </w:pPr>
      <w:r>
        <w:rPr>
          <w:b/>
          <w:color w:val="1E3A8A"/>
        </w:rPr>
        <w:t xml:space="preserve">5. Core Infrastructure: </w:t>
      </w:r>
      <w:r>
        <w:rPr>
          <w:color w:val="2B2D42"/>
        </w:rPr>
        <w:t>Centralized configuration management using environment variables (.env / .env.example) and structured database architecture (backend/db.php).</w:t>
      </w:r>
    </w:p>
    <w:p>
      <w:pPr>
        <w:spacing w:before="240" w:after="80"/>
      </w:pPr>
      <w:r>
        <w:rPr>
          <w:rFonts w:ascii="Calibri" w:hAnsi="Calibri"/>
          <w:b/>
          <w:color w:val="2563EB"/>
          <w:sz w:val="26"/>
        </w:rPr>
        <w:t>4.2 Out-of-Scope (Future Enhancements)</w:t>
      </w:r>
    </w:p>
    <w:p>
      <w:pPr>
        <w:pStyle w:val="ListBullet"/>
        <w:spacing w:after="80"/>
      </w:pPr>
      <w:r>
        <w:rPr>
          <w:b/>
          <w:color w:val="1E3A8A"/>
        </w:rPr>
        <w:t xml:space="preserve">1. Full Peer-Review Workflow: </w:t>
      </w:r>
      <w:r>
        <w:rPr>
          <w:color w:val="2B2D42"/>
        </w:rPr>
        <w:t>Automated peer-review assignment engine for scientific committee members.</w:t>
      </w:r>
    </w:p>
    <w:p>
      <w:pPr>
        <w:pStyle w:val="ListBullet"/>
        <w:spacing w:after="80"/>
      </w:pPr>
      <w:r>
        <w:rPr>
          <w:b/>
          <w:color w:val="1E3A8A"/>
        </w:rPr>
        <w:t xml:space="preserve">2. Virtual Conference Video Streaming: </w:t>
      </w:r>
      <w:r>
        <w:rPr>
          <w:color w:val="2B2D42"/>
        </w:rPr>
        <w:t>In-app live streaming or virtual conference video room integrations.</w:t>
      </w:r>
    </w:p>
    <w:p>
      <w:pPr>
        <w:pStyle w:val="ListBullet"/>
        <w:spacing w:after="80"/>
      </w:pPr>
      <w:r>
        <w:rPr>
          <w:b/>
          <w:color w:val="1E3A8A"/>
        </w:rPr>
        <w:t xml:space="preserve">3. Automated Certificate Generation: </w:t>
      </w:r>
      <w:r>
        <w:rPr>
          <w:color w:val="2B2D42"/>
        </w:rPr>
        <w:t>Automated generation and emailing of conference participation certificates.</w:t>
      </w:r>
    </w:p>
    <w:p>
      <w:pPr>
        <w:spacing w:before="320" w:after="120"/>
      </w:pPr>
      <w:r>
        <w:rPr>
          <w:rFonts w:ascii="Calibri" w:hAnsi="Calibri"/>
          <w:b/>
          <w:color w:val="1E3A8A"/>
          <w:sz w:val="32"/>
        </w:rPr>
        <w:t>5.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r>
              <w:rPr>
                <w:b/>
                <w:color w:val="FFFFFF"/>
              </w:rPr>
              <w:t>Layer / Component</w:t>
            </w:r>
          </w:p>
        </w:tc>
        <w:tc>
          <w:tcPr>
            <w:tcW w:type="dxa" w:w="3120"/>
            <w:shd w:val="clear" w:color="auto" w:fill="1E3A8A"/>
            <w:tcMar>
              <w:top w:w="120" w:type="dxa"/>
              <w:bottom w:w="120" w:type="dxa"/>
              <w:left w:w="150" w:type="dxa"/>
              <w:right w:w="150" w:type="dxa"/>
            </w:tcMar>
          </w:tcPr>
          <w:p>
            <w:r>
              <w:rPr>
                <w:b/>
                <w:color w:val="FFFFFF"/>
              </w:rPr>
              <w:t>Technology Used</w:t>
            </w:r>
          </w:p>
        </w:tc>
        <w:tc>
          <w:tcPr>
            <w:tcW w:type="dxa" w:w="3120"/>
            <w:shd w:val="clear" w:color="auto" w:fill="1E3A8A"/>
            <w:tcMar>
              <w:top w:w="120" w:type="dxa"/>
              <w:bottom w:w="120" w:type="dxa"/>
              <w:left w:w="150" w:type="dxa"/>
              <w:right w:w="150" w:type="dxa"/>
            </w:tcMar>
          </w:tcPr>
          <w:p>
            <w:r>
              <w:rPr>
                <w:b/>
                <w:color w:val="FFFFFF"/>
              </w:rPr>
              <w:t>Purpose / Rationale</w:t>
            </w:r>
          </w:p>
        </w:tc>
      </w:tr>
      <w:tr>
        <w:tc>
          <w:tcPr>
            <w:tcW w:type="dxa" w:w="3120"/>
            <w:shd w:val="clear" w:color="auto" w:fill="FFFFFF"/>
            <w:tcMar>
              <w:top w:w="100" w:type="dxa"/>
              <w:bottom w:w="100" w:type="dxa"/>
              <w:left w:w="150" w:type="dxa"/>
              <w:right w:w="150" w:type="dxa"/>
            </w:tcMar>
          </w:tcPr>
          <w:p>
            <w:r>
              <w:rPr>
                <w:color w:val="374151"/>
                <w:sz w:val="20"/>
              </w:rPr>
              <w:t>Frontend UI / UX</w:t>
            </w:r>
          </w:p>
        </w:tc>
        <w:tc>
          <w:tcPr>
            <w:tcW w:type="dxa" w:w="3120"/>
            <w:shd w:val="clear" w:color="auto" w:fill="FFFFFF"/>
            <w:tcMar>
              <w:top w:w="100" w:type="dxa"/>
              <w:bottom w:w="100" w:type="dxa"/>
              <w:left w:w="150" w:type="dxa"/>
              <w:right w:w="150" w:type="dxa"/>
            </w:tcMar>
          </w:tcPr>
          <w:p>
            <w:r>
              <w:rPr>
                <w:color w:val="374151"/>
                <w:sz w:val="20"/>
              </w:rPr>
              <w:t>HTML5, CSS3, JavaScript (Vanilla ES6), FontAwesome</w:t>
            </w:r>
          </w:p>
        </w:tc>
        <w:tc>
          <w:tcPr>
            <w:tcW w:type="dxa" w:w="3120"/>
            <w:shd w:val="clear" w:color="auto" w:fill="FFFFFF"/>
            <w:tcMar>
              <w:top w:w="100" w:type="dxa"/>
              <w:bottom w:w="100" w:type="dxa"/>
              <w:left w:w="150" w:type="dxa"/>
              <w:right w:w="150" w:type="dxa"/>
            </w:tcMar>
          </w:tcPr>
          <w:p>
            <w:r>
              <w:rPr>
                <w:color w:val="374151"/>
                <w:sz w:val="20"/>
              </w:rPr>
              <w:t>Responsive, fast-loading, dynamic user interface without heavy client framework overhead.</w:t>
            </w:r>
          </w:p>
        </w:tc>
      </w:tr>
      <w:tr>
        <w:tc>
          <w:tcPr>
            <w:tcW w:type="dxa" w:w="3120"/>
            <w:shd w:val="clear" w:color="auto" w:fill="F9FAFB"/>
            <w:tcMar>
              <w:top w:w="100" w:type="dxa"/>
              <w:bottom w:w="100" w:type="dxa"/>
              <w:left w:w="150" w:type="dxa"/>
              <w:right w:w="150" w:type="dxa"/>
            </w:tcMar>
          </w:tcPr>
          <w:p>
            <w:r>
              <w:rPr>
                <w:color w:val="374151"/>
                <w:sz w:val="20"/>
              </w:rPr>
              <w:t>Backend Scripting</w:t>
            </w:r>
          </w:p>
        </w:tc>
        <w:tc>
          <w:tcPr>
            <w:tcW w:type="dxa" w:w="3120"/>
            <w:shd w:val="clear" w:color="auto" w:fill="F9FAFB"/>
            <w:tcMar>
              <w:top w:w="100" w:type="dxa"/>
              <w:bottom w:w="100" w:type="dxa"/>
              <w:left w:w="150" w:type="dxa"/>
              <w:right w:w="150" w:type="dxa"/>
            </w:tcMar>
          </w:tcPr>
          <w:p>
            <w:r>
              <w:rPr>
                <w:color w:val="374151"/>
                <w:sz w:val="20"/>
              </w:rPr>
              <w:t>PHP 8.x (Modular Scripts)</w:t>
            </w:r>
          </w:p>
        </w:tc>
        <w:tc>
          <w:tcPr>
            <w:tcW w:type="dxa" w:w="3120"/>
            <w:shd w:val="clear" w:color="auto" w:fill="F9FAFB"/>
            <w:tcMar>
              <w:top w:w="100" w:type="dxa"/>
              <w:bottom w:w="100" w:type="dxa"/>
              <w:left w:w="150" w:type="dxa"/>
              <w:right w:w="150" w:type="dxa"/>
            </w:tcMar>
          </w:tcPr>
          <w:p>
            <w:r>
              <w:rPr>
                <w:color w:val="374151"/>
                <w:sz w:val="20"/>
              </w:rPr>
              <w:t>Lightweight, reliable server-side processing for form handling, payment webhooks, and DB interactions.</w:t>
            </w:r>
          </w:p>
        </w:tc>
      </w:tr>
      <w:tr>
        <w:tc>
          <w:tcPr>
            <w:tcW w:type="dxa" w:w="3120"/>
            <w:shd w:val="clear" w:color="auto" w:fill="FFFFFF"/>
            <w:tcMar>
              <w:top w:w="100" w:type="dxa"/>
              <w:bottom w:w="100" w:type="dxa"/>
              <w:left w:w="150" w:type="dxa"/>
              <w:right w:w="150" w:type="dxa"/>
            </w:tcMar>
          </w:tcPr>
          <w:p>
            <w:r>
              <w:rPr>
                <w:color w:val="374151"/>
                <w:sz w:val="20"/>
              </w:rPr>
              <w:t>Database Management</w:t>
            </w:r>
          </w:p>
        </w:tc>
        <w:tc>
          <w:tcPr>
            <w:tcW w:type="dxa" w:w="3120"/>
            <w:shd w:val="clear" w:color="auto" w:fill="FFFFFF"/>
            <w:tcMar>
              <w:top w:w="100" w:type="dxa"/>
              <w:bottom w:w="100" w:type="dxa"/>
              <w:left w:w="150" w:type="dxa"/>
              <w:right w:w="150" w:type="dxa"/>
            </w:tcMar>
          </w:tcPr>
          <w:p>
            <w:r>
              <w:rPr>
                <w:color w:val="374151"/>
                <w:sz w:val="20"/>
              </w:rPr>
              <w:t>MySQL / MariaDB (PDO Driver)</w:t>
            </w:r>
          </w:p>
        </w:tc>
        <w:tc>
          <w:tcPr>
            <w:tcW w:type="dxa" w:w="3120"/>
            <w:shd w:val="clear" w:color="auto" w:fill="FFFFFF"/>
            <w:tcMar>
              <w:top w:w="100" w:type="dxa"/>
              <w:bottom w:w="100" w:type="dxa"/>
              <w:left w:w="150" w:type="dxa"/>
              <w:right w:w="150" w:type="dxa"/>
            </w:tcMar>
          </w:tcPr>
          <w:p>
            <w:r>
              <w:rPr>
                <w:color w:val="374151"/>
                <w:sz w:val="20"/>
              </w:rPr>
              <w:t>Relational storage for delegates, payments, and abstracts with prepared statements against SQL injection.</w:t>
            </w:r>
          </w:p>
        </w:tc>
      </w:tr>
      <w:tr>
        <w:tc>
          <w:tcPr>
            <w:tcW w:type="dxa" w:w="3120"/>
            <w:shd w:val="clear" w:color="auto" w:fill="F9FAFB"/>
            <w:tcMar>
              <w:top w:w="100" w:type="dxa"/>
              <w:bottom w:w="100" w:type="dxa"/>
              <w:left w:w="150" w:type="dxa"/>
              <w:right w:w="150" w:type="dxa"/>
            </w:tcMar>
          </w:tcPr>
          <w:p>
            <w:r>
              <w:rPr>
                <w:color w:val="374151"/>
                <w:sz w:val="20"/>
              </w:rPr>
              <w:t>Payment Gateway</w:t>
            </w:r>
          </w:p>
        </w:tc>
        <w:tc>
          <w:tcPr>
            <w:tcW w:type="dxa" w:w="3120"/>
            <w:shd w:val="clear" w:color="auto" w:fill="F9FAFB"/>
            <w:tcMar>
              <w:top w:w="100" w:type="dxa"/>
              <w:bottom w:w="100" w:type="dxa"/>
              <w:left w:w="150" w:type="dxa"/>
              <w:right w:w="150" w:type="dxa"/>
            </w:tcMar>
          </w:tcPr>
          <w:p>
            <w:r>
              <w:rPr>
                <w:color w:val="374151"/>
                <w:sz w:val="20"/>
              </w:rPr>
              <w:t>Razorpay Payment Gateway API &amp; SDK</w:t>
            </w:r>
          </w:p>
        </w:tc>
        <w:tc>
          <w:tcPr>
            <w:tcW w:type="dxa" w:w="3120"/>
            <w:shd w:val="clear" w:color="auto" w:fill="F9FAFB"/>
            <w:tcMar>
              <w:top w:w="100" w:type="dxa"/>
              <w:bottom w:w="100" w:type="dxa"/>
              <w:left w:w="150" w:type="dxa"/>
              <w:right w:w="150" w:type="dxa"/>
            </w:tcMar>
          </w:tcPr>
          <w:p>
            <w:r>
              <w:rPr>
                <w:color w:val="374151"/>
                <w:sz w:val="20"/>
              </w:rPr>
              <w:t>Secure processing of domestic and international credit/debit card, UPI, and net-banking transactions.</w:t>
            </w:r>
          </w:p>
        </w:tc>
      </w:tr>
      <w:tr>
        <w:tc>
          <w:tcPr>
            <w:tcW w:type="dxa" w:w="3120"/>
            <w:shd w:val="clear" w:color="auto" w:fill="FFFFFF"/>
            <w:tcMar>
              <w:top w:w="100" w:type="dxa"/>
              <w:bottom w:w="100" w:type="dxa"/>
              <w:left w:w="150" w:type="dxa"/>
              <w:right w:w="150" w:type="dxa"/>
            </w:tcMar>
          </w:tcPr>
          <w:p>
            <w:r>
              <w:rPr>
                <w:color w:val="374151"/>
                <w:sz w:val="20"/>
              </w:rPr>
              <w:t>Environment &amp; Security</w:t>
            </w:r>
          </w:p>
        </w:tc>
        <w:tc>
          <w:tcPr>
            <w:tcW w:type="dxa" w:w="3120"/>
            <w:shd w:val="clear" w:color="auto" w:fill="FFFFFF"/>
            <w:tcMar>
              <w:top w:w="100" w:type="dxa"/>
              <w:bottom w:w="100" w:type="dxa"/>
              <w:left w:w="150" w:type="dxa"/>
              <w:right w:w="150" w:type="dxa"/>
            </w:tcMar>
          </w:tcPr>
          <w:p>
            <w:r>
              <w:rPr>
                <w:color w:val="374151"/>
                <w:sz w:val="20"/>
              </w:rPr>
              <w:t>Dotenv (.env), PHP PDO Prepared Statements</w:t>
            </w:r>
          </w:p>
        </w:tc>
        <w:tc>
          <w:tcPr>
            <w:tcW w:type="dxa" w:w="3120"/>
            <w:shd w:val="clear" w:color="auto" w:fill="FFFFFF"/>
            <w:tcMar>
              <w:top w:w="100" w:type="dxa"/>
              <w:bottom w:w="100" w:type="dxa"/>
              <w:left w:w="150" w:type="dxa"/>
              <w:right w:w="150" w:type="dxa"/>
            </w:tcMar>
          </w:tcPr>
          <w:p>
            <w:r>
              <w:rPr>
                <w:color w:val="374151"/>
                <w:sz w:val="20"/>
              </w:rPr>
              <w:t>Secure management of API credentials, database keys, and mitigation of security vulnerabilities.</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after="0"/>
            </w:pPr>
            <w:r>
              <w:rPr>
                <w:b/>
                <w:color w:val="1E3A8A"/>
                <w:sz w:val="22"/>
              </w:rPr>
              <w:t>CLIENT PROJECT GUIDELINES &amp; CONFIDENTIALITY</w:t>
              <w:br/>
            </w:r>
            <w:r>
              <w:rPr>
                <w:i/>
                <w:color w:val="374151"/>
                <w:sz w:val="21"/>
              </w:rPr>
              <w:t>Note on Client &amp; Project Confidentiality:</w:t>
              <w:br/>
              <w:t>This document summarizes the technical architecture, project scope, and functional objectives for academic and internal evaluation purposes. Confidential production credentials (such as database passwords, secret keys, or live API keys) are safely isolated in local .env environment configurations and strictly excluded from shared reports.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