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5B21B6"/>
          <w:sz w:val="28"/>
        </w:rPr>
        <w:t>VANTAG RETAIL INTELLIGENCE PLATFORM</w:t>
      </w:r>
    </w:p>
    <w:p>
      <w:pPr>
        <w:jc w:val="center"/>
      </w:pPr>
      <w:r>
        <w:rPr>
          <w:b/>
          <w:color w:val="1F2937"/>
          <w:sz w:val="64"/>
        </w:rPr>
        <w:br/>
        <w:t>Software Requirements Specification</w:t>
      </w:r>
    </w:p>
    <w:p>
      <w:pPr>
        <w:jc w:val="center"/>
      </w:pPr>
      <w:r>
        <w:rPr>
          <w:i/>
          <w:color w:val="6B7280"/>
          <w:sz w:val="28"/>
        </w:rPr>
        <w:t>IEEE 830 Format</w:t>
      </w:r>
    </w:p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4873"/>
        <w:gridCol w:w="4873"/>
      </w:tblGrid>
      <w:tr>
        <w:tc>
          <w:tcPr>
            <w:tcW w:type="dxa" w:w="2880"/>
            <w:shd w:fill="F3F4F6" w:val="clear"/>
          </w:tcPr>
          <w:p>
            <w:r>
              <w:rPr>
                <w:b/>
                <w:sz w:val="20"/>
              </w:rPr>
              <w:t>Document Code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VT-SRS-003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Product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April 2026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Approved for Release</w:t>
            </w:r>
          </w:p>
        </w:tc>
      </w:tr>
    </w:tbl>
    <w:p/>
    <w:p>
      <w:pPr>
        <w:jc w:val="center"/>
      </w:pPr>
      <w:r>
        <w:rPr>
          <w:i/>
          <w:color w:val="6B7280"/>
          <w:sz w:val="18"/>
        </w:rPr>
        <w:t>© 2026 Vantag. Confidential. Not for redistribution.</w:t>
      </w:r>
    </w:p>
    <w:p>
      <w:r>
        <w:br w:type="page"/>
      </w:r>
    </w:p>
    <w:p>
      <w:pPr>
        <w:spacing w:before="200" w:after="80"/>
      </w:pPr>
      <w:r>
        <w:rPr>
          <w:b/>
          <w:color w:val="1F2937"/>
          <w:sz w:val="32"/>
        </w:rPr>
        <w:t>Table of Contents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152"/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Introduction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Overall Description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Specific Requirements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4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External Interfaces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5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Data Model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6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Non-Functional Requirements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7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System Features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8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Appendices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b/>
          <w:color w:val="5B21B6"/>
          <w:sz w:val="44"/>
        </w:rPr>
        <w:t>1. Introduction</w:t>
      </w:r>
    </w:p>
    <w:p>
      <w:pPr>
        <w:spacing w:before="200" w:after="80"/>
      </w:pPr>
      <w:r>
        <w:rPr>
          <w:b/>
          <w:color w:val="1F2937"/>
          <w:sz w:val="32"/>
        </w:rPr>
        <w:t>1.1 Purpose</w:t>
      </w:r>
    </w:p>
    <w:p>
      <w:pPr>
        <w:spacing w:line="300" w:lineRule="auto"/>
      </w:pPr>
      <w:r>
        <w:rPr>
          <w:b w:val="0"/>
          <w:i w:val="0"/>
          <w:sz w:val="22"/>
        </w:rPr>
        <w:t>This SRS defines the software requirements for Vantag v1.0 — the AI-powered retail security and predictive analytics SaaS platform.</w:t>
      </w:r>
    </w:p>
    <w:p>
      <w:pPr>
        <w:spacing w:before="200" w:after="80"/>
      </w:pPr>
      <w:r>
        <w:rPr>
          <w:b/>
          <w:color w:val="1F2937"/>
          <w:sz w:val="32"/>
        </w:rPr>
        <w:t>1.2 Scope</w:t>
      </w:r>
    </w:p>
    <w:p>
      <w:pPr>
        <w:spacing w:line="300" w:lineRule="auto"/>
      </w:pPr>
      <w:r>
        <w:rPr>
          <w:b w:val="0"/>
          <w:i w:val="0"/>
          <w:sz w:val="22"/>
        </w:rPr>
        <w:t>Covers the cloud backend (FastAPI), web frontend (React), mobile Progressive Web App, Edge Agent (Python), AI pipelines (YOLOv8), MQTT bridge, payment integration, and admin tooling.</w:t>
      </w:r>
    </w:p>
    <w:p>
      <w:pPr>
        <w:spacing w:before="200" w:after="80"/>
      </w:pPr>
      <w:r>
        <w:rPr>
          <w:b/>
          <w:color w:val="1F2937"/>
          <w:sz w:val="32"/>
        </w:rPr>
        <w:t>1.3 Definitions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4873"/>
        <w:gridCol w:w="4873"/>
      </w:tblGrid>
      <w:tr>
        <w:tc>
          <w:tcPr>
            <w:tcW w:type="dxa" w:w="4873"/>
            <w:shd w:fill="5B21B6" w:val="clear"/>
          </w:tcPr>
          <w:p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type="dxa" w:w="4873"/>
            <w:shd w:fill="5B21B6" w:val="clear"/>
          </w:tcPr>
          <w:p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Tenant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Paying customer organisation (shop owner / admin)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Edge Agent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Python app running on customer-premises device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Incident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AI-detected event requiring human review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Zone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Polygon drawn by user on a camera snapshot for targeted detection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Evidence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Video clip + snapshots captured for a given incident</w:t>
            </w:r>
          </w:p>
        </w:tc>
      </w:tr>
    </w:tbl>
    <w:p>
      <w:pPr>
        <w:spacing w:before="240" w:after="120"/>
      </w:pPr>
      <w:r>
        <w:rPr>
          <w:b/>
          <w:color w:val="5B21B6"/>
          <w:sz w:val="44"/>
        </w:rPr>
        <w:t>2. Overall Description</w:t>
      </w:r>
    </w:p>
    <w:p>
      <w:pPr>
        <w:spacing w:before="200" w:after="80"/>
      </w:pPr>
      <w:r>
        <w:rPr>
          <w:b/>
          <w:color w:val="1F2937"/>
          <w:sz w:val="32"/>
        </w:rPr>
        <w:t>2.1 Product Perspective</w:t>
      </w:r>
    </w:p>
    <w:p>
      <w:r>
        <w:rPr>
          <w:i/>
          <w:color w:val="6B7280"/>
          <w:sz w:val="18"/>
        </w:rPr>
        <w:t>Diagram (mermaid):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9746"/>
      </w:tblGrid>
      <w:tr>
        <w:tc>
          <w:tcPr>
            <w:tcW w:type="dxa" w:w="9746"/>
            <w:shd w:fill="F3F4F6" w:val="clear"/>
          </w:tcPr>
          <w:p>
            <w:r>
              <w:rPr>
                <w:rFonts w:ascii="Consolas" w:hAnsi="Consolas"/>
                <w:color w:val="1F2937"/>
                <w:sz w:val="18"/>
              </w:rPr>
              <w:t>flowchart TB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subgraph Cloud [Vantag Cloud — VPS]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API[FastAPI backend]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DB[(PostgreSQL)]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Redis[(Redis)]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MQTT[Mosquitto MQTT]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Web[React Web App]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end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subgraph Customer [Customer Premises]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Agent[Edge Agent]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Cam1[Camera 1]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Cam2[Camera 2]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NVR[NVR/DVR]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end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Agent -- HTTPS/WSS --&gt; API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Cam1 -- RTSP --&gt; Agent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Cam2 -- RTSP --&gt; Agent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NVR -- RTSP --&gt; Agent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Agent -- MQTT --&gt; MQTT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Web -- REST/WS --&gt; API</w:t>
            </w:r>
          </w:p>
        </w:tc>
      </w:tr>
    </w:tbl>
    <w:p>
      <w:pPr>
        <w:spacing w:before="200" w:after="80"/>
      </w:pPr>
      <w:r>
        <w:rPr>
          <w:b/>
          <w:color w:val="1F2937"/>
          <w:sz w:val="32"/>
        </w:rPr>
        <w:t>2.2 User Classes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5B21B6" w:val="clear"/>
          </w:tcPr>
          <w:p>
            <w:r>
              <w:rPr>
                <w:b/>
                <w:color w:val="FFFFFF"/>
                <w:sz w:val="20"/>
              </w:rPr>
              <w:t>Class</w:t>
            </w:r>
          </w:p>
        </w:tc>
        <w:tc>
          <w:tcPr>
            <w:tcW w:type="dxa" w:w="3249"/>
            <w:shd w:fill="5B21B6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249"/>
            <w:shd w:fill="5B21B6" w:val="clear"/>
          </w:tcPr>
          <w:p>
            <w:r>
              <w:rPr>
                <w:b/>
                <w:color w:val="FFFFFF"/>
                <w:sz w:val="20"/>
              </w:rPr>
              <w:t>Permissions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Tenant Owner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Signed up &amp; paid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Full CRUD on own cameras, zones, users, billing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Tenant Staff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Invited by owner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Read incidents, resolve alerts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Super Admin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System owner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Full access to all tenants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Edge Agent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Machine identity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Push camera data, stream events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Anonymous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Public website visitor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Read marketing + docs</w:t>
            </w:r>
          </w:p>
        </w:tc>
      </w:tr>
    </w:tbl>
    <w:p>
      <w:pPr>
        <w:spacing w:before="240" w:after="120"/>
      </w:pPr>
      <w:r>
        <w:rPr>
          <w:b/>
          <w:color w:val="5B21B6"/>
          <w:sz w:val="44"/>
        </w:rPr>
        <w:t>3. Specific Requirements</w:t>
      </w:r>
    </w:p>
    <w:p>
      <w:pPr>
        <w:spacing w:before="200" w:after="80"/>
      </w:pPr>
      <w:r>
        <w:rPr>
          <w:b/>
          <w:color w:val="1F2937"/>
          <w:sz w:val="32"/>
        </w:rPr>
        <w:t>3.1 Authentication &amp; Authorisation</w:t>
      </w:r>
    </w:p>
    <w:p>
      <w:pPr>
        <w:pStyle w:val="ListBullet"/>
      </w:pPr>
      <w:r>
        <w:rPr>
          <w:sz w:val="22"/>
        </w:rPr>
        <w:t>JWT bearer tokens, RS256 signed, 24h expiry, refresh via rotate endpoint</w:t>
      </w:r>
    </w:p>
    <w:p>
      <w:pPr>
        <w:pStyle w:val="ListBullet"/>
      </w:pPr>
      <w:r>
        <w:rPr>
          <w:sz w:val="22"/>
        </w:rPr>
        <w:t>bcrypt(cost=12) password hashing</w:t>
      </w:r>
    </w:p>
    <w:p>
      <w:pPr>
        <w:pStyle w:val="ListBullet"/>
      </w:pPr>
      <w:r>
        <w:rPr>
          <w:sz w:val="22"/>
        </w:rPr>
        <w:t>Password reset flow via 6-digit OTP delivered over SMTP (Gmail App Password)</w:t>
      </w:r>
    </w:p>
    <w:p>
      <w:pPr>
        <w:pStyle w:val="ListBullet"/>
      </w:pPr>
      <w:r>
        <w:rPr>
          <w:sz w:val="22"/>
        </w:rPr>
        <w:t>Role-Based Access Control: owner / staff / super_admin</w:t>
      </w:r>
    </w:p>
    <w:p>
      <w:pPr>
        <w:pStyle w:val="ListBullet"/>
      </w:pPr>
      <w:r>
        <w:rPr>
          <w:sz w:val="22"/>
        </w:rPr>
        <w:t>Rate limiting: 5 failed logins/min triggers 15-min IP block</w:t>
      </w:r>
    </w:p>
    <w:p>
      <w:pPr>
        <w:spacing w:before="200" w:after="80"/>
      </w:pPr>
      <w:r>
        <w:rPr>
          <w:b/>
          <w:color w:val="1F2937"/>
          <w:sz w:val="32"/>
        </w:rPr>
        <w:t>3.2 AI Inference Pipeline</w:t>
      </w:r>
    </w:p>
    <w:p>
      <w:pPr>
        <w:pStyle w:val="ListBullet"/>
      </w:pPr>
      <w:r>
        <w:rPr>
          <w:sz w:val="22"/>
        </w:rPr>
        <w:t>YOLOv8n-seg as base object detector, fine-tuned on retail dataset (~45K labelled frames)</w:t>
      </w:r>
    </w:p>
    <w:p>
      <w:pPr>
        <w:pStyle w:val="ListBullet"/>
      </w:pPr>
      <w:r>
        <w:rPr>
          <w:sz w:val="22"/>
        </w:rPr>
        <w:t>BoT-SORT tracker for cross-frame object identity</w:t>
      </w:r>
    </w:p>
    <w:p>
      <w:pPr>
        <w:pStyle w:val="ListBullet"/>
      </w:pPr>
      <w:r>
        <w:rPr>
          <w:sz w:val="22"/>
        </w:rPr>
        <w:t>Rule engine per detector type — e.g., Dwell = same track_id in zone &gt; threshold_seconds</w:t>
      </w:r>
    </w:p>
    <w:p>
      <w:pPr>
        <w:pStyle w:val="ListBullet"/>
      </w:pPr>
      <w:r>
        <w:rPr>
          <w:sz w:val="22"/>
        </w:rPr>
        <w:t>Frame skip = 3 (every 4th frame processed) for performance</w:t>
      </w:r>
    </w:p>
    <w:p>
      <w:pPr>
        <w:pStyle w:val="ListBullet"/>
      </w:pPr>
      <w:r>
        <w:rPr>
          <w:sz w:val="22"/>
        </w:rPr>
        <w:t>TensorRT export on Jetson (7× speedup vs CPU)</w:t>
      </w:r>
    </w:p>
    <w:p>
      <w:pPr>
        <w:spacing w:before="200" w:after="80"/>
      </w:pPr>
      <w:r>
        <w:rPr>
          <w:b/>
          <w:color w:val="1F2937"/>
          <w:sz w:val="32"/>
        </w:rPr>
        <w:t>3.3 Camera Discovery</w:t>
      </w:r>
    </w:p>
    <w:p>
      <w:pPr>
        <w:pStyle w:val="ListBullet"/>
      </w:pPr>
      <w:r>
        <w:rPr>
          <w:sz w:val="22"/>
        </w:rPr>
        <w:t>ONVIF WS-Discovery multicast to 239.255.255.250:3702</w:t>
      </w:r>
    </w:p>
    <w:p>
      <w:pPr>
        <w:pStyle w:val="ListBullet"/>
      </w:pPr>
      <w:r>
        <w:rPr>
          <w:sz w:val="22"/>
        </w:rPr>
        <w:t>ARP scan of local /24 subnet</w:t>
      </w:r>
    </w:p>
    <w:p>
      <w:pPr>
        <w:pStyle w:val="ListBullet"/>
      </w:pPr>
      <w:r>
        <w:rPr>
          <w:sz w:val="22"/>
        </w:rPr>
        <w:t>Port probe: 554 (RTSP), 80, 8080, 8000, 37777 (Dahua)</w:t>
      </w:r>
    </w:p>
    <w:p>
      <w:pPr>
        <w:pStyle w:val="ListBullet"/>
      </w:pPr>
      <w:r>
        <w:rPr>
          <w:sz w:val="22"/>
        </w:rPr>
        <w:t>RTSP URL database with 200+ paths per vendor</w:t>
      </w:r>
    </w:p>
    <w:p>
      <w:pPr>
        <w:spacing w:before="240" w:after="120"/>
      </w:pPr>
      <w:r>
        <w:rPr>
          <w:b/>
          <w:color w:val="5B21B6"/>
          <w:sz w:val="44"/>
        </w:rPr>
        <w:t>4. External Interfaces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5B21B6" w:val="clear"/>
          </w:tcPr>
          <w:p>
            <w:r>
              <w:rPr>
                <w:b/>
                <w:color w:val="FFFFFF"/>
                <w:sz w:val="20"/>
              </w:rPr>
              <w:t>Interface</w:t>
            </w:r>
          </w:p>
        </w:tc>
        <w:tc>
          <w:tcPr>
            <w:tcW w:type="dxa" w:w="3249"/>
            <w:shd w:fill="5B21B6" w:val="clear"/>
          </w:tcPr>
          <w:p>
            <w:r>
              <w:rPr>
                <w:b/>
                <w:color w:val="FFFFFF"/>
                <w:sz w:val="20"/>
              </w:rPr>
              <w:t>Protocol</w:t>
            </w:r>
          </w:p>
        </w:tc>
        <w:tc>
          <w:tcPr>
            <w:tcW w:type="dxa" w:w="3249"/>
            <w:shd w:fill="5B21B6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Razorpay Checkout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HTTPS + Webhook HMAC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Subscription creation &amp; billing events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Razorpay Subscriptions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REST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Recurring billing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RTSP cameras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RTSP/TCP over port 554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Video ingest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ONVIF devices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SOAP over HTTP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Camera discovery &amp; PTZ control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MQTT brokers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MQTT 3.1.1 / 5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Door-lock &amp; IoT device control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SMTP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TLS over 465/587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Transactional email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Cloudflare Turnstile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HTTPS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Bot protection on register/login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OpenAI GPT-4o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HTTPS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AI Support Chat</w:t>
            </w:r>
          </w:p>
        </w:tc>
      </w:tr>
    </w:tbl>
    <w:p>
      <w:pPr>
        <w:spacing w:before="240" w:after="120"/>
      </w:pPr>
      <w:r>
        <w:rPr>
          <w:b/>
          <w:color w:val="5B21B6"/>
          <w:sz w:val="44"/>
        </w:rPr>
        <w:t>5. Data Model Overview</w:t>
      </w:r>
    </w:p>
    <w:p>
      <w:r>
        <w:rPr>
          <w:i/>
          <w:color w:val="6B7280"/>
          <w:sz w:val="18"/>
        </w:rPr>
        <w:t>Diagram (mermaid):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9746"/>
      </w:tblGrid>
      <w:tr>
        <w:tc>
          <w:tcPr>
            <w:tcW w:type="dxa" w:w="9746"/>
            <w:shd w:fill="F3F4F6" w:val="clear"/>
          </w:tcPr>
          <w:p>
            <w:r>
              <w:rPr>
                <w:rFonts w:ascii="Consolas" w:hAnsi="Consolas"/>
                <w:color w:val="1F2937"/>
                <w:sz w:val="18"/>
              </w:rPr>
              <w:t>erDiagram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TENANTS ||--o{ TENANT_USERS : has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TENANTS ||--o{ CAMERAS : owns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TENANTS ||--o{ ZONES : has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TENANTS ||--o{ INCIDENTS : generates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TENANTS ||--|| SUBSCRIPTIONS : has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CAMERAS ||--o{ ZONES : contains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CAMERAS ||--o{ INCIDENTS : triggers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INCIDENTS ||--o{ EVIDENCE : has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TENANT_USERS ||--o{ SESSIONS : has</w:t>
            </w:r>
          </w:p>
        </w:tc>
      </w:tr>
    </w:tbl>
    <w:p>
      <w:pPr>
        <w:spacing w:before="240" w:after="120"/>
      </w:pPr>
      <w:r>
        <w:rPr>
          <w:b/>
          <w:color w:val="5B21B6"/>
          <w:sz w:val="44"/>
        </w:rPr>
        <w:t>6. Non-Functional Requirements</w:t>
      </w:r>
    </w:p>
    <w:p>
      <w:pPr>
        <w:spacing w:line="300" w:lineRule="auto"/>
      </w:pPr>
      <w:r>
        <w:rPr>
          <w:b w:val="0"/>
          <w:i w:val="0"/>
          <w:sz w:val="22"/>
        </w:rPr>
        <w:t>Refer to VT-PRD-001 §7. Additional:</w:t>
      </w:r>
    </w:p>
    <w:p>
      <w:pPr>
        <w:pStyle w:val="ListBullet"/>
      </w:pPr>
      <w:r>
        <w:rPr>
          <w:sz w:val="22"/>
        </w:rPr>
        <w:t>99.5 % uptime SLA; planned maintenance windows Sundays 02:00–04:00 local</w:t>
      </w:r>
    </w:p>
    <w:p>
      <w:pPr>
        <w:pStyle w:val="ListBullet"/>
      </w:pPr>
      <w:r>
        <w:rPr>
          <w:sz w:val="22"/>
        </w:rPr>
        <w:t>Horizontal scale target: 500 tenants / node</w:t>
      </w:r>
    </w:p>
    <w:p>
      <w:pPr>
        <w:pStyle w:val="ListBullet"/>
      </w:pPr>
      <w:r>
        <w:rPr>
          <w:sz w:val="22"/>
        </w:rPr>
        <w:t>Database backups: daily full + WAL streaming; 30-day retention; cross-region copy</w:t>
      </w:r>
    </w:p>
    <w:p>
      <w:pPr>
        <w:spacing w:before="240" w:after="120"/>
      </w:pPr>
      <w:r>
        <w:rPr>
          <w:b/>
          <w:color w:val="5B21B6"/>
          <w:sz w:val="44"/>
        </w:rPr>
        <w:t>7. System Features (high-level matrix)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5B21B6" w:val="clear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249"/>
            <w:shd w:fill="5B21B6" w:val="clear"/>
          </w:tcPr>
          <w:p>
            <w:r>
              <w:rPr>
                <w:b/>
                <w:color w:val="FFFFFF"/>
                <w:sz w:val="20"/>
              </w:rPr>
              <w:t>FR Ref</w:t>
            </w:r>
          </w:p>
        </w:tc>
        <w:tc>
          <w:tcPr>
            <w:tcW w:type="dxa" w:w="3249"/>
            <w:shd w:fill="5B21B6" w:val="clear"/>
          </w:tcPr>
          <w:p>
            <w:r>
              <w:rPr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Tenant registration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FR-01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Payment via Razorpay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FR-02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Edge pairing via QR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FR-03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Auto-discovery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FR-04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12 detectors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FR-07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Zone editor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FR-06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Evidence capture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FR-09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POS integration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FR-15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Should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Super-admin panel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FR-14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AI Support Chat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FR-15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Should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Multi-language UI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FR-13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Must</w:t>
            </w:r>
          </w:p>
        </w:tc>
      </w:tr>
    </w:tbl>
    <w:p>
      <w:pPr>
        <w:spacing w:before="240" w:after="120"/>
      </w:pPr>
      <w:r>
        <w:rPr>
          <w:b/>
          <w:color w:val="5B21B6"/>
          <w:sz w:val="44"/>
        </w:rPr>
        <w:t>8. Appendices</w:t>
      </w:r>
    </w:p>
    <w:p>
      <w:pPr>
        <w:spacing w:line="300" w:lineRule="auto"/>
      </w:pPr>
      <w:r>
        <w:rPr>
          <w:b w:val="0"/>
          <w:i w:val="0"/>
          <w:sz w:val="22"/>
        </w:rPr>
        <w:t>See companion docs: VT-HLD-005, VT-LLD-006, VT-API-008, VT-DB-007.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 xml:space="preserve">Vantag — VT-SRS-003 — Confidential  | 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