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Super-Admin Guide</w:t>
      </w:r>
    </w:p>
    <w:p>
      <w:pPr>
        <w:jc w:val="center"/>
      </w:pPr>
      <w:r>
        <w:rPr>
          <w:i/>
          <w:color w:val="6B7280"/>
          <w:sz w:val="28"/>
        </w:rPr>
        <w:t>System-Owner Reference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VT-USR-020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User Guides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Overview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Tenant Lifecycle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Revenue &amp; MRR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Health Monitoring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Audit Log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Emergency Procedures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Overview</w:t>
      </w:r>
    </w:p>
    <w:p>
      <w:pPr>
        <w:spacing w:line="300" w:lineRule="auto"/>
      </w:pPr>
      <w:r>
        <w:rPr>
          <w:b w:val="0"/>
          <w:i w:val="0"/>
          <w:sz w:val="22"/>
        </w:rPr>
        <w:t>The super-admin panel at /admin is accessible to users with is_super_admin=TRUE. It lets system owners manage all tenants, watch revenue, and respond to incidents.</w:t>
      </w:r>
    </w:p>
    <w:p>
      <w:pPr>
        <w:spacing w:before="240" w:after="120"/>
      </w:pPr>
      <w:r>
        <w:rPr>
          <w:b/>
          <w:color w:val="5B21B6"/>
          <w:sz w:val="44"/>
        </w:rPr>
        <w:t>2. Tenant Lifecycle</w:t>
      </w:r>
    </w:p>
    <w:p>
      <w:pPr>
        <w:pStyle w:val="ListBullet"/>
      </w:pPr>
      <w:r>
        <w:rPr>
          <w:sz w:val="22"/>
        </w:rPr>
        <w:t>Create — new tenants register themselves; no admin action needed</w:t>
      </w:r>
    </w:p>
    <w:p>
      <w:pPr>
        <w:pStyle w:val="ListBullet"/>
      </w:pPr>
      <w:r>
        <w:rPr>
          <w:sz w:val="22"/>
        </w:rPr>
        <w:t>Suspend — /admin/tenants/:id → Suspend (blocks login, keeps data)</w:t>
      </w:r>
    </w:p>
    <w:p>
      <w:pPr>
        <w:pStyle w:val="ListBullet"/>
      </w:pPr>
      <w:r>
        <w:rPr>
          <w:sz w:val="22"/>
        </w:rPr>
        <w:t>Resume — Suspend → Resume (re-enables login)</w:t>
      </w:r>
    </w:p>
    <w:p>
      <w:pPr>
        <w:pStyle w:val="ListBullet"/>
      </w:pPr>
      <w:r>
        <w:rPr>
          <w:sz w:val="22"/>
        </w:rPr>
        <w:t>Delete — permanently removes (30-day soft delete first)</w:t>
      </w:r>
    </w:p>
    <w:p>
      <w:pPr>
        <w:pStyle w:val="ListBullet"/>
      </w:pPr>
      <w:r>
        <w:rPr>
          <w:sz w:val="22"/>
        </w:rPr>
        <w:t>Plan change — /admin → Tenant → Change Plan (no new invoice created)</w:t>
      </w:r>
    </w:p>
    <w:p>
      <w:pPr>
        <w:spacing w:before="240" w:after="120"/>
      </w:pPr>
      <w:r>
        <w:rPr>
          <w:b/>
          <w:color w:val="5B21B6"/>
          <w:sz w:val="44"/>
        </w:rPr>
        <w:t>3. Revenue &amp; MRR</w:t>
      </w:r>
    </w:p>
    <w:p>
      <w:pPr>
        <w:pStyle w:val="ListBullet"/>
      </w:pPr>
      <w:r>
        <w:rPr>
          <w:sz w:val="22"/>
        </w:rPr>
        <w:t>MRR auto-computed from active subscriptions</w:t>
      </w:r>
    </w:p>
    <w:p>
      <w:pPr>
        <w:pStyle w:val="ListBullet"/>
      </w:pPr>
      <w:r>
        <w:rPr>
          <w:sz w:val="22"/>
        </w:rPr>
        <w:t>Currency conversion: daily rate snapshotted at 00:00 UTC</w:t>
      </w:r>
    </w:p>
    <w:p>
      <w:pPr>
        <w:pStyle w:val="ListBullet"/>
      </w:pPr>
      <w:r>
        <w:rPr>
          <w:sz w:val="22"/>
        </w:rPr>
        <w:t>CSV export: Revenue tab → 'Export CSV' (requires re-auth)</w:t>
      </w:r>
    </w:p>
    <w:p>
      <w:pPr>
        <w:pStyle w:val="ListBullet"/>
      </w:pPr>
      <w:r>
        <w:rPr>
          <w:sz w:val="22"/>
        </w:rPr>
        <w:t>Past-due tenants listed with one-click 'Retry Charge'</w:t>
      </w:r>
    </w:p>
    <w:p>
      <w:pPr>
        <w:spacing w:before="240" w:after="120"/>
      </w:pPr>
      <w:r>
        <w:rPr>
          <w:b/>
          <w:color w:val="5B21B6"/>
          <w:sz w:val="44"/>
        </w:rPr>
        <w:t>4. Health Monitoring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Shows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Overview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API uptime, active tenants, open incidents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Agents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List of all Edge Agents, last heartbeat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Razorpay webhook status, retry counts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Errors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Top 20 Sentry issues in last 24h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Audit Log</w:t>
      </w:r>
    </w:p>
    <w:p>
      <w:pPr>
        <w:spacing w:line="300" w:lineRule="auto"/>
      </w:pPr>
      <w:r>
        <w:rPr>
          <w:b w:val="0"/>
          <w:i w:val="0"/>
          <w:sz w:val="22"/>
        </w:rPr>
        <w:t>Every admin action is logged in audit_log table with actor_user_id, target_tenant_id, action, timestamp, IP.</w:t>
      </w:r>
    </w:p>
    <w:p>
      <w:pPr>
        <w:spacing w:before="240" w:after="120"/>
      </w:pPr>
      <w:r>
        <w:rPr>
          <w:b/>
          <w:color w:val="5B21B6"/>
          <w:sz w:val="44"/>
        </w:rPr>
        <w:t>6. Emergency Procedures</w:t>
      </w:r>
    </w:p>
    <w:p>
      <w:pPr>
        <w:pStyle w:val="ListBullet"/>
      </w:pPr>
      <w:r>
        <w:rPr>
          <w:sz w:val="22"/>
        </w:rPr>
        <w:t>Lock all logins: /admin → System → Maintenance Mode</w:t>
      </w:r>
    </w:p>
    <w:p>
      <w:pPr>
        <w:pStyle w:val="ListBullet"/>
      </w:pPr>
      <w:r>
        <w:rPr>
          <w:sz w:val="22"/>
        </w:rPr>
        <w:t>Flush all sessions: FLUSHDB on Redis (revokes live tokens at next request)</w:t>
      </w:r>
    </w:p>
    <w:p>
      <w:pPr>
        <w:pStyle w:val="ListBullet"/>
      </w:pPr>
      <w:r>
        <w:rPr>
          <w:sz w:val="22"/>
        </w:rPr>
        <w:t>Rollback deploy: see VT-OPS-013 §3</w:t>
      </w:r>
    </w:p>
    <w:p>
      <w:pPr>
        <w:pStyle w:val="ListBullet"/>
      </w:pPr>
      <w:r>
        <w:rPr>
          <w:sz w:val="22"/>
        </w:rPr>
        <w:t>Data breach: immediately run scripts/compliance/breach-notify.sh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VT-USR-020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