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Brand &amp; Style Guide</w:t>
      </w:r>
    </w:p>
    <w:p>
      <w:pPr>
        <w:jc w:val="center"/>
      </w:pPr>
      <w:r>
        <w:rPr>
          <w:i/>
          <w:color w:val="6B7280"/>
          <w:sz w:val="28"/>
        </w:rPr>
        <w:t>Vantag / Retail Nazar / JagaJaga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VT-BRN-021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 Guides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Brand Architecture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Logo Usage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Colours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Typography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Voice &amp; Tone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Photography &amp; Imagery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Brand Architecture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fill="5B21B6" w:val="clear"/>
          </w:tcPr>
          <w:p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3168"/>
            <w:shd w:fill="5B21B6" w:val="clear"/>
          </w:tcPr>
          <w:p>
            <w:r>
              <w:rPr>
                <w:b/>
                <w:color w:val="FFFFFF"/>
                <w:sz w:val="20"/>
              </w:rPr>
              <w:t>Brand Name</w:t>
            </w:r>
          </w:p>
        </w:tc>
        <w:tc>
          <w:tcPr>
            <w:tcW w:type="dxa" w:w="3744"/>
            <w:shd w:fill="5B21B6" w:val="clear"/>
          </w:tcPr>
          <w:p>
            <w:r>
              <w:rPr>
                <w:b/>
                <w:color w:val="FFFFFF"/>
                <w:sz w:val="20"/>
              </w:rPr>
              <w:t>Domain(s)</w:t>
            </w:r>
          </w:p>
        </w:tc>
        <w:tc>
          <w:tcPr>
            <w:tcW w:type="dxa" w:w="2592"/>
            <w:shd w:fill="5B21B6" w:val="clear"/>
          </w:tcPr>
          <w:p>
            <w:r>
              <w:rPr>
                <w:b/>
                <w:color w:val="FFFFFF"/>
                <w:sz w:val="20"/>
              </w:rPr>
              <w:t>Tag-line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Singapore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Vantag — Retail Intelligence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retail-vantag.com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AI Security that Works While You Sleep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Retail Nazar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retailnazar.com, retailnazar.in, retailnazar.info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Har Dukaan Ka Apna Jasoos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JagaJaga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jagajaga.my, retailjagajaga.com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Jaga Kedai, Jaga Untung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Logo Usage</w:t>
      </w:r>
    </w:p>
    <w:p>
      <w:pPr>
        <w:pStyle w:val="ListBullet"/>
      </w:pPr>
      <w:r>
        <w:rPr>
          <w:sz w:val="22"/>
        </w:rPr>
        <w:t>Minimum clear space: equal to the height of the mark on all sides</w:t>
      </w:r>
    </w:p>
    <w:p>
      <w:pPr>
        <w:pStyle w:val="ListBullet"/>
      </w:pPr>
      <w:r>
        <w:rPr>
          <w:sz w:val="22"/>
        </w:rPr>
        <w:t>Minimum size: 24 px on screen, 12 mm print</w:t>
      </w:r>
    </w:p>
    <w:p>
      <w:pPr>
        <w:pStyle w:val="ListBullet"/>
      </w:pPr>
      <w:r>
        <w:rPr>
          <w:sz w:val="22"/>
        </w:rPr>
        <w:t>Do NOT stretch, skew, rotate, re-colour, or add effects</w:t>
      </w:r>
    </w:p>
    <w:p>
      <w:pPr>
        <w:pStyle w:val="ListBullet"/>
      </w:pPr>
      <w:r>
        <w:rPr>
          <w:sz w:val="22"/>
        </w:rPr>
        <w:t>Use white logo on dark backgrounds; full-colour on light</w:t>
      </w:r>
    </w:p>
    <w:p>
      <w:pPr>
        <w:spacing w:before="240" w:after="120"/>
      </w:pPr>
      <w:r>
        <w:rPr>
          <w:b/>
          <w:color w:val="5B21B6"/>
          <w:sz w:val="44"/>
        </w:rPr>
        <w:t>3. Colours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Primary Violet (SG)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#5B21B6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Vantag brand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Saffron Gold (IN)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#F59E0B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Retail Nazar accent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Emerald (MY)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#10B981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JagaJaga primary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#1F2937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Body text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Muted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Secondary text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Paper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#F9FAFB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Background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Danger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#DC2626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Critical alerts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Typography</w:t>
      </w:r>
    </w:p>
    <w:p>
      <w:pPr>
        <w:pStyle w:val="ListBullet"/>
      </w:pPr>
      <w:r>
        <w:rPr>
          <w:sz w:val="22"/>
        </w:rPr>
        <w:t>Display: 'Plus Jakarta Sans' 700 — headings</w:t>
      </w:r>
    </w:p>
    <w:p>
      <w:pPr>
        <w:pStyle w:val="ListBullet"/>
      </w:pPr>
      <w:r>
        <w:rPr>
          <w:sz w:val="22"/>
        </w:rPr>
        <w:t>Body: 'Inter' 400 / 500 — paragraphs, UI</w:t>
      </w:r>
    </w:p>
    <w:p>
      <w:pPr>
        <w:pStyle w:val="ListBullet"/>
      </w:pPr>
      <w:r>
        <w:rPr>
          <w:sz w:val="22"/>
        </w:rPr>
        <w:t>Mono: 'JetBrains Mono' 400 — code, keys</w:t>
      </w:r>
    </w:p>
    <w:p>
      <w:pPr>
        <w:pStyle w:val="ListBullet"/>
      </w:pPr>
      <w:r>
        <w:rPr>
          <w:sz w:val="22"/>
        </w:rPr>
        <w:t>Line-height: 1.25 headings, 1.55 body</w:t>
      </w:r>
    </w:p>
    <w:p>
      <w:pPr>
        <w:spacing w:before="240" w:after="120"/>
      </w:pPr>
      <w:r>
        <w:rPr>
          <w:b/>
          <w:color w:val="5B21B6"/>
          <w:sz w:val="44"/>
        </w:rPr>
        <w:t>5. Voice &amp; Tone</w:t>
      </w:r>
    </w:p>
    <w:p>
      <w:pPr>
        <w:pStyle w:val="ListBullet"/>
      </w:pPr>
      <w:r>
        <w:rPr>
          <w:sz w:val="22"/>
        </w:rPr>
        <w:t>Direct — we tell users what happened, not how we're feeling</w:t>
      </w:r>
    </w:p>
    <w:p>
      <w:pPr>
        <w:pStyle w:val="ListBullet"/>
      </w:pPr>
      <w:r>
        <w:rPr>
          <w:sz w:val="22"/>
        </w:rPr>
        <w:t>Respectful of local languages and customs</w:t>
      </w:r>
    </w:p>
    <w:p>
      <w:pPr>
        <w:pStyle w:val="ListBullet"/>
      </w:pPr>
      <w:r>
        <w:rPr>
          <w:sz w:val="22"/>
        </w:rPr>
        <w:t>Never alarmist. Never cute about security.</w:t>
      </w:r>
    </w:p>
    <w:p>
      <w:pPr>
        <w:pStyle w:val="ListBullet"/>
      </w:pPr>
      <w:r>
        <w:rPr>
          <w:sz w:val="22"/>
        </w:rPr>
        <w:t>Metric where possible — numbers over adjectives</w:t>
      </w:r>
    </w:p>
    <w:p>
      <w:pPr>
        <w:pStyle w:val="ListBullet"/>
      </w:pPr>
      <w:r>
        <w:rPr>
          <w:sz w:val="22"/>
        </w:rPr>
        <w:t>Second person — 'You can…', not 'Users can…'</w:t>
      </w:r>
    </w:p>
    <w:p>
      <w:pPr>
        <w:spacing w:before="240" w:after="120"/>
      </w:pPr>
      <w:r>
        <w:rPr>
          <w:b/>
          <w:color w:val="5B21B6"/>
          <w:sz w:val="44"/>
        </w:rPr>
        <w:t>6. Photography &amp; Imagery</w:t>
      </w:r>
    </w:p>
    <w:p>
      <w:pPr>
        <w:pStyle w:val="ListBullet"/>
      </w:pPr>
      <w:r>
        <w:rPr>
          <w:sz w:val="22"/>
        </w:rPr>
        <w:t>Real shops, not stock — wherever possible, consent-based photos of partner retailers</w:t>
      </w:r>
    </w:p>
    <w:p>
      <w:pPr>
        <w:pStyle w:val="ListBullet"/>
      </w:pPr>
      <w:r>
        <w:rPr>
          <w:sz w:val="22"/>
        </w:rPr>
        <w:t>Show people of the target region in marketing for that region</w:t>
      </w:r>
    </w:p>
    <w:p>
      <w:pPr>
        <w:pStyle w:val="ListBullet"/>
      </w:pPr>
      <w:r>
        <w:rPr>
          <w:sz w:val="22"/>
        </w:rPr>
        <w:t>Avoid CCTV clichés — hooded figures, dark alleys</w:t>
      </w:r>
    </w:p>
    <w:p>
      <w:pPr>
        <w:pStyle w:val="ListBullet"/>
      </w:pPr>
      <w:r>
        <w:rPr>
          <w:sz w:val="22"/>
        </w:rPr>
        <w:t>Prefer bright, clean, aspirational imagery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VT-BRN-021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