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Business Requirements Document</w:t>
      </w:r>
    </w:p>
    <w:p>
      <w:pPr>
        <w:jc w:val="center"/>
      </w:pPr>
      <w:r>
        <w:rPr>
          <w:i/>
          <w:color w:val="6B7280"/>
          <w:sz w:val="28"/>
        </w:rPr>
        <w:t>Commercial &amp; Operational Requirements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VT-BRD-002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Business Context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Objectives &amp; KPIs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Market Sizing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Revenue Model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Pricing Strategy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Go-to-Market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Operational Model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Legal &amp; Regulatory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Success Criteria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Business Context</w:t>
      </w:r>
    </w:p>
    <w:p>
      <w:pPr>
        <w:spacing w:line="300" w:lineRule="auto"/>
      </w:pPr>
      <w:r>
        <w:rPr>
          <w:b w:val="0"/>
          <w:i w:val="0"/>
          <w:sz w:val="22"/>
        </w:rPr>
        <w:t>Vantag is positioned as the first DIY AI-security SaaS accessible to small-medium retailers in India, Singapore, and Malaysia. The Total Addressable Market is estimated at 8.2 million shops across the three regions (India 7M, Malaysia 1M, Singapore 200K). With a 1 % penetration over five years, the Serviceable Obtainable Market is 82,000 tenants generating USD 72M annual revenue at median ARPU.</w:t>
      </w:r>
    </w:p>
    <w:p>
      <w:pPr>
        <w:spacing w:before="240" w:after="120"/>
      </w:pPr>
      <w:r>
        <w:rPr>
          <w:b/>
          <w:color w:val="5B21B6"/>
          <w:sz w:val="44"/>
        </w:rPr>
        <w:t>2. Objectives &amp; KPIs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600"/>
            <w:shd w:fill="5B21B6" w:val="clear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Year-1 KPI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Year-3 KPI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Tenant acquisition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18,000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Gross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540K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7.2M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Gross Margin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78 %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CAC payback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6 months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4 months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Churn (logo)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6 %/month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2.5 %/month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60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Market Sizing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5B21B6" w:val="clear"/>
          </w:tcPr>
          <w:p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592"/>
            <w:shd w:fill="5B21B6" w:val="clear"/>
          </w:tcPr>
          <w:p>
            <w:r>
              <w:rPr>
                <w:b/>
                <w:color w:val="FFFFFF"/>
                <w:sz w:val="20"/>
              </w:rPr>
              <w:t>Total Shops (TAM)</w:t>
            </w:r>
          </w:p>
        </w:tc>
        <w:tc>
          <w:tcPr>
            <w:tcW w:type="dxa" w:w="2592"/>
            <w:shd w:fill="5B21B6" w:val="clear"/>
          </w:tcPr>
          <w:p>
            <w:r>
              <w:rPr>
                <w:b/>
                <w:color w:val="FFFFFF"/>
                <w:sz w:val="20"/>
              </w:rPr>
              <w:t>SAM (1 % reachable)</w:t>
            </w:r>
          </w:p>
        </w:tc>
        <w:tc>
          <w:tcPr>
            <w:tcW w:type="dxa" w:w="2304"/>
            <w:shd w:fill="5B21B6" w:val="clear"/>
          </w:tcPr>
          <w:p>
            <w:r>
              <w:rPr>
                <w:b/>
                <w:color w:val="FFFFFF"/>
                <w:sz w:val="20"/>
              </w:rPr>
              <w:t>SOM (Y3 target)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7,000,000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70,000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15,000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1,000,000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Singapore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200,000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8,200,000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85,000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18,000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Revenue Model</w:t>
      </w:r>
    </w:p>
    <w:p>
      <w:pPr>
        <w:spacing w:line="300" w:lineRule="auto"/>
      </w:pPr>
      <w:r>
        <w:rPr>
          <w:b w:val="0"/>
          <w:i w:val="0"/>
          <w:sz w:val="22"/>
        </w:rPr>
        <w:t>Subscription-based SaaS with three tiers plus optional hardware resale.</w:t>
      </w:r>
    </w:p>
    <w:p>
      <w:pPr>
        <w:pStyle w:val="ListBullet"/>
      </w:pPr>
      <w:r>
        <w:rPr>
          <w:sz w:val="22"/>
        </w:rPr>
        <w:t>Monthly subscriptions (primary — 82 % of revenue)</w:t>
      </w:r>
    </w:p>
    <w:p>
      <w:pPr>
        <w:pStyle w:val="ListBullet"/>
      </w:pPr>
      <w:r>
        <w:rPr>
          <w:sz w:val="22"/>
        </w:rPr>
        <w:t>Annual prepayment with 17 % discount (13 % of revenue)</w:t>
      </w:r>
    </w:p>
    <w:p>
      <w:pPr>
        <w:pStyle w:val="ListBullet"/>
      </w:pPr>
      <w:r>
        <w:rPr>
          <w:sz w:val="22"/>
        </w:rPr>
        <w:t>Optional Edge Agent hardware kit (Android mini-PC bundle, one-time ₹7,500 / S$129 / RM379)</w:t>
      </w:r>
    </w:p>
    <w:p>
      <w:pPr>
        <w:pStyle w:val="ListBullet"/>
      </w:pPr>
      <w:r>
        <w:rPr>
          <w:sz w:val="22"/>
        </w:rPr>
        <w:t>Enterprise site-licenses with SLA (v1.2 onwards)</w:t>
      </w:r>
    </w:p>
    <w:p>
      <w:pPr>
        <w:spacing w:before="240" w:after="120"/>
      </w:pPr>
      <w:r>
        <w:rPr>
          <w:b/>
          <w:color w:val="5B21B6"/>
          <w:sz w:val="44"/>
        </w:rPr>
        <w:t>5. Pricing Strategy</w:t>
      </w:r>
    </w:p>
    <w:p>
      <w:pPr>
        <w:spacing w:before="200" w:after="80"/>
      </w:pPr>
      <w:r>
        <w:rPr>
          <w:b/>
          <w:color w:val="1F2937"/>
          <w:sz w:val="32"/>
        </w:rPr>
        <w:t>India (INR)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Cameras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Annual (17% off)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1,999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1,666/mo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4,499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3,749/mo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8,999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Rs. 7,499/mo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Singapore (SGD)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Cameras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S$ 39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S$ 32/mo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S$ 82/mo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S$ 189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S$ 157/mo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Malaysia (MYR)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Cameras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59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49/mo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149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124/mo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299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RM 249/mo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Go-to-Market</w:t>
      </w:r>
    </w:p>
    <w:p>
      <w:pPr>
        <w:pStyle w:val="ListBullet"/>
      </w:pPr>
      <w:r>
        <w:rPr>
          <w:sz w:val="22"/>
        </w:rPr>
        <w:t>Content SEO targeting 'AI CCTV for shop', 'retail theft detection', 'DIY security system'</w:t>
      </w:r>
    </w:p>
    <w:p>
      <w:pPr>
        <w:pStyle w:val="ListBullet"/>
      </w:pPr>
      <w:r>
        <w:rPr>
          <w:sz w:val="22"/>
        </w:rPr>
        <w:t>Google Ads on high-intent searches (~USD 2.5 CPC in India, S$8 in SG)</w:t>
      </w:r>
    </w:p>
    <w:p>
      <w:pPr>
        <w:pStyle w:val="ListBullet"/>
      </w:pPr>
      <w:r>
        <w:rPr>
          <w:sz w:val="22"/>
        </w:rPr>
        <w:t>Direct sales to mall management companies in SG (24 malls = 4,800 cameras potential)</w:t>
      </w:r>
    </w:p>
    <w:p>
      <w:pPr>
        <w:pStyle w:val="ListBullet"/>
      </w:pPr>
      <w:r>
        <w:rPr>
          <w:sz w:val="22"/>
        </w:rPr>
        <w:t>Distributor channel in India (CCTV installers get 20 % recurring commission)</w:t>
      </w:r>
    </w:p>
    <w:p>
      <w:pPr>
        <w:pStyle w:val="ListBullet"/>
      </w:pPr>
      <w:r>
        <w:rPr>
          <w:sz w:val="22"/>
        </w:rPr>
        <w:t>Partnership with local POS vendors (Square, Pine Labs) for cross-sell</w:t>
      </w:r>
    </w:p>
    <w:p>
      <w:pPr>
        <w:spacing w:before="240" w:after="120"/>
      </w:pPr>
      <w:r>
        <w:rPr>
          <w:b/>
          <w:color w:val="5B21B6"/>
          <w:sz w:val="44"/>
        </w:rPr>
        <w:t>7. Operational Model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2304"/>
            <w:shd w:fill="5B21B6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320"/>
            <w:shd w:fill="5B21B6" w:val="clear"/>
          </w:tcPr>
          <w:p>
            <w:r>
              <w:rPr>
                <w:b/>
                <w:color w:val="FFFFFF"/>
                <w:sz w:val="20"/>
              </w:rPr>
              <w:t>Staffing (Y1)</w:t>
            </w:r>
          </w:p>
        </w:tc>
        <w:tc>
          <w:tcPr>
            <w:tcW w:type="dxa" w:w="3456"/>
            <w:shd w:fill="5B21B6" w:val="clear"/>
          </w:tcPr>
          <w:p>
            <w:r>
              <w:rPr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full-stack + 1 ML eng (contract)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GitHub, Linear, Sentry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Customer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L1 support + AI chat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Zendesk, Intercom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BDE per region (India, SG, MY)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HubSpot CRM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Marketing /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Part-time copywriter + SEO contractor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Ghost blog, Ahrefs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Operations / DevOps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Founder-led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Hostinger VPS + GCP optional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8. Legal &amp; Regulatory</w:t>
      </w:r>
    </w:p>
    <w:p>
      <w:pPr>
        <w:pStyle w:val="ListBullet"/>
      </w:pPr>
      <w:r>
        <w:rPr>
          <w:sz w:val="22"/>
        </w:rPr>
        <w:t>India — DPDP Act 2023 compliance; data resident within IN region</w:t>
      </w:r>
    </w:p>
    <w:p>
      <w:pPr>
        <w:pStyle w:val="ListBullet"/>
      </w:pPr>
      <w:r>
        <w:rPr>
          <w:sz w:val="22"/>
        </w:rPr>
        <w:t>Singapore — PDPA 2012 compliance; register with PDPC if &gt; 10K personal records</w:t>
      </w:r>
    </w:p>
    <w:p>
      <w:pPr>
        <w:pStyle w:val="ListBullet"/>
      </w:pPr>
      <w:r>
        <w:rPr>
          <w:sz w:val="22"/>
        </w:rPr>
        <w:t>Malaysia — PDPA 2010 compliance; appoint local Data Protection Officer</w:t>
      </w:r>
    </w:p>
    <w:p>
      <w:pPr>
        <w:pStyle w:val="ListBullet"/>
      </w:pPr>
      <w:r>
        <w:rPr>
          <w:sz w:val="22"/>
        </w:rPr>
        <w:t>Razorpay merchant agreement and KYC for each region</w:t>
      </w:r>
    </w:p>
    <w:p>
      <w:pPr>
        <w:pStyle w:val="ListBullet"/>
      </w:pPr>
      <w:r>
        <w:rPr>
          <w:sz w:val="22"/>
        </w:rPr>
        <w:t>PCI-DSS SAQ-A scope (payment tokenisation handled by Razorpay, not Vantag)</w:t>
      </w:r>
    </w:p>
    <w:p>
      <w:pPr>
        <w:spacing w:before="240" w:after="120"/>
      </w:pPr>
      <w:r>
        <w:rPr>
          <w:b/>
          <w:color w:val="5B21B6"/>
          <w:sz w:val="44"/>
        </w:rPr>
        <w:t>9. Success Criteria</w:t>
      </w:r>
    </w:p>
    <w:p>
      <w:pPr>
        <w:pStyle w:val="ListBullet"/>
      </w:pPr>
      <w:r>
        <w:rPr>
          <w:sz w:val="22"/>
        </w:rPr>
        <w:t>1,500 paying tenants at month-12</w:t>
      </w:r>
    </w:p>
    <w:p>
      <w:pPr>
        <w:pStyle w:val="ListBullet"/>
      </w:pPr>
      <w:r>
        <w:rPr>
          <w:sz w:val="22"/>
        </w:rPr>
        <w:t>USD 45K MRR exit-run-rate by month-12</w:t>
      </w:r>
    </w:p>
    <w:p>
      <w:pPr>
        <w:pStyle w:val="ListBullet"/>
      </w:pPr>
      <w:r>
        <w:rPr>
          <w:sz w:val="22"/>
        </w:rPr>
        <w:t>Gross margin &gt; 65 %</w:t>
      </w:r>
    </w:p>
    <w:p>
      <w:pPr>
        <w:pStyle w:val="ListBullet"/>
      </w:pPr>
      <w:r>
        <w:rPr>
          <w:sz w:val="22"/>
        </w:rPr>
        <w:t>&lt; 5 P1 incidents per quarter</w:t>
      </w:r>
    </w:p>
    <w:p>
      <w:pPr>
        <w:pStyle w:val="ListBullet"/>
      </w:pPr>
      <w:r>
        <w:rPr>
          <w:sz w:val="22"/>
        </w:rPr>
        <w:t>No data breaches, zero customer video leaks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VT-BRD-002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