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5B21B6"/>
          <w:sz w:val="28"/>
        </w:rPr>
        <w:t>VANTAG RETAIL INTELLIGENCE PLATFORM</w:t>
      </w:r>
    </w:p>
    <w:p>
      <w:pPr>
        <w:jc w:val="center"/>
      </w:pPr>
      <w:r>
        <w:rPr>
          <w:b/>
          <w:color w:val="1F2937"/>
          <w:sz w:val="64"/>
        </w:rPr>
        <w:br/>
        <w:t>Compliance &amp; Privacy Policy</w:t>
      </w:r>
    </w:p>
    <w:p>
      <w:pPr>
        <w:jc w:val="center"/>
      </w:pPr>
      <w:r>
        <w:rPr>
          <w:i/>
          <w:color w:val="6B7280"/>
          <w:sz w:val="28"/>
        </w:rPr>
        <w:t>DPDP / PDPA / GDPR Alignment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873"/>
        <w:gridCol w:w="4873"/>
      </w:tblGrid>
      <w:tr>
        <w:tc>
          <w:tcPr>
            <w:tcW w:type="dxa" w:w="2880"/>
            <w:shd w:fill="F3F4F6" w:val="clear"/>
          </w:tcPr>
          <w:p>
            <w:r>
              <w:rPr>
                <w:b/>
                <w:sz w:val="20"/>
              </w:rPr>
              <w:t>Document Code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VT-CMP-016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Compliance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April 2026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Approved for Release</w:t>
            </w:r>
          </w:p>
        </w:tc>
      </w:tr>
    </w:tbl>
    <w:p/>
    <w:p>
      <w:pPr>
        <w:jc w:val="center"/>
      </w:pPr>
      <w:r>
        <w:rPr>
          <w:i/>
          <w:color w:val="6B7280"/>
          <w:sz w:val="18"/>
        </w:rPr>
        <w:t>© 2026 Vantag. Confidential. Not for redistribution.</w:t>
      </w:r>
    </w:p>
    <w:p>
      <w:r>
        <w:br w:type="page"/>
      </w:r>
    </w:p>
    <w:p>
      <w:pPr>
        <w:spacing w:before="200" w:after="80"/>
      </w:pPr>
      <w:r>
        <w:rPr>
          <w:b/>
          <w:color w:val="1F2937"/>
          <w:sz w:val="32"/>
        </w:rPr>
        <w:t>Table of Contents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52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Policy Statement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Data We Collect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Lawful Basis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User Rights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Third Parties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Retention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7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International Transfers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8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Breach Notification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9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Contact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b/>
          <w:color w:val="5B21B6"/>
          <w:sz w:val="44"/>
        </w:rPr>
        <w:t>1. Policy Statement</w:t>
      </w:r>
    </w:p>
    <w:p>
      <w:pPr>
        <w:spacing w:line="300" w:lineRule="auto"/>
      </w:pPr>
      <w:r>
        <w:rPr>
          <w:b w:val="0"/>
          <w:i w:val="0"/>
          <w:sz w:val="22"/>
        </w:rPr>
        <w:t>Vantag is built privacy-first. Video content stays on your premises. We process only the minimum operational metadata needed to run our service.</w:t>
      </w:r>
    </w:p>
    <w:p>
      <w:pPr>
        <w:spacing w:before="240" w:after="120"/>
      </w:pPr>
      <w:r>
        <w:rPr>
          <w:b/>
          <w:color w:val="5B21B6"/>
          <w:sz w:val="44"/>
        </w:rPr>
        <w:t>2. Data We Collect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5B21B6" w:val="clear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249"/>
            <w:shd w:fill="5B21B6" w:val="clear"/>
          </w:tcPr>
          <w:p>
            <w:r>
              <w:rPr>
                <w:b/>
                <w:color w:val="FFFFFF"/>
                <w:sz w:val="20"/>
              </w:rPr>
              <w:t>Examples</w:t>
            </w:r>
          </w:p>
        </w:tc>
        <w:tc>
          <w:tcPr>
            <w:tcW w:type="dxa" w:w="3249"/>
            <w:shd w:fill="5B21B6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Account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Email, phone, business name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Identify you and communicate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Billing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Tokenised payment references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Charge subscription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Operational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Camera IP, zone polygons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Run AI detectors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Event metadata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Incident type, time, severity, small thumbnails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Alert you; show dashboard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Support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Chat transcripts (if used)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Help you</w:t>
            </w:r>
          </w:p>
        </w:tc>
      </w:tr>
    </w:tbl>
    <w:p>
      <w:pPr>
        <w:spacing w:line="300" w:lineRule="auto"/>
      </w:pPr>
      <w:r>
        <w:rPr>
          <w:b w:val="0"/>
          <w:i w:val="0"/>
          <w:sz w:val="22"/>
        </w:rPr>
        <w:t>We do NOT upload raw video to our servers. Evidence clips are short, per-incident, and stored at rest encrypted.</w:t>
      </w:r>
    </w:p>
    <w:p>
      <w:pPr>
        <w:spacing w:before="240" w:after="120"/>
      </w:pPr>
      <w:r>
        <w:rPr>
          <w:b/>
          <w:color w:val="5B21B6"/>
          <w:sz w:val="44"/>
        </w:rPr>
        <w:t>3. Lawful Basis (GDPR-style)</w:t>
      </w:r>
    </w:p>
    <w:p>
      <w:pPr>
        <w:pStyle w:val="ListBullet"/>
      </w:pPr>
      <w:r>
        <w:rPr>
          <w:sz w:val="22"/>
        </w:rPr>
        <w:t>Performance of contract (subscription)</w:t>
      </w:r>
    </w:p>
    <w:p>
      <w:pPr>
        <w:pStyle w:val="ListBullet"/>
      </w:pPr>
      <w:r>
        <w:rPr>
          <w:sz w:val="22"/>
        </w:rPr>
        <w:t>Legal obligation (tax records)</w:t>
      </w:r>
    </w:p>
    <w:p>
      <w:pPr>
        <w:pStyle w:val="ListBullet"/>
      </w:pPr>
      <w:r>
        <w:rPr>
          <w:sz w:val="22"/>
        </w:rPr>
        <w:t>Legitimate interest (fraud prevention, uptime)</w:t>
      </w:r>
    </w:p>
    <w:p>
      <w:pPr>
        <w:pStyle w:val="ListBullet"/>
      </w:pPr>
      <w:r>
        <w:rPr>
          <w:sz w:val="22"/>
        </w:rPr>
        <w:t>Consent (marketing emails — opt-in)</w:t>
      </w:r>
    </w:p>
    <w:p>
      <w:pPr>
        <w:spacing w:before="240" w:after="120"/>
      </w:pPr>
      <w:r>
        <w:rPr>
          <w:b/>
          <w:color w:val="5B21B6"/>
          <w:sz w:val="44"/>
        </w:rPr>
        <w:t>4. User Rights</w:t>
      </w:r>
    </w:p>
    <w:p>
      <w:pPr>
        <w:pStyle w:val="ListBullet"/>
      </w:pPr>
      <w:r>
        <w:rPr>
          <w:sz w:val="22"/>
        </w:rPr>
        <w:t>Access — download your data via Settings → Export</w:t>
      </w:r>
    </w:p>
    <w:p>
      <w:pPr>
        <w:pStyle w:val="ListBullet"/>
      </w:pPr>
      <w:r>
        <w:rPr>
          <w:sz w:val="22"/>
        </w:rPr>
        <w:t>Rectification — edit profile in Settings</w:t>
      </w:r>
    </w:p>
    <w:p>
      <w:pPr>
        <w:pStyle w:val="ListBullet"/>
      </w:pPr>
      <w:r>
        <w:rPr>
          <w:sz w:val="22"/>
        </w:rPr>
        <w:t>Erasure — request deletion; completed within 30 days</w:t>
      </w:r>
    </w:p>
    <w:p>
      <w:pPr>
        <w:pStyle w:val="ListBullet"/>
      </w:pPr>
      <w:r>
        <w:rPr>
          <w:sz w:val="22"/>
        </w:rPr>
        <w:t>Portability — JSON export of all your records</w:t>
      </w:r>
    </w:p>
    <w:p>
      <w:pPr>
        <w:pStyle w:val="ListBullet"/>
      </w:pPr>
      <w:r>
        <w:rPr>
          <w:sz w:val="22"/>
        </w:rPr>
        <w:t>Object — to non-essential processing</w:t>
      </w:r>
    </w:p>
    <w:p>
      <w:pPr>
        <w:pStyle w:val="ListBullet"/>
      </w:pPr>
      <w:r>
        <w:rPr>
          <w:sz w:val="22"/>
        </w:rPr>
        <w:t>Complaint — file with local DPA (PDPC, DPDP Board, PDPC-MY)</w:t>
      </w:r>
    </w:p>
    <w:p>
      <w:pPr>
        <w:spacing w:before="240" w:after="120"/>
      </w:pPr>
      <w:r>
        <w:rPr>
          <w:b/>
          <w:color w:val="5B21B6"/>
          <w:sz w:val="44"/>
        </w:rPr>
        <w:t>5. Third Parties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5B21B6" w:val="clear"/>
          </w:tcPr>
          <w:p>
            <w:r>
              <w:rPr>
                <w:b/>
                <w:color w:val="FFFFFF"/>
                <w:sz w:val="20"/>
              </w:rPr>
              <w:t>Vendor</w:t>
            </w:r>
          </w:p>
        </w:tc>
        <w:tc>
          <w:tcPr>
            <w:tcW w:type="dxa" w:w="2436"/>
            <w:shd w:fill="5B21B6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436"/>
            <w:shd w:fill="5B21B6" w:val="clear"/>
          </w:tcPr>
          <w:p>
            <w:r>
              <w:rPr>
                <w:b/>
                <w:color w:val="FFFFFF"/>
                <w:sz w:val="20"/>
              </w:rPr>
              <w:t>Data Shared</w:t>
            </w:r>
          </w:p>
        </w:tc>
        <w:tc>
          <w:tcPr>
            <w:tcW w:type="dxa" w:w="2436"/>
            <w:shd w:fill="5B21B6" w:val="clear"/>
          </w:tcPr>
          <w:p>
            <w:r>
              <w:rPr>
                <w:b/>
                <w:color w:val="FFFFFF"/>
                <w:sz w:val="20"/>
              </w:rPr>
              <w:t>Region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Razorpay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Payments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Tokenised card, email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Within region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Gmail SMTP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Transactional email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Email address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Google (US)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Hostinger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Hosting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All (encrypted)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India / global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OpenAI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Support chat (opt-in)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Chat messages (no PII)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US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Sentry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Error tracking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Stack traces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EU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Cloudflare Turnstile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Bot defence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IP + browser fingerprint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Global CDN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6. Retention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873"/>
        <w:gridCol w:w="4873"/>
      </w:tblGrid>
      <w:tr>
        <w:tc>
          <w:tcPr>
            <w:tcW w:type="dxa" w:w="4873"/>
            <w:shd w:fill="5B21B6" w:val="clear"/>
          </w:tcPr>
          <w:p>
            <w:r>
              <w:rPr>
                <w:b/>
                <w:color w:val="FFFFFF"/>
                <w:sz w:val="20"/>
              </w:rPr>
              <w:t>Plan</w:t>
            </w:r>
          </w:p>
        </w:tc>
        <w:tc>
          <w:tcPr>
            <w:tcW w:type="dxa" w:w="4873"/>
            <w:shd w:fill="5B21B6" w:val="clear"/>
          </w:tcPr>
          <w:p>
            <w:r>
              <w:rPr>
                <w:b/>
                <w:color w:val="FFFFFF"/>
                <w:sz w:val="20"/>
              </w:rPr>
              <w:t>Events retained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Starter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30 days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Growth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90 days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Pro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365 days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Tax / billing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7 years (statutory)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Deleted accounts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Removed in 30 days; backups purged in 90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7. International Transfers</w:t>
      </w:r>
    </w:p>
    <w:p>
      <w:pPr>
        <w:spacing w:line="300" w:lineRule="auto"/>
      </w:pPr>
      <w:r>
        <w:rPr>
          <w:b w:val="0"/>
          <w:i w:val="0"/>
          <w:sz w:val="22"/>
        </w:rPr>
        <w:t>Data for India tenants is stored in India (AWS ap-south-1 / Hostinger Mumbai). Singapore tenant data stored in SG. Malaysia tenant data stored in MY (AWS ap-southeast-3 or Hostinger local). Cross-border transfers follow Standard Contractual Clauses where applicable.</w:t>
      </w:r>
    </w:p>
    <w:p>
      <w:pPr>
        <w:spacing w:before="240" w:after="120"/>
      </w:pPr>
      <w:r>
        <w:rPr>
          <w:b/>
          <w:color w:val="5B21B6"/>
          <w:sz w:val="44"/>
        </w:rPr>
        <w:t>8. Breach Notification</w:t>
      </w:r>
    </w:p>
    <w:p>
      <w:pPr>
        <w:spacing w:line="300" w:lineRule="auto"/>
      </w:pPr>
      <w:r>
        <w:rPr>
          <w:b w:val="0"/>
          <w:i w:val="0"/>
          <w:sz w:val="22"/>
        </w:rPr>
        <w:t>In the unlikely event of a personal-data breach, we notify affected users within 72 hours and the relevant data-protection authority as required by law.</w:t>
      </w:r>
    </w:p>
    <w:p>
      <w:pPr>
        <w:spacing w:before="240" w:after="120"/>
      </w:pPr>
      <w:r>
        <w:rPr>
          <w:b/>
          <w:color w:val="5B21B6"/>
          <w:sz w:val="44"/>
        </w:rPr>
        <w:t>9. Contact</w:t>
      </w:r>
    </w:p>
    <w:p>
      <w:pPr>
        <w:spacing w:line="300" w:lineRule="auto"/>
      </w:pPr>
      <w:r>
        <w:rPr>
          <w:b w:val="0"/>
          <w:i w:val="0"/>
          <w:sz w:val="22"/>
        </w:rPr>
        <w:t>Data Protection Officer: dpo@retail-vantag.com</w:t>
      </w:r>
    </w:p>
    <w:p>
      <w:pPr>
        <w:spacing w:line="300" w:lineRule="auto"/>
      </w:pPr>
      <w:r>
        <w:rPr>
          <w:b w:val="0"/>
          <w:i w:val="0"/>
          <w:sz w:val="22"/>
        </w:rPr>
        <w:t>Support: support@retail-vantag.com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Vantag — VT-CMP-016 — Confidential  | 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