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0A3E0"/>
          <w:sz w:val="20"/>
        </w:rPr>
        <w:t>TECHNICAL DESIGN DOCUMENTATION</w:t>
      </w:r>
    </w:p>
    <w:p>
      <w:pPr>
        <w:spacing w:before="0" w:after="240"/>
      </w:pPr>
      <w:r>
        <w:rPr>
          <w:rFonts w:ascii="Segoe UI Semibold" w:hAnsi="Segoe UI Semibold"/>
          <w:b/>
          <w:color w:val="1B365D"/>
          <w:sz w:val="44"/>
        </w:rPr>
        <w:t>Enterprise RAG Architecture using Snowflake Cortex Search &amp; Streamlit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592"/>
            <w:shd w:fill="F4F6F8"/>
            <w:tcMar>
              <w:top w:w="60" w:type="dxa"/>
              <w:bottom w:w="60" w:type="dxa"/>
              <w:left w:w="100" w:type="dxa"/>
              <w:right w:w="100" w:type="dxa"/>
            </w:tcMar>
          </w:tcPr>
          <w:p>
            <w:pPr>
              <w:spacing w:after="0"/>
            </w:pPr>
            <w:r>
              <w:rPr>
                <w:b/>
                <w:color w:val="1B365D"/>
                <w:sz w:val="19"/>
              </w:rPr>
              <w:t>Document Title:</w:t>
            </w:r>
          </w:p>
        </w:tc>
        <w:tc>
          <w:tcPr>
            <w:tcW w:type="dxa" w:w="6768"/>
            <w:shd w:fill="F4F6F8"/>
            <w:tcMar>
              <w:top w:w="60" w:type="dxa"/>
              <w:bottom w:w="60" w:type="dxa"/>
              <w:left w:w="100" w:type="dxa"/>
              <w:right w:w="100" w:type="dxa"/>
            </w:tcMar>
          </w:tcPr>
          <w:p>
            <w:pPr>
              <w:spacing w:after="0"/>
            </w:pPr>
            <w:r>
              <w:rPr>
                <w:sz w:val="19"/>
              </w:rPr>
              <w:t>Snowflake Cortex Search &amp; Conversational Chatbot Design Doc</w:t>
            </w:r>
          </w:p>
        </w:tc>
      </w:tr>
      <w:tr>
        <w:tc>
          <w:tcPr>
            <w:tcW w:type="dxa" w:w="2592"/>
            <w:shd w:fill="F4F6F8"/>
            <w:tcMar>
              <w:top w:w="60" w:type="dxa"/>
              <w:bottom w:w="60" w:type="dxa"/>
              <w:left w:w="100" w:type="dxa"/>
              <w:right w:w="100" w:type="dxa"/>
            </w:tcMar>
          </w:tcPr>
          <w:p>
            <w:pPr>
              <w:spacing w:after="0"/>
            </w:pPr>
            <w:r>
              <w:rPr>
                <w:b/>
                <w:color w:val="1B365D"/>
                <w:sz w:val="19"/>
              </w:rPr>
              <w:t>Author / Project:</w:t>
            </w:r>
          </w:p>
        </w:tc>
        <w:tc>
          <w:tcPr>
            <w:tcW w:type="dxa" w:w="6768"/>
            <w:shd w:fill="F4F6F8"/>
            <w:tcMar>
              <w:top w:w="60" w:type="dxa"/>
              <w:bottom w:w="60" w:type="dxa"/>
              <w:left w:w="100" w:type="dxa"/>
              <w:right w:w="100" w:type="dxa"/>
            </w:tcMar>
          </w:tcPr>
          <w:p>
            <w:pPr>
              <w:spacing w:after="0"/>
            </w:pPr>
            <w:r>
              <w:rPr>
                <w:sz w:val="19"/>
              </w:rPr>
              <w:t>Enterprise Data &amp; AI Engineering Team</w:t>
            </w:r>
          </w:p>
        </w:tc>
      </w:tr>
      <w:tr>
        <w:tc>
          <w:tcPr>
            <w:tcW w:type="dxa" w:w="2592"/>
            <w:shd w:fill="F4F6F8"/>
            <w:tcMar>
              <w:top w:w="60" w:type="dxa"/>
              <w:bottom w:w="60" w:type="dxa"/>
              <w:left w:w="100" w:type="dxa"/>
              <w:right w:w="100" w:type="dxa"/>
            </w:tcMar>
          </w:tcPr>
          <w:p>
            <w:pPr>
              <w:spacing w:after="0"/>
            </w:pPr>
            <w:r>
              <w:rPr>
                <w:b/>
                <w:color w:val="1B365D"/>
                <w:sz w:val="19"/>
              </w:rPr>
              <w:t>Target Platform:</w:t>
            </w:r>
          </w:p>
        </w:tc>
        <w:tc>
          <w:tcPr>
            <w:tcW w:type="dxa" w:w="6768"/>
            <w:shd w:fill="F4F6F8"/>
            <w:tcMar>
              <w:top w:w="60" w:type="dxa"/>
              <w:bottom w:w="60" w:type="dxa"/>
              <w:left w:w="100" w:type="dxa"/>
              <w:right w:w="100" w:type="dxa"/>
            </w:tcMar>
          </w:tcPr>
          <w:p>
            <w:pPr>
              <w:spacing w:after="0"/>
            </w:pPr>
            <w:r>
              <w:rPr>
                <w:sz w:val="19"/>
              </w:rPr>
              <w:t>Snowflake Cortex, Streamlit in Snowflake (SiS), Python 3.10+</w:t>
            </w:r>
          </w:p>
        </w:tc>
      </w:tr>
      <w:tr>
        <w:tc>
          <w:tcPr>
            <w:tcW w:type="dxa" w:w="2592"/>
            <w:shd w:fill="F4F6F8"/>
            <w:tcMar>
              <w:top w:w="60" w:type="dxa"/>
              <w:bottom w:w="60" w:type="dxa"/>
              <w:left w:w="100" w:type="dxa"/>
              <w:right w:w="100" w:type="dxa"/>
            </w:tcMar>
          </w:tcPr>
          <w:p>
            <w:pPr>
              <w:spacing w:after="0"/>
            </w:pPr>
            <w:r>
              <w:rPr>
                <w:b/>
                <w:color w:val="1B365D"/>
                <w:sz w:val="19"/>
              </w:rPr>
              <w:t>Status &amp; Date:</w:t>
            </w:r>
          </w:p>
        </w:tc>
        <w:tc>
          <w:tcPr>
            <w:tcW w:type="dxa" w:w="6768"/>
            <w:shd w:fill="F4F6F8"/>
            <w:tcMar>
              <w:top w:w="60" w:type="dxa"/>
              <w:bottom w:w="60" w:type="dxa"/>
              <w:left w:w="100" w:type="dxa"/>
              <w:right w:w="100" w:type="dxa"/>
            </w:tcMar>
          </w:tcPr>
          <w:p>
            <w:pPr>
              <w:spacing w:after="0"/>
            </w:pPr>
            <w:r>
              <w:rPr>
                <w:sz w:val="19"/>
              </w:rPr>
              <w:t>Draft v1.0 | October 2026</w:t>
            </w:r>
          </w:p>
        </w:tc>
      </w:tr>
    </w:tbl>
    <w:p>
      <w:pPr>
        <w:spacing w:after="120"/>
      </w:pPr>
    </w:p>
    <w:p>
      <w:pPr>
        <w:keepNext/>
        <w:spacing w:before="320" w:after="120"/>
      </w:pPr>
      <w:r>
        <w:rPr>
          <w:rFonts w:ascii="Segoe UI Semibold" w:hAnsi="Segoe UI Semibold"/>
          <w:b/>
          <w:color w:val="1B365D"/>
          <w:sz w:val="36"/>
        </w:rPr>
        <w:t>1. Executive Summary &amp; Architecture Overview</w:t>
      </w:r>
    </w:p>
    <w:p>
      <w:r>
        <w:t>This technical design document outlines the enterprise architecture, data pipeline, and application specifications for implementing a Retrieval-Augmented Generation (RAG) system utilizing Snowflake Cortex Search and Streamlit. The platform processes unstructured PDF specification guides and user manuals, converts them into parsed tabular text chunks, indexes them using Cortex Search vector services, and exposes both a single-turn Query Assistant and a multi-turn Conversational Chatbot interface.</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1B365D"/>
              <w:top w:val="none"/>
              <w:right w:val="none"/>
              <w:bottom w:val="none"/>
            </w:tcBorders>
          </w:tcPr>
          <w:p>
            <w:pPr>
              <w:spacing w:before="0" w:after="40"/>
            </w:pPr>
            <w:r>
              <w:rPr>
                <w:b/>
                <w:color w:val="1B365D"/>
                <w:sz w:val="20"/>
              </w:rPr>
              <w:t>■ ARCHITECTURE HIGHLIGHT</w:t>
              <w:br/>
            </w:r>
            <w:r>
              <w:rPr>
                <w:color w:val="222222"/>
                <w:sz w:val="19"/>
              </w:rPr>
              <w:t>Key Benefit: The architecture leverages Snowflake-native capabilities (Cortex Parse Document &amp; Cortex Search), eliminating external vector database licensing, data movement overhead, and third-party API exposure.</w:t>
            </w:r>
          </w:p>
        </w:tc>
      </w:tr>
    </w:tbl>
    <w:p>
      <w:pPr>
        <w:spacing w:before="0" w:after="80"/>
      </w:pPr>
    </w:p>
    <w:p>
      <w:pPr>
        <w:keepNext/>
        <w:spacing w:before="320" w:after="120"/>
      </w:pPr>
      <w:r>
        <w:rPr>
          <w:rFonts w:ascii="Segoe UI Semibold" w:hAnsi="Segoe UI Semibold"/>
          <w:b/>
          <w:color w:val="1B365D"/>
          <w:sz w:val="36"/>
        </w:rPr>
        <w:t>2. Data Ingestion &amp; SQL Infrastructure Setup</w:t>
      </w:r>
    </w:p>
    <w:p>
      <w:r>
        <w:t>The data preparation layer establishes encrypted internal staging, directory tables for tracking uploaded documents, and automated document parsing workflows. Below is the structured database setup and staging hierarchy: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B365D"/>
            <w:tcMar>
              <w:top w:w="100" w:type="dxa"/>
              <w:bottom w:w="100" w:type="dxa"/>
              <w:left w:w="120" w:type="dxa"/>
              <w:right w:w="120" w:type="dxa"/>
            </w:tcMar>
          </w:tcPr>
          <w:p>
            <w:pPr>
              <w:spacing w:after="0"/>
            </w:pPr>
            <w:r>
              <w:rPr>
                <w:b/>
                <w:color w:val="FFFFFF"/>
              </w:rPr>
              <w:t>Stage Phase</w:t>
            </w:r>
          </w:p>
        </w:tc>
        <w:tc>
          <w:tcPr>
            <w:tcW w:type="dxa" w:w="3168"/>
            <w:shd w:fill="1B365D"/>
            <w:tcMar>
              <w:top w:w="100" w:type="dxa"/>
              <w:bottom w:w="100" w:type="dxa"/>
              <w:left w:w="120" w:type="dxa"/>
              <w:right w:w="120" w:type="dxa"/>
            </w:tcMar>
          </w:tcPr>
          <w:p>
            <w:pPr>
              <w:spacing w:after="0"/>
            </w:pPr>
            <w:r>
              <w:rPr>
                <w:b/>
                <w:color w:val="FFFFFF"/>
              </w:rPr>
              <w:t>Object / Function</w:t>
            </w:r>
          </w:p>
        </w:tc>
        <w:tc>
          <w:tcPr>
            <w:tcW w:type="dxa" w:w="4032"/>
            <w:shd w:fill="1B365D"/>
            <w:tcMar>
              <w:top w:w="100" w:type="dxa"/>
              <w:bottom w:w="100" w:type="dxa"/>
              <w:left w:w="120" w:type="dxa"/>
              <w:right w:w="120" w:type="dxa"/>
            </w:tcMar>
          </w:tcPr>
          <w:p>
            <w:pPr>
              <w:spacing w:after="0"/>
            </w:pPr>
            <w:r>
              <w:rPr>
                <w:b/>
                <w:color w:val="FFFFFF"/>
              </w:rPr>
              <w:t>Technical Description</w:t>
            </w:r>
          </w:p>
        </w:tc>
      </w:tr>
      <w:tr>
        <w:tc>
          <w:tcPr>
            <w:tcW w:type="dxa" w:w="2160"/>
            <w:shd w:fill="F4F6F8"/>
            <w:tcMar>
              <w:top w:w="80" w:type="dxa"/>
              <w:bottom w:w="80" w:type="dxa"/>
              <w:left w:w="100" w:type="dxa"/>
              <w:right w:w="100" w:type="dxa"/>
            </w:tcMar>
          </w:tcPr>
          <w:p>
            <w:pPr>
              <w:spacing w:after="0"/>
            </w:pPr>
            <w:r>
              <w:t>1. Database Setup</w:t>
            </w:r>
          </w:p>
        </w:tc>
        <w:tc>
          <w:tcPr>
            <w:tcW w:type="dxa" w:w="3168"/>
            <w:shd w:fill="F4F6F8"/>
            <w:tcMar>
              <w:top w:w="80" w:type="dxa"/>
              <w:bottom w:w="80" w:type="dxa"/>
              <w:left w:w="100" w:type="dxa"/>
              <w:right w:w="100" w:type="dxa"/>
            </w:tcMar>
          </w:tcPr>
          <w:p>
            <w:pPr>
              <w:spacing w:after="0"/>
            </w:pPr>
            <w:r>
              <w:t>CC_QUICKSTART_CORTEX_SEARCH_DOCS.DATA</w:t>
            </w:r>
          </w:p>
        </w:tc>
        <w:tc>
          <w:tcPr>
            <w:tcW w:type="dxa" w:w="4032"/>
            <w:shd w:fill="F4F6F8"/>
            <w:tcMar>
              <w:top w:w="80" w:type="dxa"/>
              <w:bottom w:w="80" w:type="dxa"/>
              <w:left w:w="100" w:type="dxa"/>
              <w:right w:w="100" w:type="dxa"/>
            </w:tcMar>
          </w:tcPr>
          <w:p>
            <w:pPr>
              <w:spacing w:after="0"/>
            </w:pPr>
            <w:r>
              <w:t>Dedicated schema and workspace for document staging, parsed tables, and vector indexes.</w:t>
            </w:r>
          </w:p>
        </w:tc>
      </w:tr>
      <w:tr>
        <w:tc>
          <w:tcPr>
            <w:tcW w:type="dxa" w:w="2160"/>
            <w:shd w:fill="FFFFFF"/>
            <w:tcMar>
              <w:top w:w="80" w:type="dxa"/>
              <w:bottom w:w="80" w:type="dxa"/>
              <w:left w:w="100" w:type="dxa"/>
              <w:right w:w="100" w:type="dxa"/>
            </w:tcMar>
          </w:tcPr>
          <w:p>
            <w:pPr>
              <w:spacing w:after="0"/>
            </w:pPr>
            <w:r>
              <w:t>2. Staging Layer</w:t>
            </w:r>
          </w:p>
        </w:tc>
        <w:tc>
          <w:tcPr>
            <w:tcW w:type="dxa" w:w="3168"/>
            <w:shd w:fill="FFFFFF"/>
            <w:tcMar>
              <w:top w:w="80" w:type="dxa"/>
              <w:bottom w:w="80" w:type="dxa"/>
              <w:left w:w="100" w:type="dxa"/>
              <w:right w:w="100" w:type="dxa"/>
            </w:tcMar>
          </w:tcPr>
          <w:p>
            <w:pPr>
              <w:spacing w:after="0"/>
            </w:pPr>
            <w:r>
              <w:t>@DOCS (Snowflake SSE Stage)</w:t>
            </w:r>
          </w:p>
        </w:tc>
        <w:tc>
          <w:tcPr>
            <w:tcW w:type="dxa" w:w="4032"/>
            <w:shd w:fill="FFFFFF"/>
            <w:tcMar>
              <w:top w:w="80" w:type="dxa"/>
              <w:bottom w:w="80" w:type="dxa"/>
              <w:left w:w="100" w:type="dxa"/>
              <w:right w:w="100" w:type="dxa"/>
            </w:tcMar>
          </w:tcPr>
          <w:p>
            <w:pPr>
              <w:spacing w:after="0"/>
            </w:pPr>
            <w:r>
              <w:t>Internal stage with DIRECTORY = (ENABLE = TRUE) to manage uploaded PDF specification guides.</w:t>
            </w:r>
          </w:p>
        </w:tc>
      </w:tr>
      <w:tr>
        <w:tc>
          <w:tcPr>
            <w:tcW w:type="dxa" w:w="2160"/>
            <w:shd w:fill="F4F6F8"/>
            <w:tcMar>
              <w:top w:w="80" w:type="dxa"/>
              <w:bottom w:w="80" w:type="dxa"/>
              <w:left w:w="100" w:type="dxa"/>
              <w:right w:w="100" w:type="dxa"/>
            </w:tcMar>
          </w:tcPr>
          <w:p>
            <w:pPr>
              <w:spacing w:after="0"/>
            </w:pPr>
            <w:r>
              <w:t>3. Parsing Pipeline</w:t>
            </w:r>
          </w:p>
        </w:tc>
        <w:tc>
          <w:tcPr>
            <w:tcW w:type="dxa" w:w="3168"/>
            <w:shd w:fill="F4F6F8"/>
            <w:tcMar>
              <w:top w:w="80" w:type="dxa"/>
              <w:bottom w:w="80" w:type="dxa"/>
              <w:left w:w="100" w:type="dxa"/>
              <w:right w:w="100" w:type="dxa"/>
            </w:tcMar>
          </w:tcPr>
          <w:p>
            <w:pPr>
              <w:spacing w:after="0"/>
            </w:pPr>
            <w:r>
              <w:t>SNOWFLAKE.CORTEX.PARSE_DOCUMENT</w:t>
            </w:r>
          </w:p>
        </w:tc>
        <w:tc>
          <w:tcPr>
            <w:tcW w:type="dxa" w:w="4032"/>
            <w:shd w:fill="F4F6F8"/>
            <w:tcMar>
              <w:top w:w="80" w:type="dxa"/>
              <w:bottom w:w="80" w:type="dxa"/>
              <w:left w:w="100" w:type="dxa"/>
              <w:right w:w="100" w:type="dxa"/>
            </w:tcMar>
          </w:tcPr>
          <w:p>
            <w:pPr>
              <w:spacing w:after="0"/>
            </w:pPr>
            <w:r>
              <w:t>Extracts raw text content, layout structures, and metadata from staging PDF files.</w:t>
            </w:r>
          </w:p>
        </w:tc>
      </w:tr>
      <w:tr>
        <w:tc>
          <w:tcPr>
            <w:tcW w:type="dxa" w:w="2160"/>
            <w:shd w:fill="FFFFFF"/>
            <w:tcMar>
              <w:top w:w="80" w:type="dxa"/>
              <w:bottom w:w="80" w:type="dxa"/>
              <w:left w:w="100" w:type="dxa"/>
              <w:right w:w="100" w:type="dxa"/>
            </w:tcMar>
          </w:tcPr>
          <w:p>
            <w:pPr>
              <w:spacing w:after="0"/>
            </w:pPr>
            <w:r>
              <w:t>4. Indexing Service</w:t>
            </w:r>
          </w:p>
        </w:tc>
        <w:tc>
          <w:tcPr>
            <w:tcW w:type="dxa" w:w="3168"/>
            <w:shd w:fill="FFFFFF"/>
            <w:tcMar>
              <w:top w:w="80" w:type="dxa"/>
              <w:bottom w:w="80" w:type="dxa"/>
              <w:left w:w="100" w:type="dxa"/>
              <w:right w:w="100" w:type="dxa"/>
            </w:tcMar>
          </w:tcPr>
          <w:p>
            <w:pPr>
              <w:spacing w:after="0"/>
            </w:pPr>
            <w:r>
              <w:t>CORTEX SEARCH SERVICE (CC_SEARCH_SERVICE_CS)</w:t>
            </w:r>
          </w:p>
        </w:tc>
        <w:tc>
          <w:tcPr>
            <w:tcW w:type="dxa" w:w="4032"/>
            <w:shd w:fill="FFFFFF"/>
            <w:tcMar>
              <w:top w:w="80" w:type="dxa"/>
              <w:bottom w:w="80" w:type="dxa"/>
              <w:left w:w="100" w:type="dxa"/>
              <w:right w:w="100" w:type="dxa"/>
            </w:tcMar>
          </w:tcPr>
          <w:p>
            <w:pPr>
              <w:spacing w:after="0"/>
            </w:pPr>
            <w:r>
              <w:t>Vector index providing hybrid semantic + keyword search over document chunks and categories.</w:t>
            </w:r>
          </w:p>
        </w:tc>
      </w:tr>
    </w:tbl>
    <w:p>
      <w:pPr>
        <w:spacing w:after="120"/>
      </w:pPr>
    </w:p>
    <w:p>
      <w:pPr>
        <w:keepNext/>
        <w:spacing w:before="240" w:after="80"/>
      </w:pPr>
      <w:r>
        <w:rPr>
          <w:rFonts w:ascii="Segoe UI Semibold" w:hAnsi="Segoe UI Semibold"/>
          <w:b/>
          <w:color w:val="00A3E0"/>
          <w:sz w:val="28"/>
        </w:rPr>
        <w:t>2.1 SQL Execution Workflow</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Pr>
          <w:p>
            <w:pPr>
              <w:spacing w:before="0" w:after="0"/>
            </w:pPr>
            <w:r>
              <w:rPr>
                <w:rFonts w:ascii="Consolas" w:hAnsi="Consolas"/>
                <w:color w:val="808080"/>
                <w:sz w:val="17"/>
              </w:rPr>
              <w:t>-- [SQL]</w:t>
              <w:br/>
            </w:r>
            <w:r>
              <w:rPr>
                <w:rFonts w:ascii="Consolas" w:hAnsi="Consolas"/>
                <w:color w:val="D4D4D4"/>
                <w:sz w:val="18"/>
              </w:rPr>
              <w:t>-- Step 1: Database and Schema Initialization</w:t>
              <w:br/>
              <w:t>CREATE DATABASE IF NOT EXISTS CC_QUICKSTART_CORTEX_SEARCH_DOCS;</w:t>
              <w:br/>
              <w:t>CREATE SCHEMA IF NOT EXISTS DATA;</w:t>
              <w:br/>
              <w:br/>
              <w:t>-- Step 2: Stage Creation with Directory Enabled</w:t>
              <w:br/>
              <w:t xml:space="preserve">CREATE OR REPLACE STAGE docs </w:t>
              <w:br/>
              <w:t xml:space="preserve">  ENCRYPTION = (TYPE = 'SNOWFLAKE_SSE') </w:t>
              <w:br/>
              <w:t xml:space="preserve">  DIRECTORY = (ENABLE = true);</w:t>
              <w:br/>
              <w:br/>
              <w:t>-- Verify Uploaded Files</w:t>
              <w:br/>
              <w:t>LS @docs;</w:t>
              <w:br/>
              <w:br/>
              <w:t>-- Step 3: Raw Document Parsing via Cortex</w:t>
              <w:br/>
              <w:t>CREATE OR REPLACE TEMPORARY TABLE CC_QUICKSTART_CORTEX_SEARCH_DOCS.DATA.RAW_TEXT AS</w:t>
              <w:br/>
              <w:t>WITH FILE_TABLE AS (</w:t>
              <w:br/>
              <w:t xml:space="preserve">  SELECT RELATIVE_PATH, SIZE, FILE_URL</w:t>
              <w:br/>
              <w:t xml:space="preserve">  FROM DIRECTORY(@docs)</w:t>
              <w:br/>
              <w:t>)</w:t>
              <w:br/>
              <w:t xml:space="preserve">SELECT </w:t>
              <w:br/>
              <w:t xml:space="preserve">  RELATIVE_PATH,</w:t>
              <w:br/>
              <w:t xml:space="preserve">  SNOWFLAKE.CORTEX.PARSE_DOCUMENT(@docs, RELATIVE_PATH) AS PARSED_CONTENT</w:t>
              <w:br/>
              <w:t>FROM FILE_TABLE;</w:t>
            </w:r>
          </w:p>
        </w:tc>
      </w:tr>
    </w:tbl>
    <w:p>
      <w:pPr>
        <w:spacing w:before="0" w:after="80"/>
      </w:pPr>
    </w:p>
    <w:p>
      <w:pPr>
        <w:keepNext/>
        <w:spacing w:before="320" w:after="120"/>
      </w:pPr>
      <w:r>
        <w:rPr>
          <w:rFonts w:ascii="Segoe UI Semibold" w:hAnsi="Segoe UI Semibold"/>
          <w:b/>
          <w:color w:val="1B365D"/>
          <w:sz w:val="36"/>
        </w:rPr>
        <w:t>3. Application Component Design</w:t>
      </w:r>
    </w:p>
    <w:p>
      <w:pPr>
        <w:keepNext/>
        <w:spacing w:before="240" w:after="80"/>
      </w:pPr>
      <w:r>
        <w:rPr>
          <w:rFonts w:ascii="Segoe UI Semibold" w:hAnsi="Segoe UI Semibold"/>
          <w:b/>
          <w:color w:val="00A3E0"/>
          <w:sz w:val="28"/>
        </w:rPr>
        <w:t>3.1 Single-Turn Query Application (CC_CORTEX_SEARCH_APP.py)</w:t>
      </w:r>
    </w:p>
    <w:p>
      <w:r>
        <w:t>The single-turn application allows users to query specification guides directly. It implements filtered vector retrieval based on selected product categories and forwards retrieved text chunks as ground-truth context to large language models (e.g., Llama 3.1 70B).</w:t>
      </w:r>
    </w:p>
    <w:p>
      <w:pPr>
        <w:keepNext/>
        <w:spacing w:before="160" w:after="40"/>
      </w:pPr>
      <w:r>
        <w:rPr>
          <w:rFonts w:ascii="Segoe UI" w:hAnsi="Segoe UI"/>
          <w:b/>
          <w:color w:val="1B365D"/>
          <w:sz w:val="23"/>
        </w:rPr>
        <w:t>Key Service Parameters &amp; Config:</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Pr>
          <w:p>
            <w:pPr>
              <w:spacing w:before="0" w:after="0"/>
            </w:pPr>
            <w:r>
              <w:rPr>
                <w:rFonts w:ascii="Consolas" w:hAnsi="Consolas"/>
                <w:color w:val="808080"/>
                <w:sz w:val="17"/>
              </w:rPr>
              <w:t>-- [Python]</w:t>
              <w:br/>
            </w:r>
            <w:r>
              <w:rPr>
                <w:rFonts w:ascii="Consolas" w:hAnsi="Consolas"/>
                <w:color w:val="D4D4D4"/>
                <w:sz w:val="18"/>
              </w:rPr>
              <w:t>NUM_CHUNKS = 3  # Number of document chunks retrieved as context</w:t>
              <w:br/>
              <w:br/>
              <w:t>CORTEX_SEARCH_DATABASE = "CC_QUICKSTART_CORTEX_SEARCH_DOCS"</w:t>
              <w:br/>
              <w:t>CORTEX_SEARCH_SCHEMA   = "DATA"</w:t>
              <w:br/>
              <w:t>CORTEX_SEARCH_SERVICE  = "CC_SEARCH_SERVICE_CS"</w:t>
              <w:br/>
              <w:br/>
              <w:t>COLUMNS = ["chunk", "chunk_index", "relative_path", "category"]</w:t>
            </w:r>
          </w:p>
        </w:tc>
      </w:tr>
    </w:tbl>
    <w:p>
      <w:pPr>
        <w:spacing w:before="0" w:after="80"/>
      </w:pPr>
    </w:p>
    <w:p>
      <w:pPr>
        <w:keepNext/>
        <w:spacing w:before="240" w:after="80"/>
      </w:pPr>
      <w:r>
        <w:rPr>
          <w:rFonts w:ascii="Segoe UI Semibold" w:hAnsi="Segoe UI Semibold"/>
          <w:b/>
          <w:color w:val="00A3E0"/>
          <w:sz w:val="28"/>
        </w:rPr>
        <w:t>3.2 Multi-Turn Conversational Chatbot (CC_CORTEX_SEARCH_APP_CHATBOT.py)</w:t>
      </w:r>
    </w:p>
    <w:p>
      <w:r>
        <w:t>The interactive chatbot extends the single-turn architecture by maintaining conversation history, managing a sliding window of recent user queries, and incorporating dynamic debug views for search score evaluation.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2880"/>
            <w:shd w:fill="1B365D"/>
            <w:tcMar>
              <w:top w:w="100" w:type="dxa"/>
              <w:bottom w:w="100" w:type="dxa"/>
              <w:left w:w="120" w:type="dxa"/>
              <w:right w:w="120" w:type="dxa"/>
            </w:tcMar>
          </w:tcPr>
          <w:p>
            <w:r>
              <w:rPr>
                <w:b/>
                <w:color w:val="FFFFFF"/>
              </w:rPr>
              <w:t>Chatbot Feature</w:t>
            </w:r>
          </w:p>
        </w:tc>
        <w:tc>
          <w:tcPr>
            <w:tcW w:type="dxa" w:w="6480"/>
            <w:shd w:fill="1B365D"/>
            <w:tcMar>
              <w:top w:w="100" w:type="dxa"/>
              <w:bottom w:w="100" w:type="dxa"/>
              <w:left w:w="120" w:type="dxa"/>
              <w:right w:w="120" w:type="dxa"/>
            </w:tcMar>
          </w:tcPr>
          <w:p>
            <w:r>
              <w:rPr>
                <w:b/>
                <w:color w:val="FFFFFF"/>
              </w:rPr>
              <w:t>Technical Implementation Details</w:t>
            </w:r>
          </w:p>
        </w:tc>
      </w:tr>
      <w:tr>
        <w:tc>
          <w:tcPr>
            <w:tcW w:type="dxa" w:w="2880"/>
            <w:shd w:fill="F4F6F8"/>
            <w:tcMar>
              <w:top w:w="80" w:type="dxa"/>
              <w:bottom w:w="80" w:type="dxa"/>
              <w:left w:w="100" w:type="dxa"/>
              <w:right w:w="100" w:type="dxa"/>
            </w:tcMar>
          </w:tcPr>
          <w:p>
            <w:pPr>
              <w:spacing w:after="0"/>
            </w:pPr>
            <w:r>
              <w:rPr>
                <w:b/>
              </w:rPr>
              <w:t>Sliding Context Window</w:t>
            </w:r>
          </w:p>
        </w:tc>
        <w:tc>
          <w:tcPr>
            <w:tcW w:type="dxa" w:w="6480"/>
            <w:shd w:fill="F4F6F8"/>
            <w:tcMar>
              <w:top w:w="80" w:type="dxa"/>
              <w:bottom w:w="80" w:type="dxa"/>
              <w:left w:w="100" w:type="dxa"/>
              <w:right w:w="100" w:type="dxa"/>
            </w:tcMar>
          </w:tcPr>
          <w:p>
            <w:pPr>
              <w:spacing w:after="0"/>
            </w:pPr>
            <w:r>
              <w:t>Maintains recent exchange history (SLIDE_WINDOW = 7) to summarize dialogue turns and synthesize context-aware retrieval queries.</w:t>
            </w:r>
          </w:p>
        </w:tc>
      </w:tr>
      <w:tr>
        <w:tc>
          <w:tcPr>
            <w:tcW w:type="dxa" w:w="2880"/>
            <w:shd w:fill="FFFFFF"/>
            <w:tcMar>
              <w:top w:w="80" w:type="dxa"/>
              <w:bottom w:w="80" w:type="dxa"/>
              <w:left w:w="100" w:type="dxa"/>
              <w:right w:w="100" w:type="dxa"/>
            </w:tcMar>
          </w:tcPr>
          <w:p>
            <w:pPr>
              <w:spacing w:after="0"/>
            </w:pPr>
            <w:r>
              <w:rPr>
                <w:b/>
              </w:rPr>
              <w:t>Dynamic Model Selection</w:t>
            </w:r>
          </w:p>
        </w:tc>
        <w:tc>
          <w:tcPr>
            <w:tcW w:type="dxa" w:w="6480"/>
            <w:shd w:fill="FFFFFF"/>
            <w:tcMar>
              <w:top w:w="80" w:type="dxa"/>
              <w:bottom w:w="80" w:type="dxa"/>
              <w:left w:w="100" w:type="dxa"/>
              <w:right w:w="100" w:type="dxa"/>
            </w:tcMar>
          </w:tcPr>
          <w:p>
            <w:pPr>
              <w:spacing w:after="0"/>
            </w:pPr>
            <w:r>
              <w:t>Supports interactive switching between foundation models (e.g., Llama 3.1 70B) via Streamlit sidebar selectboxes.</w:t>
            </w:r>
          </w:p>
        </w:tc>
      </w:tr>
      <w:tr>
        <w:tc>
          <w:tcPr>
            <w:tcW w:type="dxa" w:w="2880"/>
            <w:shd w:fill="F4F6F8"/>
            <w:tcMar>
              <w:top w:w="80" w:type="dxa"/>
              <w:bottom w:w="80" w:type="dxa"/>
              <w:left w:w="100" w:type="dxa"/>
              <w:right w:w="100" w:type="dxa"/>
            </w:tcMar>
          </w:tcPr>
          <w:p>
            <w:pPr>
              <w:spacing w:after="0"/>
            </w:pPr>
            <w:r>
              <w:rPr>
                <w:b/>
              </w:rPr>
              <w:t>Product Category Filtering</w:t>
            </w:r>
          </w:p>
        </w:tc>
        <w:tc>
          <w:tcPr>
            <w:tcW w:type="dxa" w:w="6480"/>
            <w:shd w:fill="F4F6F8"/>
            <w:tcMar>
              <w:top w:w="80" w:type="dxa"/>
              <w:bottom w:w="80" w:type="dxa"/>
              <w:left w:w="100" w:type="dxa"/>
              <w:right w:w="100" w:type="dxa"/>
            </w:tcMar>
          </w:tcPr>
          <w:p>
            <w:pPr>
              <w:spacing w:after="0"/>
            </w:pPr>
            <w:r>
              <w:t>Filters document search space dynamically across categories (e.g., ALL, Racing Skis, Infant Bikes, Carver Skis).</w:t>
            </w:r>
          </w:p>
        </w:tc>
      </w:tr>
      <w:tr>
        <w:tc>
          <w:tcPr>
            <w:tcW w:type="dxa" w:w="2880"/>
            <w:shd w:fill="FFFFFF"/>
            <w:tcMar>
              <w:top w:w="80" w:type="dxa"/>
              <w:bottom w:w="80" w:type="dxa"/>
              <w:left w:w="100" w:type="dxa"/>
              <w:right w:w="100" w:type="dxa"/>
            </w:tcMar>
          </w:tcPr>
          <w:p>
            <w:pPr>
              <w:spacing w:after="0"/>
            </w:pPr>
            <w:r>
              <w:rPr>
                <w:b/>
              </w:rPr>
              <w:t>Debug &amp; Score Inspection</w:t>
            </w:r>
          </w:p>
        </w:tc>
        <w:tc>
          <w:tcPr>
            <w:tcW w:type="dxa" w:w="6480"/>
            <w:shd w:fill="FFFFFF"/>
            <w:tcMar>
              <w:top w:w="80" w:type="dxa"/>
              <w:bottom w:w="80" w:type="dxa"/>
              <w:left w:w="100" w:type="dxa"/>
              <w:right w:w="100" w:type="dxa"/>
            </w:tcMar>
          </w:tcPr>
          <w:p>
            <w:pPr>
              <w:spacing w:after="0"/>
            </w:pPr>
            <w:r>
              <w:t>Displays JSON metrics including text_match scores, cosine_similarity, and chunk_index rankings for retrieved context.</w:t>
            </w:r>
          </w:p>
        </w:tc>
      </w:tr>
    </w:tbl>
    <w:p>
      <w:pPr>
        <w:spacing w:after="120"/>
      </w:pPr>
    </w:p>
    <w:p>
      <w:pPr>
        <w:keepNext/>
        <w:spacing w:before="320" w:after="120"/>
      </w:pPr>
      <w:r>
        <w:rPr>
          <w:rFonts w:ascii="Segoe UI Semibold" w:hAnsi="Segoe UI Semibold"/>
          <w:b/>
          <w:color w:val="1B365D"/>
          <w:sz w:val="36"/>
        </w:rPr>
        <w:t>4. Governance, Security &amp; Performance</w:t>
      </w:r>
    </w:p>
    <w:p>
      <w:r>
        <w:t>To ensure production readiness across enterprise deployments, the system adheres to Snowflake RBAC models, end-to-end encryption standards, and tuned performance parameters:</w:t>
      </w:r>
    </w:p>
    <w:p>
      <w:pPr>
        <w:pStyle w:val="ListBullet"/>
      </w:pPr>
      <w:r>
        <w:rPr>
          <w:b/>
        </w:rPr>
        <w:t xml:space="preserve">Data Protection: </w:t>
      </w:r>
      <w:r>
        <w:t>Documents stored in internal stages utilize Snowflake Server-Side Encryption (SNOWFLAKE_SSE) with RBAC access policies.</w:t>
      </w:r>
    </w:p>
    <w:p>
      <w:pPr>
        <w:pStyle w:val="ListBullet"/>
      </w:pPr>
      <w:r>
        <w:rPr>
          <w:b/>
        </w:rPr>
        <w:t xml:space="preserve">Search Tuning: </w:t>
      </w:r>
      <w:r>
        <w:t>Configurable chunk retrieval limits (NUM_CHUNKS = 3 to 5) optimize prompt token budgets while maintaining high answer accuracy.</w:t>
      </w:r>
    </w:p>
    <w:p>
      <w:pPr>
        <w:pStyle w:val="ListBullet"/>
      </w:pPr>
      <w:r>
        <w:rPr>
          <w:b/>
        </w:rPr>
        <w:t xml:space="preserve">Compute Management: </w:t>
      </w:r>
      <w:r>
        <w:t>Streamlit application hosting runs directly on Streamlit in Snowflake (SiS) virtual warehouses with auto-suspend enabled.</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1B365D"/>
              <w:top w:val="none"/>
              <w:right w:val="none"/>
              <w:bottom w:val="none"/>
            </w:tcBorders>
          </w:tcPr>
          <w:p>
            <w:pPr>
              <w:spacing w:before="0" w:after="40"/>
            </w:pPr>
            <w:r>
              <w:rPr>
                <w:b/>
                <w:color w:val="1B365D"/>
                <w:sz w:val="20"/>
              </w:rPr>
              <w:t>■ SUMMARY &amp; RECOMMENDATIONS</w:t>
              <w:br/>
            </w:r>
            <w:r>
              <w:rPr>
                <w:color w:val="222222"/>
                <w:sz w:val="19"/>
              </w:rPr>
              <w:t>Conclusion: By tightly coupling Cortex Search vector capabilities with Streamlit frontends, organizations achieve a scalable, low-latency document intelligence platform without managing external LLM infrastructure.</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