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b/>
          <w:bCs/>
          <w:color w:val="312E81"/>
          <w:sz w:val="96"/>
          <w:szCs w:val="96"/>
        </w:rPr>
        <w:t xml:space="preserve">SPLYNTRA</w:t>
      </w:r>
    </w:p>
    <w:p>
      <w:pPr>
        <w:pBdr>
          <w:bottom w:val="single" w:color="4F46E5" w:sz="16" w:space="6"/>
        </w:pBdr>
        <w:spacing w:after="80"/>
      </w:pPr>
      <w:r>
        <w:rPr>
          <w:b/>
          <w:bCs/>
          <w:color w:val="4F46E5"/>
          <w:sz w:val="34"/>
          <w:szCs w:val="34"/>
        </w:rPr>
        <w:t xml:space="preserve">The AgentOps Platform</w:t>
      </w:r>
    </w:p>
    <w:p>
      <w:pPr>
        <w:spacing w:after="60" w:before="220"/>
      </w:pPr>
      <w:r>
        <w:rPr>
          <w:i/>
          <w:iCs/>
          <w:color w:val="475569"/>
          <w:sz w:val="24"/>
          <w:szCs w:val="24"/>
        </w:rPr>
        <w:t xml:space="preserve">Unified Observability, Evaluation, Security, Governance, and Identity for AI Agents</w:t>
      </w:r>
    </w:p>
    <w:p>
      <w:pPr>
        <w:spacing w:after="900"/>
      </w:pPr>
      <w:r>
        <w:t xml:space="preserve"/>
      </w:r>
    </w:p>
    <w:p>
      <w:pPr>
        <w:spacing w:after="60"/>
      </w:pPr>
      <w:r>
        <w:rPr>
          <w:b/>
          <w:bCs/>
          <w:sz w:val="28"/>
          <w:szCs w:val="28"/>
        </w:rPr>
        <w:t xml:space="preserve">Business Requirements Document (BRD)</w:t>
      </w:r>
    </w:p>
    <w:p>
      <w:pPr>
        <w:spacing w:after="400"/>
      </w:pPr>
      <w:r>
        <w:rPr>
          <w:b/>
          <w:bCs/>
          <w:sz w:val="28"/>
          <w:szCs w:val="28"/>
        </w:rPr>
        <w:t xml:space="preserve">Technical Requirements Document (TRD)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Field</w:t>
            </w:r>
          </w:p>
        </w:tc>
        <w:tc>
          <w:tcPr>
            <w:tcW w:type="dxa" w:w="624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Value</w:t>
            </w:r>
          </w:p>
        </w:tc>
      </w:tr>
      <w:tr>
        <w:tc>
          <w:tcPr>
            <w:tcW w:type="dxa" w:w="312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Product</w:t>
            </w:r>
          </w:p>
        </w:tc>
        <w:tc>
          <w:tcPr>
            <w:tcW w:type="dxa" w:w="624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Splyntra</w:t>
            </w:r>
          </w:p>
        </w:tc>
      </w:tr>
      <w:tr>
        <w:tc>
          <w:tcPr>
            <w:tcW w:type="dxa" w:w="312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Document</w:t>
            </w:r>
          </w:p>
        </w:tc>
        <w:tc>
          <w:tcPr>
            <w:tcW w:type="dxa" w:w="624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Combined BRD &amp; TRD</w:t>
            </w:r>
          </w:p>
        </w:tc>
      </w:tr>
      <w:tr>
        <w:tc>
          <w:tcPr>
            <w:tcW w:type="dxa" w:w="312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Version</w:t>
            </w:r>
          </w:p>
        </w:tc>
        <w:tc>
          <w:tcPr>
            <w:tcW w:type="dxa" w:w="624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1.0</w:t>
            </w:r>
          </w:p>
        </w:tc>
      </w:tr>
      <w:tr>
        <w:tc>
          <w:tcPr>
            <w:tcW w:type="dxa" w:w="312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Status</w:t>
            </w:r>
          </w:p>
        </w:tc>
        <w:tc>
          <w:tcPr>
            <w:tcW w:type="dxa" w:w="624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Draft for Review</w:t>
            </w:r>
          </w:p>
        </w:tc>
      </w:tr>
      <w:tr>
        <w:tc>
          <w:tcPr>
            <w:tcW w:type="dxa" w:w="312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Classification</w:t>
            </w:r>
          </w:p>
        </w:tc>
        <w:tc>
          <w:tcPr>
            <w:tcW w:type="dxa" w:w="624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Confidential</w:t>
            </w:r>
          </w:p>
        </w:tc>
      </w:tr>
      <w:tr>
        <w:tc>
          <w:tcPr>
            <w:tcW w:type="dxa" w:w="312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Date</w:t>
            </w:r>
          </w:p>
        </w:tc>
        <w:tc>
          <w:tcPr>
            <w:tcW w:type="dxa" w:w="624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June 2026</w:t>
            </w:r>
          </w:p>
        </w:tc>
      </w:tr>
      <w:tr>
        <w:tc>
          <w:tcPr>
            <w:tcW w:type="dxa" w:w="312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Owner</w:t>
            </w:r>
          </w:p>
        </w:tc>
        <w:tc>
          <w:tcPr>
            <w:tcW w:type="dxa" w:w="624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Product &amp; Engineering</w:t>
            </w: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80" w:before="200"/>
      </w:pPr>
      <w:r>
        <w:rPr>
          <w:b/>
          <w:bCs/>
          <w:color w:val="4F46E5"/>
          <w:sz w:val="24"/>
          <w:szCs w:val="24"/>
        </w:rPr>
        <w:t xml:space="preserve">PART A</w:t>
      </w:r>
    </w:p>
    <w:p>
      <w:pPr>
        <w:pStyle w:val="Heading1"/>
      </w:pPr>
      <w:r>
        <w:t xml:space="preserve">Business Requirements Document</w:t>
      </w:r>
    </w:p>
    <w:p>
      <w:pPr>
        <w:pBdr>
          <w:bottom w:val="single" w:color="C7D2FE" w:sz="8" w:space="1"/>
        </w:pBdr>
        <w:spacing w:after="160" w:before="40"/>
      </w:pPr>
      <w:r>
        <w:t xml:space="preserve"/>
      </w:r>
    </w:p>
    <w:p>
      <w:pPr>
        <w:pStyle w:val="Heading2"/>
      </w:pPr>
      <w:r>
        <w:t xml:space="preserve">1. Executive Summary</w:t>
      </w:r>
    </w:p>
    <w:p>
      <w:pPr>
        <w:spacing w:after="120" w:line="276"/>
      </w:pPr>
      <w:r>
        <w:rPr>
          <w:b/>
          <w:bCs/>
        </w:rPr>
        <w:t xml:space="preserve">Splyntra</w:t>
      </w:r>
      <w:r>
        <w:t xml:space="preserve"> is the operational trust layer for AI agents. It provides a single platform to monitor, evaluate, secure, govern, and manage the identity of autonomous and semi-autonomous AI agents across every major agent framework and runtime.</w:t>
      </w:r>
    </w:p>
    <w:p>
      <w:pPr>
        <w:spacing w:after="120" w:line="276"/>
      </w:pPr>
      <w:r>
        <w:rPr>
          <w:b/>
          <w:bCs/>
        </w:rPr>
        <w:t xml:space="preserve">Vision. </w:t>
      </w:r>
      <w:r>
        <w:t xml:space="preserve">A world where any organization can deploy AI agents into production with the same confidence, visibility, and control that they have over human employees and cloud workloads.</w:t>
      </w:r>
    </w:p>
    <w:p>
      <w:pPr>
        <w:spacing w:after="120" w:line="276"/>
      </w:pPr>
      <w:r>
        <w:rPr>
          <w:b/>
          <w:bCs/>
        </w:rPr>
        <w:t xml:space="preserve">Mission. </w:t>
      </w:r>
      <w:r>
        <w:t xml:space="preserve">Become the default operational layer for enterprise AI agents — the place teams go to understand what their agents did, how well they did it, whether they did it safely, and whether they were allowed to.</w:t>
      </w:r>
    </w:p>
    <w:p>
      <w:pPr>
        <w:spacing w:after="120" w:line="276"/>
      </w:pPr>
      <w:r>
        <w:rPr>
          <w:b/>
          <w:bCs/>
        </w:rPr>
        <w:t xml:space="preserve">Positioning. </w:t>
      </w:r>
      <w:r>
        <w:t xml:space="preserve">Just as Datadog became the operational layer for cloud applications and Okta became the identity layer for the workforce, Splyntra aims to become the operational trust layer for AI agents — collapsing five fragmented categories (observability, evaluation, security, governance, identity) into one coherent control plane.</w:t>
      </w:r>
    </w:p>
    <w:p>
      <w:pPr>
        <w:spacing w:after="120" w:line="276"/>
      </w:pPr>
      <w:r>
        <w:rPr>
          <w:b/>
          <w:bCs/>
        </w:rPr>
        <w:t xml:space="preserve">One-line description. </w:t>
      </w:r>
      <w:r>
        <w:t xml:space="preserve">Splyntra is an open-source-led AgentOps platform that gives engineering, security, and platform teams end-to-end visibility and control over their AI agents in production.</w:t>
      </w:r>
    </w:p>
    <w:p>
      <w:pPr>
        <w:pStyle w:val="Heading2"/>
      </w:pPr>
      <w:r>
        <w:t xml:space="preserve">2. Problem Statement</w:t>
      </w:r>
    </w:p>
    <w:p>
      <w:pPr>
        <w:spacing w:after="120" w:line="276"/>
      </w:pPr>
      <w:r>
        <w:t xml:space="preserve">Organizations are moving AI agents from prototypes into production faster than their tooling can keep up. Agents now call tools, move money, touch customer data, and act on behalf of users — but the operational disciplines that govern this behavior are immature and scattered across point solutions. Six gaps recur across every enterprise deploying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180"/>
        <w:gridCol w:w="3480"/>
      </w:tblGrid>
      <w:tr>
        <w:trPr>
          <w:tblHeader/>
        </w:trPr>
        <w:tc>
          <w:tcPr>
            <w:tcW w:type="dxa" w:w="17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Domain</w:t>
            </w:r>
          </w:p>
        </w:tc>
        <w:tc>
          <w:tcPr>
            <w:tcW w:type="dxa" w:w="418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Pain Today</w:t>
            </w:r>
          </w:p>
        </w:tc>
        <w:tc>
          <w:tcPr>
            <w:tcW w:type="dxa" w:w="348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Business Consequence</w:t>
            </w:r>
          </w:p>
        </w:tc>
      </w:tr>
      <w:tr>
        <w:tc>
          <w:tcPr>
            <w:tcW w:type="dxa" w:w="17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Observability</w:t>
            </w:r>
          </w:p>
        </w:tc>
        <w:tc>
          <w:tcPr>
            <w:tcW w:type="dxa" w:w="418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No visibility into agent decisions; debugging is guesswork; execution paths are opaque.</w:t>
            </w:r>
          </w:p>
        </w:tc>
        <w:tc>
          <w:tcPr>
            <w:tcW w:type="dxa" w:w="348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Slow incident resolution; eroded trust in agent output.</w:t>
            </w:r>
          </w:p>
        </w:tc>
      </w:tr>
      <w:tr>
        <w:tc>
          <w:tcPr>
            <w:tcW w:type="dxa" w:w="17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Cost</w:t>
            </w:r>
          </w:p>
        </w:tc>
        <w:tc>
          <w:tcPr>
            <w:tcW w:type="dxa" w:w="418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Uncontrolled token spend; no attribution by team, workflow, or model; no budgets.</w:t>
            </w:r>
          </w:p>
        </w:tc>
        <w:tc>
          <w:tcPr>
            <w:tcW w:type="dxa" w:w="348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Unpredictable and runaway cloud/LLM bills.</w:t>
            </w:r>
          </w:p>
        </w:tc>
      </w:tr>
      <w:tr>
        <w:tc>
          <w:tcPr>
            <w:tcW w:type="dxa" w:w="17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Evaluation</w:t>
            </w:r>
          </w:p>
        </w:tc>
        <w:tc>
          <w:tcPr>
            <w:tcW w:type="dxa" w:w="418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Agent quality is unknown; no benchmarks; regressions ship silently.</w:t>
            </w:r>
          </w:p>
        </w:tc>
        <w:tc>
          <w:tcPr>
            <w:tcW w:type="dxa" w:w="348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Quality drift, customer-facing errors, no release gates.</w:t>
            </w:r>
          </w:p>
        </w:tc>
      </w:tr>
      <w:tr>
        <w:tc>
          <w:tcPr>
            <w:tcW w:type="dxa" w:w="17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Security</w:t>
            </w:r>
          </w:p>
        </w:tc>
        <w:tc>
          <w:tcPr>
            <w:tcW w:type="dxa" w:w="418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Prompt injection, data leakage, secret exposure, and tool abuse go undetected.</w:t>
            </w:r>
          </w:p>
        </w:tc>
        <w:tc>
          <w:tcPr>
            <w:tcW w:type="dxa" w:w="348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Breaches, compliance violations, reputational damage.</w:t>
            </w:r>
          </w:p>
        </w:tc>
      </w:tr>
      <w:tr>
        <w:tc>
          <w:tcPr>
            <w:tcW w:type="dxa" w:w="17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Governance</w:t>
            </w:r>
          </w:p>
        </w:tc>
        <w:tc>
          <w:tcPr>
            <w:tcW w:type="dxa" w:w="418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No permissions, policy controls, or approval workflows for agent actions.</w:t>
            </w:r>
          </w:p>
        </w:tc>
        <w:tc>
          <w:tcPr>
            <w:tcW w:type="dxa" w:w="348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Agents take unauthorized or high-risk actions.</w:t>
            </w:r>
          </w:p>
        </w:tc>
      </w:tr>
      <w:tr>
        <w:tc>
          <w:tcPr>
            <w:tcW w:type="dxa" w:w="17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Identity</w:t>
            </w:r>
          </w:p>
        </w:tc>
        <w:tc>
          <w:tcPr>
            <w:tcW w:type="dxa" w:w="418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No trusted agent identity, delegated authority, or cross-agent trust.</w:t>
            </w:r>
          </w:p>
        </w:tc>
        <w:tc>
          <w:tcPr>
            <w:tcW w:type="dxa" w:w="348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No accountability; impossible to audit 'who did what'.</w:t>
            </w:r>
          </w:p>
        </w:tc>
      </w:tr>
    </w:tbl>
    <w:p>
      <w:pPr>
        <w:spacing w:after="120" w:line="276"/>
      </w:pPr>
      <w:r>
        <w:rPr>
          <w:b/>
          <w:bCs/>
        </w:rPr>
        <w:t xml:space="preserve">Net effect: </w:t>
      </w:r>
      <w:r>
        <w:t xml:space="preserve">teams either over-restrict agents (limiting value) or deploy them blindly (accepting risk). Splyntra removes that trade-off by making agent behavior observable, measurable, governable, and attributable.</w:t>
      </w:r>
    </w:p>
    <w:p>
      <w:pPr>
        <w:pStyle w:val="Heading2"/>
      </w:pPr>
      <w:r>
        <w:t xml:space="preserve">3. Market Opportunity</w:t>
      </w:r>
    </w:p>
    <w:p>
      <w:pPr>
        <w:spacing w:after="120" w:line="276"/>
      </w:pPr>
      <w:r>
        <w:t xml:space="preserve">The market for AI agent operations sits at the intersection of several established, fast-growing categories — observability/APM, LLM evaluation, AI security, IAM/governance, and audit/compliance. Each of these is a multi-billion-dollar category in its own right; Splyntra targets the agent-native slice that none of the incumbents fully serves.</w:t>
      </w:r>
    </w:p>
    <w:p>
      <w:pPr>
        <w:pStyle w:val="Heading3"/>
      </w:pPr>
      <w:r>
        <w:t xml:space="preserve">3.1 Demand Drivers</w:t>
      </w:r>
    </w:p>
    <w:p>
      <w:pPr>
        <w:pStyle w:val="ListParagraph"/>
        <w:numPr>
          <w:ilvl w:val="0"/>
          <w:numId w:val="2"/>
        </w:numPr>
        <w:spacing w:after="60" w:line="276"/>
      </w:pPr>
      <w:r>
        <w:t xml:space="preserve">Rapid enterprise adoption of agent frameworks (LangGraph, CrewAI, OpenAI Agents, Dify) moving from pilots to production.</w:t>
      </w:r>
    </w:p>
    <w:p>
      <w:pPr>
        <w:pStyle w:val="ListParagraph"/>
        <w:numPr>
          <w:ilvl w:val="0"/>
          <w:numId w:val="2"/>
        </w:numPr>
        <w:spacing w:after="60" w:line="276"/>
      </w:pPr>
      <w:r>
        <w:t xml:space="preserve">Rising regulatory pressure (EU AI Act, sector rules in finance and healthcare) demanding auditability and control of automated decisions.</w:t>
      </w:r>
    </w:p>
    <w:p>
      <w:pPr>
        <w:pStyle w:val="ListParagraph"/>
        <w:numPr>
          <w:ilvl w:val="0"/>
          <w:numId w:val="2"/>
        </w:numPr>
        <w:spacing w:after="60" w:line="276"/>
      </w:pPr>
      <w:r>
        <w:t xml:space="preserve">Security teams treating agents as a new attack surface requiring dedicated controls.</w:t>
      </w:r>
    </w:p>
    <w:p>
      <w:pPr>
        <w:pStyle w:val="ListParagraph"/>
        <w:numPr>
          <w:ilvl w:val="0"/>
          <w:numId w:val="2"/>
        </w:numPr>
        <w:spacing w:after="60" w:line="276"/>
      </w:pPr>
      <w:r>
        <w:t xml:space="preserve">Finance and platform teams demanding cost attribution and budget control for LLM spend.</w:t>
      </w:r>
    </w:p>
    <w:p>
      <w:pPr>
        <w:pStyle w:val="Heading3"/>
      </w:pPr>
      <w:r>
        <w:t xml:space="preserve">3.2 Market Sizing Approach</w:t>
      </w:r>
    </w:p>
    <w:p>
      <w:pPr>
        <w:spacing w:after="120" w:line="276"/>
      </w:pPr>
      <w:r>
        <w:t xml:space="preserve">Splyntra uses a layered TAM / SAM / SOM model. The figures below are planning estimates to be validated during discovery and are directional, not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60"/>
        <w:gridCol w:w="2800"/>
      </w:tblGrid>
      <w:tr>
        <w:trPr>
          <w:tblHeader/>
        </w:trPr>
        <w:tc>
          <w:tcPr>
            <w:tcW w:type="dxa" w:w="15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Layer</w:t>
            </w:r>
          </w:p>
        </w:tc>
        <w:tc>
          <w:tcPr>
            <w:tcW w:type="dxa" w:w="506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Definition</w:t>
            </w:r>
          </w:p>
        </w:tc>
        <w:tc>
          <w:tcPr>
            <w:tcW w:type="dxa" w:w="28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Directional Estimate</w:t>
            </w:r>
          </w:p>
        </w:tc>
      </w:tr>
      <w:tr>
        <w:tc>
          <w:tcPr>
            <w:tcW w:type="dxa" w:w="15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TAM</w:t>
            </w:r>
          </w:p>
        </w:tc>
        <w:tc>
          <w:tcPr>
            <w:tcW w:type="dxa" w:w="50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All organizations operating production AI agents and the operational tooling they require.</w:t>
            </w:r>
          </w:p>
        </w:tc>
        <w:tc>
          <w:tcPr>
            <w:tcW w:type="dxa" w:w="28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Large and expanding; tracks total AI-app spend.</w:t>
            </w:r>
          </w:p>
        </w:tc>
      </w:tr>
      <w:tr>
        <w:tc>
          <w:tcPr>
            <w:tcW w:type="dxa" w:w="15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SAM</w:t>
            </w:r>
          </w:p>
        </w:tc>
        <w:tc>
          <w:tcPr>
            <w:tcW w:type="dxa" w:w="50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Mid-market and enterprise teams on major agent frameworks needing observability, eval, and governance.</w:t>
            </w:r>
          </w:p>
        </w:tc>
        <w:tc>
          <w:tcPr>
            <w:tcW w:type="dxa" w:w="28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Concentrated in regulated and platform-led industries.</w:t>
            </w:r>
          </w:p>
        </w:tc>
      </w:tr>
      <w:tr>
        <w:tc>
          <w:tcPr>
            <w:tcW w:type="dxa" w:w="15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SOM (3 yr)</w:t>
            </w:r>
          </w:p>
        </w:tc>
        <w:tc>
          <w:tcPr>
            <w:tcW w:type="dxa" w:w="50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Teams reachable through open-source adoption plus a focused enterprise sales motion.</w:t>
            </w:r>
          </w:p>
        </w:tc>
        <w:tc>
          <w:tcPr>
            <w:tcW w:type="dxa" w:w="28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Targeted via the goals in Section 9.</w:t>
            </w:r>
          </w:p>
        </w:tc>
      </w:tr>
    </w:tbl>
    <w:p>
      <w:pPr>
        <w:pStyle w:val="Heading2"/>
      </w:pPr>
      <w:r>
        <w:t xml:space="preserve">4. Target Customers &amp; Personas</w:t>
      </w:r>
    </w:p>
    <w:p>
      <w:pPr>
        <w:pStyle w:val="Heading3"/>
      </w:pPr>
      <w:r>
        <w:t xml:space="preserve">4.1 Customer Segments</w:t>
      </w:r>
    </w:p>
    <w:p>
      <w:pPr>
        <w:pStyle w:val="ListParagraph"/>
        <w:numPr>
          <w:ilvl w:val="0"/>
          <w:numId w:val="2"/>
        </w:numPr>
        <w:spacing w:after="60" w:line="276"/>
      </w:pPr>
      <w:r>
        <w:rPr>
          <w:b/>
          <w:bCs/>
        </w:rPr>
        <w:t xml:space="preserve">Primary — Enterprise AI teams. </w:t>
      </w:r>
      <w:r>
        <w:t xml:space="preserve">Fortune 500, banks, insurers, healthcare, and telecom deploying agents in regulated environments.</w:t>
      </w:r>
    </w:p>
    <w:p>
      <w:pPr>
        <w:pStyle w:val="ListParagraph"/>
        <w:numPr>
          <w:ilvl w:val="0"/>
          <w:numId w:val="2"/>
        </w:numPr>
        <w:spacing w:after="60" w:line="276"/>
      </w:pPr>
      <w:r>
        <w:rPr>
          <w:b/>
          <w:bCs/>
        </w:rPr>
        <w:t xml:space="preserve">Primary — AI platform teams. </w:t>
      </w:r>
      <w:r>
        <w:t xml:space="preserve">Internal platform groups standardizing agent infrastructure across Dify, LangGraph, CrewAI, and OpenAI Agents.</w:t>
      </w:r>
    </w:p>
    <w:p>
      <w:pPr>
        <w:pStyle w:val="ListParagraph"/>
        <w:numPr>
          <w:ilvl w:val="0"/>
          <w:numId w:val="2"/>
        </w:numPr>
        <w:spacing w:after="60" w:line="276"/>
      </w:pPr>
      <w:r>
        <w:rPr>
          <w:b/>
          <w:bCs/>
        </w:rPr>
        <w:t xml:space="preserve">Secondary — AI startups. </w:t>
      </w:r>
      <w:r>
        <w:t xml:space="preserve">Teams building copilots, customer-support, sales, and research agents who need observability and security from day one.</w:t>
      </w:r>
    </w:p>
    <w:p>
      <w:pPr>
        <w:pStyle w:val="ListParagraph"/>
        <w:numPr>
          <w:ilvl w:val="0"/>
          <w:numId w:val="2"/>
        </w:numPr>
        <w:spacing w:after="60" w:line="276"/>
      </w:pPr>
      <w:r>
        <w:rPr>
          <w:b/>
          <w:bCs/>
        </w:rPr>
        <w:t xml:space="preserve">Tertiary — AI consultancies. </w:t>
      </w:r>
      <w:r>
        <w:t xml:space="preserve">Firms building and operating agents on behalf of clients who need multi-tenant visibility and reporting.</w:t>
      </w:r>
    </w:p>
    <w:p>
      <w:pPr>
        <w:pStyle w:val="Heading3"/>
      </w:pPr>
      <w:r>
        <w:t xml:space="preserve">4.2 Key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60"/>
        <w:gridCol w:w="3500"/>
      </w:tblGrid>
      <w:tr>
        <w:trPr>
          <w:tblHeader/>
        </w:trPr>
        <w:tc>
          <w:tcPr>
            <w:tcW w:type="dxa" w:w="21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Persona</w:t>
            </w:r>
          </w:p>
        </w:tc>
        <w:tc>
          <w:tcPr>
            <w:tcW w:type="dxa" w:w="376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Goals</w:t>
            </w:r>
          </w:p>
        </w:tc>
        <w:tc>
          <w:tcPr>
            <w:tcW w:type="dxa" w:w="35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What Splyntra Gives Them</w:t>
            </w:r>
          </w:p>
        </w:tc>
      </w:tr>
      <w:tr>
        <w:tc>
          <w:tcPr>
            <w:tcW w:type="dxa" w:w="21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AI / Platform Engineer</w:t>
            </w:r>
          </w:p>
        </w:tc>
        <w:tc>
          <w:tcPr>
            <w:tcW w:type="dxa" w:w="37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Ship reliable agents; debug fast; control cost.</w:t>
            </w:r>
          </w:p>
        </w:tc>
        <w:tc>
          <w:tcPr>
            <w:tcW w:type="dxa" w:w="35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Tracing, replay, metrics, cost analytics, regression gates.</w:t>
            </w:r>
          </w:p>
        </w:tc>
      </w:tr>
      <w:tr>
        <w:tc>
          <w:tcPr>
            <w:tcW w:type="dxa" w:w="21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Security Engineer</w:t>
            </w:r>
          </w:p>
        </w:tc>
        <w:tc>
          <w:tcPr>
            <w:tcW w:type="dxa" w:w="37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Prevent injection, leakage, and tool abuse.</w:t>
            </w:r>
          </w:p>
        </w:tc>
        <w:tc>
          <w:tcPr>
            <w:tcW w:type="dxa" w:w="35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Security engine, risk scoring, incident feed, audit ledger.</w:t>
            </w:r>
          </w:p>
        </w:tc>
      </w:tr>
      <w:tr>
        <w:tc>
          <w:tcPr>
            <w:tcW w:type="dxa" w:w="21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Engineering Leader</w:t>
            </w:r>
          </w:p>
        </w:tc>
        <w:tc>
          <w:tcPr>
            <w:tcW w:type="dxa" w:w="37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Quality, velocity, and predictable spend.</w:t>
            </w:r>
          </w:p>
        </w:tc>
        <w:tc>
          <w:tcPr>
            <w:tcW w:type="dxa" w:w="35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Dashboards, eval scores over time, budgets and alerts.</w:t>
            </w:r>
          </w:p>
        </w:tc>
      </w:tr>
      <w:tr>
        <w:tc>
          <w:tcPr>
            <w:tcW w:type="dxa" w:w="21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Compliance / Risk Officer</w:t>
            </w:r>
          </w:p>
        </w:tc>
        <w:tc>
          <w:tcPr>
            <w:tcW w:type="dxa" w:w="37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Prove control and auditability of automated actions.</w:t>
            </w:r>
          </w:p>
        </w:tc>
        <w:tc>
          <w:tcPr>
            <w:tcW w:type="dxa" w:w="35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Immutable activity ledger, policy enforcement, approvals.</w:t>
            </w:r>
          </w:p>
        </w:tc>
      </w:tr>
      <w:tr>
        <w:tc>
          <w:tcPr>
            <w:tcW w:type="dxa" w:w="21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CISO / IAM Owner</w:t>
            </w:r>
          </w:p>
        </w:tc>
        <w:tc>
          <w:tcPr>
            <w:tcW w:type="dxa" w:w="37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Establish trusted agent identity and least privilege.</w:t>
            </w:r>
          </w:p>
        </w:tc>
        <w:tc>
          <w:tcPr>
            <w:tcW w:type="dxa" w:w="35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Agent registry, credentials, delegation, trust policies.</w:t>
            </w:r>
          </w:p>
        </w:tc>
      </w:tr>
    </w:tbl>
    <w:p>
      <w:pPr>
        <w:pStyle w:val="Heading2"/>
      </w:pPr>
      <w:r>
        <w:t xml:space="preserve">5. Core Value Proposition</w:t>
      </w:r>
    </w:p>
    <w:p>
      <w:pPr>
        <w:spacing w:after="120" w:line="276"/>
      </w:pPr>
      <w:r>
        <w:t xml:space="preserve">Splyntra delivers one platform across five verbs that map directly to the product pillars. Each verb answers a question that enterprises cannot reliably answer today.</w:t>
      </w:r>
    </w:p>
    <w:p>
      <w:pPr>
        <w:pStyle w:val="ListParagraph"/>
        <w:numPr>
          <w:ilvl w:val="0"/>
          <w:numId w:val="2"/>
        </w:numPr>
        <w:spacing w:after="60" w:line="276"/>
      </w:pPr>
      <w:r>
        <w:rPr>
          <w:b/>
          <w:bCs/>
        </w:rPr>
        <w:t xml:space="preserve">Observe — </w:t>
      </w:r>
      <w:r>
        <w:t xml:space="preserve">track every agent activity. ‘What did the agent actually do?’</w:t>
      </w:r>
    </w:p>
    <w:p>
      <w:pPr>
        <w:pStyle w:val="ListParagraph"/>
        <w:numPr>
          <w:ilvl w:val="0"/>
          <w:numId w:val="2"/>
        </w:numPr>
        <w:spacing w:after="60" w:line="276"/>
      </w:pPr>
      <w:r>
        <w:rPr>
          <w:b/>
          <w:bCs/>
        </w:rPr>
        <w:t xml:space="preserve">Evaluate — </w:t>
      </w:r>
      <w:r>
        <w:t xml:space="preserve">measure performance continuously. ‘How well is it doing it?’</w:t>
      </w:r>
    </w:p>
    <w:p>
      <w:pPr>
        <w:pStyle w:val="ListParagraph"/>
        <w:numPr>
          <w:ilvl w:val="0"/>
          <w:numId w:val="2"/>
        </w:numPr>
        <w:spacing w:after="60" w:line="276"/>
      </w:pPr>
      <w:r>
        <w:rPr>
          <w:b/>
          <w:bCs/>
        </w:rPr>
        <w:t xml:space="preserve">Secure — </w:t>
      </w:r>
      <w:r>
        <w:t xml:space="preserve">detect risks and threats. ‘Is it doing it safely?’</w:t>
      </w:r>
    </w:p>
    <w:p>
      <w:pPr>
        <w:pStyle w:val="ListParagraph"/>
        <w:numPr>
          <w:ilvl w:val="0"/>
          <w:numId w:val="2"/>
        </w:numPr>
        <w:spacing w:after="60" w:line="276"/>
      </w:pPr>
      <w:r>
        <w:rPr>
          <w:b/>
          <w:bCs/>
        </w:rPr>
        <w:t xml:space="preserve">Govern — </w:t>
      </w:r>
      <w:r>
        <w:t xml:space="preserve">control agent behavior. ‘Is it allowed to do it?’</w:t>
      </w:r>
    </w:p>
    <w:p>
      <w:pPr>
        <w:pStyle w:val="ListParagraph"/>
        <w:numPr>
          <w:ilvl w:val="0"/>
          <w:numId w:val="2"/>
        </w:numPr>
        <w:spacing w:after="60" w:line="276"/>
      </w:pPr>
      <w:r>
        <w:rPr>
          <w:b/>
          <w:bCs/>
        </w:rPr>
        <w:t xml:space="preserve">Trust — </w:t>
      </w:r>
      <w:r>
        <w:t xml:space="preserve">provide verifiable agent identity. ‘Who is the agent, and on whose authority does it act?’</w:t>
      </w:r>
    </w:p>
    <w:p>
      <w:pPr>
        <w:pStyle w:val="Heading2"/>
      </w:pPr>
      <w:r>
        <w:t xml:space="preserve">6. Product Pillars</w:t>
      </w:r>
    </w:p>
    <w:p>
      <w:pPr>
        <w:spacing w:after="120" w:line="276"/>
      </w:pPr>
      <w:r>
        <w:t xml:space="preserve">The product is organized into five pillars. Pillars 1–3 are the wedge that wins developers; pillars 4–5 are the enterprise expansion that creates durable, high-value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w:t>
            </w:r>
          </w:p>
        </w:tc>
        <w:tc>
          <w:tcPr>
            <w:tcW w:type="dxa" w:w="26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Pillar</w:t>
            </w:r>
          </w:p>
        </w:tc>
        <w:tc>
          <w:tcPr>
            <w:tcW w:type="dxa" w:w="616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Outcome</w:t>
            </w:r>
          </w:p>
        </w:tc>
      </w:tr>
      <w:tr>
        <w:tc>
          <w:tcPr>
            <w:tcW w:type="dxa" w:w="6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1</w:t>
            </w:r>
          </w:p>
        </w:tc>
        <w:tc>
          <w:tcPr>
            <w:tcW w:type="dxa" w:w="26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Observability</w:t>
            </w:r>
          </w:p>
        </w:tc>
        <w:tc>
          <w:tcPr>
            <w:tcW w:type="dxa" w:w="61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Full execution visibility, replay, and cost transparency.</w:t>
            </w:r>
          </w:p>
        </w:tc>
      </w:tr>
      <w:tr>
        <w:tc>
          <w:tcPr>
            <w:tcW w:type="dxa" w:w="6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2</w:t>
            </w:r>
          </w:p>
        </w:tc>
        <w:tc>
          <w:tcPr>
            <w:tcW w:type="dxa" w:w="26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Evaluation</w:t>
            </w:r>
          </w:p>
        </w:tc>
        <w:tc>
          <w:tcPr>
            <w:tcW w:type="dxa" w:w="61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Continuous, benchmarked quality with regression detection.</w:t>
            </w:r>
          </w:p>
        </w:tc>
      </w:tr>
      <w:tr>
        <w:tc>
          <w:tcPr>
            <w:tcW w:type="dxa" w:w="6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3</w:t>
            </w:r>
          </w:p>
        </w:tc>
        <w:tc>
          <w:tcPr>
            <w:tcW w:type="dxa" w:w="26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Security</w:t>
            </w:r>
          </w:p>
        </w:tc>
        <w:tc>
          <w:tcPr>
            <w:tcW w:type="dxa" w:w="61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Real-time detection of injection, PII, and secret leakage.</w:t>
            </w:r>
          </w:p>
        </w:tc>
      </w:tr>
      <w:tr>
        <w:tc>
          <w:tcPr>
            <w:tcW w:type="dxa" w:w="6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4</w:t>
            </w:r>
          </w:p>
        </w:tc>
        <w:tc>
          <w:tcPr>
            <w:tcW w:type="dxa" w:w="26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Governance</w:t>
            </w:r>
          </w:p>
        </w:tc>
        <w:tc>
          <w:tcPr>
            <w:tcW w:type="dxa" w:w="61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Policy, permissions, spend controls, and approval workflows.</w:t>
            </w:r>
          </w:p>
        </w:tc>
      </w:tr>
      <w:tr>
        <w:tc>
          <w:tcPr>
            <w:tcW w:type="dxa" w:w="6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5</w:t>
            </w:r>
          </w:p>
        </w:tc>
        <w:tc>
          <w:tcPr>
            <w:tcW w:type="dxa" w:w="26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Identity</w:t>
            </w:r>
          </w:p>
        </w:tc>
        <w:tc>
          <w:tcPr>
            <w:tcW w:type="dxa" w:w="61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Trusted agent identity, credentials, and delegated authority.</w:t>
            </w:r>
          </w:p>
        </w:tc>
      </w:tr>
    </w:tbl>
    <w:p>
      <w:pPr>
        <w:pStyle w:val="Heading2"/>
      </w:pPr>
      <w:r>
        <w:t xml:space="preserve">7. Competitive Landscape</w:t>
      </w:r>
    </w:p>
    <w:p>
      <w:pPr>
        <w:spacing w:after="120" w:line="276"/>
      </w:pPr>
      <w:r>
        <w:t xml:space="preserve">The agent operations space is fragmented across adjacent categories. Splyntra competes not by beating any single category leader at its specialty, but by unifying the workflow so teams stop stitching together five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Category</w:t>
            </w:r>
          </w:p>
        </w:tc>
        <w:tc>
          <w:tcPr>
            <w:tcW w:type="dxa" w:w="33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Representative Players</w:t>
            </w:r>
          </w:p>
        </w:tc>
        <w:tc>
          <w:tcPr>
            <w:tcW w:type="dxa" w:w="386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Gap Splyntra Fills</w:t>
            </w:r>
          </w:p>
        </w:tc>
      </w:tr>
      <w:tr>
        <w:tc>
          <w:tcPr>
            <w:tcW w:type="dxa" w:w="22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LLM observability / tracing</w:t>
            </w:r>
          </w:p>
        </w:tc>
        <w:tc>
          <w:tcPr>
            <w:tcW w:type="dxa" w:w="33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General APM and LLM-tracing tools</w:t>
            </w:r>
          </w:p>
        </w:tc>
        <w:tc>
          <w:tcPr>
            <w:tcW w:type="dxa" w:w="38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Agent-native traces (tools, steps, multi-agent), not just LLM calls.</w:t>
            </w:r>
          </w:p>
        </w:tc>
      </w:tr>
      <w:tr>
        <w:tc>
          <w:tcPr>
            <w:tcW w:type="dxa" w:w="22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LLM evaluation</w:t>
            </w:r>
          </w:p>
        </w:tc>
        <w:tc>
          <w:tcPr>
            <w:tcW w:type="dxa" w:w="33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Eval and prompt-testing tools</w:t>
            </w:r>
          </w:p>
        </w:tc>
        <w:tc>
          <w:tcPr>
            <w:tcW w:type="dxa" w:w="38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Eval tied to live traces and used as release gates.</w:t>
            </w:r>
          </w:p>
        </w:tc>
      </w:tr>
      <w:tr>
        <w:tc>
          <w:tcPr>
            <w:tcW w:type="dxa" w:w="22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AI / prompt security</w:t>
            </w:r>
          </w:p>
        </w:tc>
        <w:tc>
          <w:tcPr>
            <w:tcW w:type="dxa" w:w="33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Standalone guardrail products</w:t>
            </w:r>
          </w:p>
        </w:tc>
        <w:tc>
          <w:tcPr>
            <w:tcW w:type="dxa" w:w="38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Security fused with observability and the audit ledger.</w:t>
            </w:r>
          </w:p>
        </w:tc>
      </w:tr>
      <w:tr>
        <w:tc>
          <w:tcPr>
            <w:tcW w:type="dxa" w:w="22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IAM / governance</w:t>
            </w:r>
          </w:p>
        </w:tc>
        <w:tc>
          <w:tcPr>
            <w:tcW w:type="dxa" w:w="33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Workforce identity providers</w:t>
            </w:r>
          </w:p>
        </w:tc>
        <w:tc>
          <w:tcPr>
            <w:tcW w:type="dxa" w:w="38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Identity and delegation designed for non-human agent actors.</w:t>
            </w:r>
          </w:p>
        </w:tc>
      </w:tr>
      <w:tr>
        <w:tc>
          <w:tcPr>
            <w:tcW w:type="dxa" w:w="22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Audit / compliance</w:t>
            </w:r>
          </w:p>
        </w:tc>
        <w:tc>
          <w:tcPr>
            <w:tcW w:type="dxa" w:w="33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GRC platforms</w:t>
            </w:r>
          </w:p>
        </w:tc>
        <w:tc>
          <w:tcPr>
            <w:tcW w:type="dxa" w:w="38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Action-level, agent-native immutable ledger out of the box.</w:t>
            </w:r>
          </w:p>
        </w:tc>
      </w:tr>
    </w:tbl>
    <w:p>
      <w:pPr>
        <w:pStyle w:val="Heading3"/>
      </w:pPr>
      <w:r>
        <w:t xml:space="preserve">7.1 Differentiation</w:t>
      </w:r>
    </w:p>
    <w:p>
      <w:pPr>
        <w:pStyle w:val="ListParagraph"/>
        <w:numPr>
          <w:ilvl w:val="0"/>
          <w:numId w:val="2"/>
        </w:numPr>
        <w:spacing w:after="60" w:line="276"/>
      </w:pPr>
      <w:r>
        <w:t xml:space="preserve">Unified control plane — one data model spanning all five pillars, instead of five disconnected tools.</w:t>
      </w:r>
    </w:p>
    <w:p>
      <w:pPr>
        <w:pStyle w:val="ListParagraph"/>
        <w:numPr>
          <w:ilvl w:val="0"/>
          <w:numId w:val="2"/>
        </w:numPr>
        <w:spacing w:after="60" w:line="276"/>
      </w:pPr>
      <w:r>
        <w:t xml:space="preserve">Framework-agnostic — first-class SDK integrations across the major agent platforms.</w:t>
      </w:r>
    </w:p>
    <w:p>
      <w:pPr>
        <w:pStyle w:val="ListParagraph"/>
        <w:numPr>
          <w:ilvl w:val="0"/>
          <w:numId w:val="2"/>
        </w:numPr>
        <w:spacing w:after="60" w:line="276"/>
      </w:pPr>
      <w:r>
        <w:t xml:space="preserve">Open-source-led — developer trust and bottom-up adoption before enterprise sale.</w:t>
      </w:r>
    </w:p>
    <w:p>
      <w:pPr>
        <w:pStyle w:val="ListParagraph"/>
        <w:numPr>
          <w:ilvl w:val="0"/>
          <w:numId w:val="2"/>
        </w:numPr>
        <w:spacing w:after="60" w:line="276"/>
      </w:pPr>
      <w:r>
        <w:t xml:space="preserve">Agent identity as a standard — the long-term moat: a trusted, portable identity layer for non-human actors.</w:t>
      </w:r>
    </w:p>
    <w:p>
      <w:pPr>
        <w:pStyle w:val="Heading2"/>
      </w:pPr>
      <w:r>
        <w:t xml:space="preserve">8. Business Goals &amp; KPIs</w:t>
      </w:r>
    </w:p>
    <w:p>
      <w:pPr>
        <w:spacing w:after="120" w:line="276"/>
      </w:pPr>
      <w:r>
        <w:t xml:space="preserve">Goals follow a land-and-expand trajectory: win developers with open source, convert teams to paid observability and security, then expand into enterprise governance 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100"/>
        <w:gridCol w:w="1260"/>
        <w:gridCol w:w="3300"/>
      </w:tblGrid>
      <w:tr>
        <w:trPr>
          <w:tblHeader/>
        </w:trPr>
        <w:tc>
          <w:tcPr>
            <w:tcW w:type="dxa" w:w="12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Horizon</w:t>
            </w:r>
          </w:p>
        </w:tc>
        <w:tc>
          <w:tcPr>
            <w:tcW w:type="dxa" w:w="15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OSS Users</w:t>
            </w:r>
          </w:p>
        </w:tc>
        <w:tc>
          <w:tcPr>
            <w:tcW w:type="dxa" w:w="21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Customers</w:t>
            </w:r>
          </w:p>
        </w:tc>
        <w:tc>
          <w:tcPr>
            <w:tcW w:type="dxa" w:w="126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ARR</w:t>
            </w:r>
          </w:p>
        </w:tc>
        <w:tc>
          <w:tcPr>
            <w:tcW w:type="dxa" w:w="33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Strategic Milestone</w:t>
            </w:r>
          </w:p>
        </w:tc>
      </w:tr>
      <w:tr>
        <w:tc>
          <w:tcPr>
            <w:tcW w:type="dxa" w:w="12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Year 1</w:t>
            </w:r>
          </w:p>
        </w:tc>
        <w:tc>
          <w:tcPr>
            <w:tcW w:type="dxa" w:w="15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10,000</w:t>
            </w:r>
          </w:p>
        </w:tc>
        <w:tc>
          <w:tcPr>
            <w:tcW w:type="dxa" w:w="21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100 paying teams</w:t>
            </w:r>
          </w:p>
        </w:tc>
        <w:tc>
          <w:tcPr>
            <w:tcW w:type="dxa" w:w="12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$250K</w:t>
            </w:r>
          </w:p>
        </w:tc>
        <w:tc>
          <w:tcPr>
            <w:tcW w:type="dxa" w:w="33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Validated OSS observability + security demand.</w:t>
            </w:r>
          </w:p>
        </w:tc>
      </w:tr>
      <w:tr>
        <w:tc>
          <w:tcPr>
            <w:tcW w:type="dxa" w:w="12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Year 2</w:t>
            </w:r>
          </w:p>
        </w:tc>
        <w:tc>
          <w:tcPr>
            <w:tcW w:type="dxa" w:w="15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50,000</w:t>
            </w:r>
          </w:p>
        </w:tc>
        <w:tc>
          <w:tcPr>
            <w:tcW w:type="dxa" w:w="21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500 customers</w:t>
            </w:r>
          </w:p>
        </w:tc>
        <w:tc>
          <w:tcPr>
            <w:tcW w:type="dxa" w:w="12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$2M</w:t>
            </w:r>
          </w:p>
        </w:tc>
        <w:tc>
          <w:tcPr>
            <w:tcW w:type="dxa" w:w="33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Repeatable paid conversion; first enterprise logos.</w:t>
            </w:r>
          </w:p>
        </w:tc>
      </w:tr>
      <w:tr>
        <w:tc>
          <w:tcPr>
            <w:tcW w:type="dxa" w:w="12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Year 3</w:t>
            </w:r>
          </w:p>
        </w:tc>
        <w:tc>
          <w:tcPr>
            <w:tcW w:type="dxa" w:w="15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w:t>
            </w:r>
          </w:p>
        </w:tc>
        <w:tc>
          <w:tcPr>
            <w:tcW w:type="dxa" w:w="21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100+ enterprises</w:t>
            </w:r>
          </w:p>
        </w:tc>
        <w:tc>
          <w:tcPr>
            <w:tcW w:type="dxa" w:w="12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$10M</w:t>
            </w:r>
          </w:p>
        </w:tc>
        <w:tc>
          <w:tcPr>
            <w:tcW w:type="dxa" w:w="33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Governance &amp; identity expansion landing in enterprise.</w:t>
            </w:r>
          </w:p>
        </w:tc>
      </w:tr>
      <w:tr>
        <w:tc>
          <w:tcPr>
            <w:tcW w:type="dxa" w:w="12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Year 5</w:t>
            </w:r>
          </w:p>
        </w:tc>
        <w:tc>
          <w:tcPr>
            <w:tcW w:type="dxa" w:w="15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w:t>
            </w:r>
          </w:p>
        </w:tc>
        <w:tc>
          <w:tcPr>
            <w:tcW w:type="dxa" w:w="21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w:t>
            </w:r>
          </w:p>
        </w:tc>
        <w:tc>
          <w:tcPr>
            <w:tcW w:type="dxa" w:w="12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$50M+</w:t>
            </w:r>
          </w:p>
        </w:tc>
        <w:tc>
          <w:tcPr>
            <w:tcW w:type="dxa" w:w="33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Agent identity standard adoption.</w:t>
            </w:r>
          </w:p>
        </w:tc>
      </w:tr>
    </w:tbl>
    <w:p>
      <w:pPr>
        <w:pStyle w:val="Heading2"/>
      </w:pPr>
      <w:r>
        <w:t xml:space="preserve">9. Go-to-Market Strategy</w:t>
      </w:r>
    </w:p>
    <w:p>
      <w:pPr>
        <w:pStyle w:val="Heading3"/>
      </w:pPr>
      <w:r>
        <w:t xml:space="preserve">9.1 Motion</w:t>
      </w:r>
    </w:p>
    <w:p>
      <w:pPr>
        <w:spacing w:after="120" w:line="276"/>
      </w:pPr>
      <w:r>
        <w:t xml:space="preserve">Splyntra is open-source-led (PLG) at the top of funnel, converting to a sales-assisted motion for teams and a direct enterprise motion for governance and identity.</w:t>
      </w:r>
    </w:p>
    <w:p>
      <w:pPr>
        <w:pStyle w:val="ListParagraph"/>
        <w:numPr>
          <w:ilvl w:val="0"/>
          <w:numId w:val="3"/>
        </w:numPr>
        <w:spacing w:after="60" w:line="276"/>
      </w:pPr>
      <w:r>
        <w:t xml:space="preserve">Win developers with a free, self-hostable OSS core (SDK + collector + tracing + cost).</w:t>
      </w:r>
    </w:p>
    <w:p>
      <w:pPr>
        <w:pStyle w:val="ListParagraph"/>
        <w:numPr>
          <w:ilvl w:val="0"/>
          <w:numId w:val="3"/>
        </w:numPr>
        <w:spacing w:after="60" w:line="276"/>
      </w:pPr>
      <w:r>
        <w:t xml:space="preserve">Convert active teams to a managed cloud tier for collaboration, retention, and security.</w:t>
      </w:r>
    </w:p>
    <w:p>
      <w:pPr>
        <w:pStyle w:val="ListParagraph"/>
        <w:numPr>
          <w:ilvl w:val="0"/>
          <w:numId w:val="3"/>
        </w:numPr>
        <w:spacing w:after="60" w:line="276"/>
      </w:pPr>
      <w:r>
        <w:t xml:space="preserve">Expand into security, evaluation gates, and governance as usage and risk grow.</w:t>
      </w:r>
    </w:p>
    <w:p>
      <w:pPr>
        <w:pStyle w:val="ListParagraph"/>
        <w:numPr>
          <w:ilvl w:val="0"/>
          <w:numId w:val="3"/>
        </w:numPr>
        <w:spacing w:after="60" w:line="276"/>
      </w:pPr>
      <w:r>
        <w:t xml:space="preserve">Land enterprise contracts on governance, identity, and compliance, sold to security and platform leadership.</w:t>
      </w:r>
    </w:p>
    <w:p>
      <w:pPr>
        <w:pStyle w:val="Heading3"/>
      </w:pPr>
      <w:r>
        <w:t xml:space="preserve">9.2 Channels</w:t>
      </w:r>
    </w:p>
    <w:p>
      <w:pPr>
        <w:pStyle w:val="ListParagraph"/>
        <w:numPr>
          <w:ilvl w:val="0"/>
          <w:numId w:val="2"/>
        </w:numPr>
        <w:spacing w:after="60" w:line="276"/>
      </w:pPr>
      <w:r>
        <w:t xml:space="preserve">Open-source community, framework integrations, and developer content.</w:t>
      </w:r>
    </w:p>
    <w:p>
      <w:pPr>
        <w:pStyle w:val="ListParagraph"/>
        <w:numPr>
          <w:ilvl w:val="0"/>
          <w:numId w:val="2"/>
        </w:numPr>
        <w:spacing w:after="60" w:line="276"/>
      </w:pPr>
      <w:r>
        <w:t xml:space="preserve">Design-partner program with a small number of regulated enterprises.</w:t>
      </w:r>
    </w:p>
    <w:p>
      <w:pPr>
        <w:pStyle w:val="ListParagraph"/>
        <w:numPr>
          <w:ilvl w:val="0"/>
          <w:numId w:val="2"/>
        </w:numPr>
        <w:spacing w:after="60" w:line="276"/>
      </w:pPr>
      <w:r>
        <w:t xml:space="preserve">Marketplace and framework co-listings (agent platforms, cloud marketplaces).</w:t>
      </w:r>
    </w:p>
    <w:p>
      <w:pPr>
        <w:pStyle w:val="Heading2"/>
      </w:pPr>
      <w:r>
        <w:t xml:space="preserve">10. Pricing &amp; Packaging</w:t>
      </w:r>
    </w:p>
    <w:p>
      <w:pPr>
        <w:spacing w:after="120" w:line="276"/>
      </w:pPr>
      <w:r>
        <w:t xml:space="preserve">Pricing aligns to value capture by pillar maturity. The OSS tier drives adoption; paid tiers monetize collaboration, retention, security, and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4060"/>
        <w:gridCol w:w="1900"/>
      </w:tblGrid>
      <w:tr>
        <w:trPr>
          <w:tblHeader/>
        </w:trPr>
        <w:tc>
          <w:tcPr>
            <w:tcW w:type="dxa" w:w="14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Tier</w:t>
            </w:r>
          </w:p>
        </w:tc>
        <w:tc>
          <w:tcPr>
            <w:tcW w:type="dxa" w:w="20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Audience</w:t>
            </w:r>
          </w:p>
        </w:tc>
        <w:tc>
          <w:tcPr>
            <w:tcW w:type="dxa" w:w="406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Includes</w:t>
            </w:r>
          </w:p>
        </w:tc>
        <w:tc>
          <w:tcPr>
            <w:tcW w:type="dxa" w:w="19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Pricing Model</w:t>
            </w:r>
          </w:p>
        </w:tc>
      </w:tr>
      <w:tr>
        <w:tc>
          <w:tcPr>
            <w:tcW w:type="dxa" w:w="14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Open Source</w:t>
            </w:r>
          </w:p>
        </w:tc>
        <w:tc>
          <w:tcPr>
            <w:tcW w:type="dxa" w:w="20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Individual devs, startups</w:t>
            </w:r>
          </w:p>
        </w:tc>
        <w:tc>
          <w:tcPr>
            <w:tcW w:type="dxa" w:w="40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SDK, collector, tracing, basic cost analytics (self-hosted).</w:t>
            </w:r>
          </w:p>
        </w:tc>
        <w:tc>
          <w:tcPr>
            <w:tcW w:type="dxa" w:w="19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Free</w:t>
            </w:r>
          </w:p>
        </w:tc>
      </w:tr>
      <w:tr>
        <w:tc>
          <w:tcPr>
            <w:tcW w:type="dxa" w:w="14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Cloud / Team</w:t>
            </w:r>
          </w:p>
        </w:tc>
        <w:tc>
          <w:tcPr>
            <w:tcW w:type="dxa" w:w="20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Growing teams</w:t>
            </w:r>
          </w:p>
        </w:tc>
        <w:tc>
          <w:tcPr>
            <w:tcW w:type="dxa" w:w="40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Hosted platform, retention, dashboards, alerts, evaluation.</w:t>
            </w:r>
          </w:p>
        </w:tc>
        <w:tc>
          <w:tcPr>
            <w:tcW w:type="dxa" w:w="19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Per-seat + usage (events/tokens).</w:t>
            </w:r>
          </w:p>
        </w:tc>
      </w:tr>
      <w:tr>
        <w:tc>
          <w:tcPr>
            <w:tcW w:type="dxa" w:w="14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Business</w:t>
            </w:r>
          </w:p>
        </w:tc>
        <w:tc>
          <w:tcPr>
            <w:tcW w:type="dxa" w:w="20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Mid-market</w:t>
            </w:r>
          </w:p>
        </w:tc>
        <w:tc>
          <w:tcPr>
            <w:tcW w:type="dxa" w:w="40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Full security engine, regression gates, multiple projects/orgs.</w:t>
            </w:r>
          </w:p>
        </w:tc>
        <w:tc>
          <w:tcPr>
            <w:tcW w:type="dxa" w:w="19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Platform fee + usage.</w:t>
            </w:r>
          </w:p>
        </w:tc>
      </w:tr>
      <w:tr>
        <w:tc>
          <w:tcPr>
            <w:tcW w:type="dxa" w:w="14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Enterprise</w:t>
            </w:r>
          </w:p>
        </w:tc>
        <w:tc>
          <w:tcPr>
            <w:tcW w:type="dxa" w:w="20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Regulated enterprise</w:t>
            </w:r>
          </w:p>
        </w:tc>
        <w:tc>
          <w:tcPr>
            <w:tcW w:type="dxa" w:w="40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Governance, identity, compliance, SSO, SLA, deployment options.</w:t>
            </w:r>
          </w:p>
        </w:tc>
        <w:tc>
          <w:tcPr>
            <w:tcW w:type="dxa" w:w="19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Annual contract + usage.</w:t>
            </w:r>
          </w:p>
        </w:tc>
      </w:tr>
    </w:tbl>
    <w:p>
      <w:pPr>
        <w:pStyle w:val="Heading2"/>
      </w:pPr>
      <w:r>
        <w:t xml:space="preserve">11. Business Model &amp; Revenue Streams</w:t>
      </w:r>
    </w:p>
    <w:p>
      <w:pPr>
        <w:pStyle w:val="ListParagraph"/>
        <w:numPr>
          <w:ilvl w:val="0"/>
          <w:numId w:val="2"/>
        </w:numPr>
        <w:spacing w:after="60" w:line="276"/>
      </w:pPr>
      <w:r>
        <w:t xml:space="preserve">Recurring subscription revenue across Cloud, Business, and Enterprise tiers.</w:t>
      </w:r>
    </w:p>
    <w:p>
      <w:pPr>
        <w:pStyle w:val="ListParagraph"/>
        <w:numPr>
          <w:ilvl w:val="0"/>
          <w:numId w:val="2"/>
        </w:numPr>
        <w:spacing w:after="60" w:line="276"/>
      </w:pPr>
      <w:r>
        <w:t xml:space="preserve">Usage-based revenue tied to ingested events, tokens analyzed, and evaluations run.</w:t>
      </w:r>
    </w:p>
    <w:p>
      <w:pPr>
        <w:pStyle w:val="ListParagraph"/>
        <w:numPr>
          <w:ilvl w:val="0"/>
          <w:numId w:val="2"/>
        </w:numPr>
        <w:spacing w:after="60" w:line="276"/>
      </w:pPr>
      <w:r>
        <w:t xml:space="preserve">Enterprise expansion via governance, identity, and compliance modules.</w:t>
      </w:r>
    </w:p>
    <w:p>
      <w:pPr>
        <w:pStyle w:val="ListParagraph"/>
        <w:numPr>
          <w:ilvl w:val="0"/>
          <w:numId w:val="2"/>
        </w:numPr>
        <w:spacing w:after="60" w:line="276"/>
      </w:pPr>
      <w:r>
        <w:t xml:space="preserve">Long-term platform revenue from agent-identity issuance and trust services.</w:t>
      </w:r>
    </w:p>
    <w:p>
      <w:pPr>
        <w:pStyle w:val="Heading2"/>
      </w:pPr>
      <w:r>
        <w:t xml:space="preserve">12. Success Metrics</w:t>
      </w:r>
    </w:p>
    <w:p>
      <w:pPr>
        <w:spacing w:after="120" w:line="276"/>
      </w:pPr>
      <w:r>
        <w:rPr>
          <w:b/>
          <w:bCs/>
        </w:rPr>
        <w:t xml:space="preserve">North-star metric: </w:t>
      </w:r>
      <w:r>
        <w:t xml:space="preserve">number of production agents actively monitored and governed through Splyntra.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60"/>
        <w:gridCol w:w="3900"/>
      </w:tblGrid>
      <w:tr>
        <w:trPr>
          <w:tblHeader/>
        </w:trPr>
        <w:tc>
          <w:tcPr>
            <w:tcW w:type="dxa" w:w="17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Category</w:t>
            </w:r>
          </w:p>
        </w:tc>
        <w:tc>
          <w:tcPr>
            <w:tcW w:type="dxa" w:w="376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Metric</w:t>
            </w:r>
          </w:p>
        </w:tc>
        <w:tc>
          <w:tcPr>
            <w:tcW w:type="dxa" w:w="39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Why It Matters</w:t>
            </w:r>
          </w:p>
        </w:tc>
      </w:tr>
      <w:tr>
        <w:tc>
          <w:tcPr>
            <w:tcW w:type="dxa" w:w="17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Adoption</w:t>
            </w:r>
          </w:p>
        </w:tc>
        <w:tc>
          <w:tcPr>
            <w:tcW w:type="dxa" w:w="37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OSS installs, weekly active projects</w:t>
            </w:r>
          </w:p>
        </w:tc>
        <w:tc>
          <w:tcPr>
            <w:tcW w:type="dxa" w:w="39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Top-of-funnel health and developer love.</w:t>
            </w:r>
          </w:p>
        </w:tc>
      </w:tr>
      <w:tr>
        <w:tc>
          <w:tcPr>
            <w:tcW w:type="dxa" w:w="17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Activation</w:t>
            </w:r>
          </w:p>
        </w:tc>
        <w:tc>
          <w:tcPr>
            <w:tcW w:type="dxa" w:w="37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Time to first trace; integrations connected</w:t>
            </w:r>
          </w:p>
        </w:tc>
        <w:tc>
          <w:tcPr>
            <w:tcW w:type="dxa" w:w="39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Proof of fast value realization.</w:t>
            </w:r>
          </w:p>
        </w:tc>
      </w:tr>
      <w:tr>
        <w:tc>
          <w:tcPr>
            <w:tcW w:type="dxa" w:w="17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Engagement</w:t>
            </w:r>
          </w:p>
        </w:tc>
        <w:tc>
          <w:tcPr>
            <w:tcW w:type="dxa" w:w="37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Agents monitored; events ingested/day</w:t>
            </w:r>
          </w:p>
        </w:tc>
        <w:tc>
          <w:tcPr>
            <w:tcW w:type="dxa" w:w="39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Depth of platform reliance.</w:t>
            </w:r>
          </w:p>
        </w:tc>
      </w:tr>
      <w:tr>
        <w:tc>
          <w:tcPr>
            <w:tcW w:type="dxa" w:w="17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Monetization</w:t>
            </w:r>
          </w:p>
        </w:tc>
        <w:tc>
          <w:tcPr>
            <w:tcW w:type="dxa" w:w="37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Paid conversion %, ARR, net revenue retention</w:t>
            </w:r>
          </w:p>
        </w:tc>
        <w:tc>
          <w:tcPr>
            <w:tcW w:type="dxa" w:w="39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Commercial durability and expansion.</w:t>
            </w:r>
          </w:p>
        </w:tc>
      </w:tr>
      <w:tr>
        <w:tc>
          <w:tcPr>
            <w:tcW w:type="dxa" w:w="17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Trust</w:t>
            </w:r>
          </w:p>
        </w:tc>
        <w:tc>
          <w:tcPr>
            <w:tcW w:type="dxa" w:w="37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Security incidents caught; eval regressions blocked</w:t>
            </w:r>
          </w:p>
        </w:tc>
        <w:tc>
          <w:tcPr>
            <w:tcW w:type="dxa" w:w="39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Demonstrated risk reduction.</w:t>
            </w:r>
          </w:p>
        </w:tc>
      </w:tr>
    </w:tbl>
    <w:p>
      <w:pPr>
        <w:pStyle w:val="Heading2"/>
      </w:pPr>
      <w:r>
        <w:t xml:space="preserve">13.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Risk</w:t>
            </w:r>
          </w:p>
        </w:tc>
        <w:tc>
          <w:tcPr>
            <w:tcW w:type="dxa" w:w="12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Impact</w:t>
            </w:r>
          </w:p>
        </w:tc>
        <w:tc>
          <w:tcPr>
            <w:tcW w:type="dxa" w:w="516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Mitigation</w:t>
            </w:r>
          </w:p>
        </w:tc>
      </w:tr>
      <w:tr>
        <w:tc>
          <w:tcPr>
            <w:tcW w:type="dxa" w:w="30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Incumbents add agent features</w:t>
            </w:r>
          </w:p>
        </w:tc>
        <w:tc>
          <w:tcPr>
            <w:tcW w:type="dxa" w:w="12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High</w:t>
            </w:r>
          </w:p>
        </w:tc>
        <w:tc>
          <w:tcPr>
            <w:tcW w:type="dxa" w:w="51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Win on unification + identity moat; move fast on OSS adoption.</w:t>
            </w:r>
          </w:p>
        </w:tc>
      </w:tr>
      <w:tr>
        <w:tc>
          <w:tcPr>
            <w:tcW w:type="dxa" w:w="30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Slow OSS-to-paid conversion</w:t>
            </w:r>
          </w:p>
        </w:tc>
        <w:tc>
          <w:tcPr>
            <w:tcW w:type="dxa" w:w="12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High</w:t>
            </w:r>
          </w:p>
        </w:tc>
        <w:tc>
          <w:tcPr>
            <w:tcW w:type="dxa" w:w="51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Tie paid tiers to retention, collaboration, and security must-haves.</w:t>
            </w:r>
          </w:p>
        </w:tc>
      </w:tr>
      <w:tr>
        <w:tc>
          <w:tcPr>
            <w:tcW w:type="dxa" w:w="30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Framework churn / fragmentation</w:t>
            </w:r>
          </w:p>
        </w:tc>
        <w:tc>
          <w:tcPr>
            <w:tcW w:type="dxa" w:w="12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Medium</w:t>
            </w:r>
          </w:p>
        </w:tc>
        <w:tc>
          <w:tcPr>
            <w:tcW w:type="dxa" w:w="51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Stable SDK abstraction; community-maintained adapters.</w:t>
            </w:r>
          </w:p>
        </w:tc>
      </w:tr>
      <w:tr>
        <w:tc>
          <w:tcPr>
            <w:tcW w:type="dxa" w:w="30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Data scale / cost of ingestion</w:t>
            </w:r>
          </w:p>
        </w:tc>
        <w:tc>
          <w:tcPr>
            <w:tcW w:type="dxa" w:w="12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Medium</w:t>
            </w:r>
          </w:p>
        </w:tc>
        <w:tc>
          <w:tcPr>
            <w:tcW w:type="dxa" w:w="51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Columnar store (ClickHouse), sampling, tiered retention.</w:t>
            </w:r>
          </w:p>
        </w:tc>
      </w:tr>
      <w:tr>
        <w:tc>
          <w:tcPr>
            <w:tcW w:type="dxa" w:w="30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Enterprise sales cycle length</w:t>
            </w:r>
          </w:p>
        </w:tc>
        <w:tc>
          <w:tcPr>
            <w:tcW w:type="dxa" w:w="12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Medium</w:t>
            </w:r>
          </w:p>
        </w:tc>
        <w:tc>
          <w:tcPr>
            <w:tcW w:type="dxa" w:w="51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Land on observability; expand into governance over time.</w:t>
            </w:r>
          </w:p>
        </w:tc>
      </w:tr>
      <w:tr>
        <w:tc>
          <w:tcPr>
            <w:tcW w:type="dxa" w:w="30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Security/compliance burden</w:t>
            </w:r>
          </w:p>
        </w:tc>
        <w:tc>
          <w:tcPr>
            <w:tcW w:type="dxa" w:w="12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High</w:t>
            </w:r>
          </w:p>
        </w:tc>
        <w:tc>
          <w:tcPr>
            <w:tcW w:type="dxa" w:w="51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Build SOC 2 / data residency early; minimize sensitive data capture.</w:t>
            </w:r>
          </w:p>
        </w:tc>
      </w:tr>
    </w:tbl>
    <w:p>
      <w:pPr>
        <w:pStyle w:val="Heading2"/>
      </w:pPr>
      <w:r>
        <w:t xml:space="preserve">14. Assumptions, Dependencies &amp; Constraints</w:t>
      </w:r>
    </w:p>
    <w:p>
      <w:pPr>
        <w:pStyle w:val="Heading3"/>
      </w:pPr>
      <w:r>
        <w:t xml:space="preserve">14.1 Assumptions</w:t>
      </w:r>
    </w:p>
    <w:p>
      <w:pPr>
        <w:pStyle w:val="ListParagraph"/>
        <w:numPr>
          <w:ilvl w:val="0"/>
          <w:numId w:val="2"/>
        </w:numPr>
        <w:spacing w:after="60" w:line="276"/>
      </w:pPr>
      <w:r>
        <w:t xml:space="preserve">Enterprises will standardize agent operations on a dedicated platform rather than building in-house.</w:t>
      </w:r>
    </w:p>
    <w:p>
      <w:pPr>
        <w:pStyle w:val="ListParagraph"/>
        <w:numPr>
          <w:ilvl w:val="0"/>
          <w:numId w:val="2"/>
        </w:numPr>
        <w:spacing w:after="60" w:line="276"/>
      </w:pPr>
      <w:r>
        <w:t xml:space="preserve">Open-source adoption translates into a meaningful paid conversion funnel.</w:t>
      </w:r>
    </w:p>
    <w:p>
      <w:pPr>
        <w:pStyle w:val="Heading3"/>
      </w:pPr>
      <w:r>
        <w:t xml:space="preserve">14.2 Dependencies</w:t>
      </w:r>
    </w:p>
    <w:p>
      <w:pPr>
        <w:pStyle w:val="ListParagraph"/>
        <w:numPr>
          <w:ilvl w:val="0"/>
          <w:numId w:val="2"/>
        </w:numPr>
        <w:spacing w:after="60" w:line="276"/>
      </w:pPr>
      <w:r>
        <w:t xml:space="preserve">Stable integration surfaces in the supported agent frameworks.</w:t>
      </w:r>
    </w:p>
    <w:p>
      <w:pPr>
        <w:pStyle w:val="ListParagraph"/>
        <w:numPr>
          <w:ilvl w:val="0"/>
          <w:numId w:val="2"/>
        </w:numPr>
        <w:spacing w:after="60" w:line="276"/>
      </w:pPr>
      <w:r>
        <w:t xml:space="preserve">Customer willingness to route agent telemetry through Splyntra (trust + data handling).</w:t>
      </w:r>
    </w:p>
    <w:p>
      <w:pPr>
        <w:pStyle w:val="Heading3"/>
      </w:pPr>
      <w:r>
        <w:t xml:space="preserve">14.3 Constraints</w:t>
      </w:r>
    </w:p>
    <w:p>
      <w:pPr>
        <w:pStyle w:val="ListParagraph"/>
        <w:numPr>
          <w:ilvl w:val="0"/>
          <w:numId w:val="2"/>
        </w:numPr>
        <w:spacing w:after="60" w:line="276"/>
      </w:pPr>
      <w:r>
        <w:t xml:space="preserve">Sensitive data handling must satisfy regional privacy and sector regulation from launch.</w:t>
      </w:r>
    </w:p>
    <w:p>
      <w:pPr>
        <w:pStyle w:val="ListParagraph"/>
        <w:numPr>
          <w:ilvl w:val="0"/>
          <w:numId w:val="2"/>
        </w:numPr>
        <w:spacing w:after="60" w:line="276"/>
      </w:pPr>
      <w:r>
        <w:t xml:space="preserve">MVP scope must stay narrow enough to ship within six months (Section 15).</w:t>
      </w:r>
    </w:p>
    <w:p>
      <w:pPr>
        <w:pStyle w:val="Heading2"/>
      </w:pPr>
      <w:r>
        <w:t xml:space="preserve">15. Release Roadmap &amp; MVP Scope</w:t>
      </w:r>
    </w:p>
    <w:p>
      <w:pPr>
        <w:spacing w:after="120" w:line="276"/>
      </w:pPr>
      <w:r>
        <w:t xml:space="preserve">The fastest path is to win developers first with an open-source observability and security platform, then expand into governance and identity once real users and validated demand exist. The first six months ship only the wedge.</w:t>
      </w:r>
    </w:p>
    <w:p>
      <w:pPr>
        <w:pStyle w:val="Heading3"/>
      </w:pPr>
      <w:r>
        <w:t xml:space="preserve">15.1 In Scope — MVP (First 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Area</w:t>
            </w:r>
          </w:p>
        </w:tc>
        <w:tc>
          <w:tcPr>
            <w:tcW w:type="dxa" w:w="746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MVP Deliverables</w:t>
            </w:r>
          </w:p>
        </w:tc>
      </w:tr>
      <w:tr>
        <w:tc>
          <w:tcPr>
            <w:tcW w:type="dxa" w:w="19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Core</w:t>
            </w:r>
          </w:p>
        </w:tc>
        <w:tc>
          <w:tcPr>
            <w:tcW w:type="dxa" w:w="74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Event Collector, Agent SDK, integrations for Dify, LangGraph, CrewAI, OpenAI Agents.</w:t>
            </w:r>
          </w:p>
        </w:tc>
      </w:tr>
      <w:tr>
        <w:tc>
          <w:tcPr>
            <w:tcW w:type="dxa" w:w="19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Observability</w:t>
            </w:r>
          </w:p>
        </w:tc>
        <w:tc>
          <w:tcPr>
            <w:tcW w:type="dxa" w:w="74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Execution tracing, agent replay, metrics, cost analytics.</w:t>
            </w:r>
          </w:p>
        </w:tc>
      </w:tr>
      <w:tr>
        <w:tc>
          <w:tcPr>
            <w:tcW w:type="dxa" w:w="19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Evaluation</w:t>
            </w:r>
          </w:p>
        </w:tc>
        <w:tc>
          <w:tcPr>
            <w:tcW w:type="dxa" w:w="74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Dataset management, benchmarking, regression detection.</w:t>
            </w:r>
          </w:p>
        </w:tc>
      </w:tr>
      <w:tr>
        <w:tc>
          <w:tcPr>
            <w:tcW w:type="dxa" w:w="19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Security</w:t>
            </w:r>
          </w:p>
        </w:tc>
        <w:tc>
          <w:tcPr>
            <w:tcW w:type="dxa" w:w="74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Prompt-injection detection, PII detection, secret detection, risk scoring.</w:t>
            </w:r>
          </w:p>
        </w:tc>
      </w:tr>
      <w:tr>
        <w:tc>
          <w:tcPr>
            <w:tcW w:type="dxa" w:w="19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Dashboard</w:t>
            </w:r>
          </w:p>
        </w:tc>
        <w:tc>
          <w:tcPr>
            <w:tcW w:type="dxa" w:w="74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Team management, projects, alerts.</w:t>
            </w:r>
          </w:p>
        </w:tc>
      </w:tr>
    </w:tbl>
    <w:p>
      <w:pPr>
        <w:pStyle w:val="Heading3"/>
      </w:pPr>
      <w:r>
        <w:t xml:space="preserve">15.2 Out of Scope — Post-MVP Expansion</w:t>
      </w:r>
    </w:p>
    <w:p>
      <w:pPr>
        <w:pStyle w:val="ListParagraph"/>
        <w:numPr>
          <w:ilvl w:val="0"/>
          <w:numId w:val="2"/>
        </w:numPr>
        <w:spacing w:after="60" w:line="276"/>
      </w:pPr>
      <w:r>
        <w:t xml:space="preserve">Agent Identity (registry, credentials, trust policies).</w:t>
      </w:r>
    </w:p>
    <w:p>
      <w:pPr>
        <w:pStyle w:val="ListParagraph"/>
        <w:numPr>
          <w:ilvl w:val="0"/>
          <w:numId w:val="2"/>
        </w:numPr>
        <w:spacing w:after="60" w:line="276"/>
      </w:pPr>
      <w:r>
        <w:t xml:space="preserve">Delegation Engine (permissions, spend controls, approval workflows).</w:t>
      </w:r>
    </w:p>
    <w:p>
      <w:pPr>
        <w:pStyle w:val="ListParagraph"/>
        <w:numPr>
          <w:ilvl w:val="0"/>
          <w:numId w:val="2"/>
        </w:numPr>
        <w:spacing w:after="60" w:line="276"/>
      </w:pPr>
      <w:r>
        <w:t xml:space="preserve">Policy Engine (RBAC / ABAC / ReBAC).</w:t>
      </w:r>
    </w:p>
    <w:p>
      <w:pPr>
        <w:pStyle w:val="ListParagraph"/>
        <w:numPr>
          <w:ilvl w:val="0"/>
          <w:numId w:val="2"/>
        </w:numPr>
        <w:spacing w:after="60" w:line="276"/>
      </w:pPr>
      <w:r>
        <w:t xml:space="preserve">Full Compliance Suite.</w:t>
      </w:r>
    </w:p>
    <w:p>
      <w:pPr>
        <w:spacing w:after="120" w:line="276"/>
      </w:pPr>
      <w:r>
        <w:t xml:space="preserve">These are high-value expansion products, sequenced after observability and security demand is validated with real users.</w:t>
      </w:r>
    </w:p>
    <w:p>
      <w:r>
        <w:br w:type="page"/>
      </w:r>
    </w:p>
    <w:p>
      <w:pPr>
        <w:spacing w:after="80" w:before="200"/>
      </w:pPr>
      <w:r>
        <w:rPr>
          <w:b/>
          <w:bCs/>
          <w:color w:val="4F46E5"/>
          <w:sz w:val="24"/>
          <w:szCs w:val="24"/>
        </w:rPr>
        <w:t xml:space="preserve">PART B</w:t>
      </w:r>
    </w:p>
    <w:p>
      <w:pPr>
        <w:pStyle w:val="Heading1"/>
      </w:pPr>
      <w:r>
        <w:t xml:space="preserve">Technical Requirements Document</w:t>
      </w:r>
    </w:p>
    <w:p>
      <w:pPr>
        <w:pBdr>
          <w:bottom w:val="single" w:color="C7D2FE" w:sz="8" w:space="1"/>
        </w:pBdr>
        <w:spacing w:after="160" w:before="40"/>
      </w:pPr>
      <w:r>
        <w:t xml:space="preserve"/>
      </w:r>
    </w:p>
    <w:p>
      <w:pPr>
        <w:pStyle w:val="Heading2"/>
      </w:pPr>
      <w:r>
        <w:t xml:space="preserve">1. High-Level Architecture</w:t>
      </w:r>
    </w:p>
    <w:p>
      <w:pPr>
        <w:spacing w:after="120" w:line="276"/>
      </w:pPr>
      <w:r>
        <w:t xml:space="preserve">Splyntra is an event-driven, multi-tenant platform. Agent runtimes emit telemetry through a lightweight SDK to an ingestion API. Events flow through a streaming layer into a set of processing engines (tracing, evaluation, security, governance), are persisted into a columnar analytics store plus a relational metadata store, and are surfaced through dashboards and APIs.</w:t>
      </w:r>
    </w:p>
    <w:p>
      <w:pPr>
        <w:pStyle w:val="Heading3"/>
      </w:pPr>
      <w:r>
        <w:t xml:space="preserve">1.1 Logical Layers</w:t>
      </w:r>
    </w:p>
    <w:p>
      <w:pPr>
        <w:pBdr>
          <w:left w:val="single" w:color="4F46E5" w:sz="18" w:space="6"/>
        </w:pBdr>
        <w:shd w:fill="F1F5F9" w:val="clear"/>
        <w:spacing w:after="120" w:before="80"/>
      </w:pPr>
      <w:r>
        <w:rPr>
          <w:rFonts w:ascii="Consolas" w:cs="Consolas" w:eastAsia="Consolas" w:hAnsi="Consolas"/>
          <w:color w:val="1E293B"/>
          <w:sz w:val="18"/>
          <w:szCs w:val="18"/>
        </w:rPr>
        <w:t xml:space="preserve">Agent Platforms</w:t>
      </w:r>
      <w:r>
        <w:rPr>
          <w:rFonts w:ascii="Consolas" w:cs="Consolas" w:eastAsia="Consolas" w:hAnsi="Consolas"/>
          <w:color w:val="1E293B"/>
          <w:sz w:val="18"/>
          <w:szCs w:val="18"/>
        </w:rPr>
        <w:br/>
        <w:t xml:space="preserve">  Dify · LangGraph · CrewAI · OpenAI Agents · Flowise · n8n</w:t>
      </w:r>
      <w:r>
        <w:rPr>
          <w:rFonts w:ascii="Consolas" w:cs="Consolas" w:eastAsia="Consolas" w:hAnsi="Consolas"/>
          <w:color w:val="1E293B"/>
          <w:sz w:val="18"/>
          <w:szCs w:val="18"/>
        </w:rPr>
        <w:br/>
        <w:t xml:space="preserve">        |</w:t>
      </w:r>
      <w:r>
        <w:rPr>
          <w:rFonts w:ascii="Consolas" w:cs="Consolas" w:eastAsia="Consolas" w:hAnsi="Consolas"/>
          <w:color w:val="1E293B"/>
          <w:sz w:val="18"/>
          <w:szCs w:val="18"/>
        </w:rPr>
        <w:br/>
        <w:t xml:space="preserve">        v</w:t>
      </w:r>
      <w:r>
        <w:rPr>
          <w:rFonts w:ascii="Consolas" w:cs="Consolas" w:eastAsia="Consolas" w:hAnsi="Consolas"/>
          <w:color w:val="1E293B"/>
          <w:sz w:val="18"/>
          <w:szCs w:val="18"/>
        </w:rPr>
        <w:br/>
        <w:t xml:space="preserve">Integration SDK Layer        (language SDKs + framework adapters)</w:t>
      </w:r>
      <w:r>
        <w:rPr>
          <w:rFonts w:ascii="Consolas" w:cs="Consolas" w:eastAsia="Consolas" w:hAnsi="Consolas"/>
          <w:color w:val="1E293B"/>
          <w:sz w:val="18"/>
          <w:szCs w:val="18"/>
        </w:rPr>
        <w:br/>
        <w:t xml:space="preserve">        |</w:t>
      </w:r>
      <w:r>
        <w:rPr>
          <w:rFonts w:ascii="Consolas" w:cs="Consolas" w:eastAsia="Consolas" w:hAnsi="Consolas"/>
          <w:color w:val="1E293B"/>
          <w:sz w:val="18"/>
          <w:szCs w:val="18"/>
        </w:rPr>
        <w:br/>
        <w:t xml:space="preserve">        v</w:t>
      </w:r>
      <w:r>
        <w:rPr>
          <w:rFonts w:ascii="Consolas" w:cs="Consolas" w:eastAsia="Consolas" w:hAnsi="Consolas"/>
          <w:color w:val="1E293B"/>
          <w:sz w:val="18"/>
          <w:szCs w:val="18"/>
        </w:rPr>
        <w:br/>
        <w:t xml:space="preserve">Event Collector API          (POST /v1/events — auth, validate, enrich)</w:t>
      </w:r>
      <w:r>
        <w:rPr>
          <w:rFonts w:ascii="Consolas" w:cs="Consolas" w:eastAsia="Consolas" w:hAnsi="Consolas"/>
          <w:color w:val="1E293B"/>
          <w:sz w:val="18"/>
          <w:szCs w:val="18"/>
        </w:rPr>
        <w:br/>
        <w:t xml:space="preserve">        |</w:t>
      </w:r>
      <w:r>
        <w:rPr>
          <w:rFonts w:ascii="Consolas" w:cs="Consolas" w:eastAsia="Consolas" w:hAnsi="Consolas"/>
          <w:color w:val="1E293B"/>
          <w:sz w:val="18"/>
          <w:szCs w:val="18"/>
        </w:rPr>
        <w:br/>
        <w:t xml:space="preserve">        v</w:t>
      </w:r>
      <w:r>
        <w:rPr>
          <w:rFonts w:ascii="Consolas" w:cs="Consolas" w:eastAsia="Consolas" w:hAnsi="Consolas"/>
          <w:color w:val="1E293B"/>
          <w:sz w:val="18"/>
          <w:szCs w:val="18"/>
        </w:rPr>
        <w:br/>
        <w:t xml:space="preserve">Event Streaming Layer        (Kafka / NATS — durable, partitioned)</w:t>
      </w:r>
      <w:r>
        <w:rPr>
          <w:rFonts w:ascii="Consolas" w:cs="Consolas" w:eastAsia="Consolas" w:hAnsi="Consolas"/>
          <w:color w:val="1E293B"/>
          <w:sz w:val="18"/>
          <w:szCs w:val="18"/>
        </w:rPr>
        <w:br/>
        <w:t xml:space="preserve">        |</w:t>
      </w:r>
      <w:r>
        <w:rPr>
          <w:rFonts w:ascii="Consolas" w:cs="Consolas" w:eastAsia="Consolas" w:hAnsi="Consolas"/>
          <w:color w:val="1E293B"/>
          <w:sz w:val="18"/>
          <w:szCs w:val="18"/>
        </w:rPr>
        <w:br/>
        <w:t xml:space="preserve">        v</w:t>
      </w:r>
      <w:r>
        <w:rPr>
          <w:rFonts w:ascii="Consolas" w:cs="Consolas" w:eastAsia="Consolas" w:hAnsi="Consolas"/>
          <w:color w:val="1E293B"/>
          <w:sz w:val="18"/>
          <w:szCs w:val="18"/>
        </w:rPr>
        <w:br/>
        <w:t xml:space="preserve">Processing Layer             (Tracing · Evaluation · Security · Governance)</w:t>
      </w:r>
      <w:r>
        <w:rPr>
          <w:rFonts w:ascii="Consolas" w:cs="Consolas" w:eastAsia="Consolas" w:hAnsi="Consolas"/>
          <w:color w:val="1E293B"/>
          <w:sz w:val="18"/>
          <w:szCs w:val="18"/>
        </w:rPr>
        <w:br/>
        <w:t xml:space="preserve">        |</w:t>
      </w:r>
      <w:r>
        <w:rPr>
          <w:rFonts w:ascii="Consolas" w:cs="Consolas" w:eastAsia="Consolas" w:hAnsi="Consolas"/>
          <w:color w:val="1E293B"/>
          <w:sz w:val="18"/>
          <w:szCs w:val="18"/>
        </w:rPr>
        <w:br/>
        <w:t xml:space="preserve">        v</w:t>
      </w:r>
      <w:r>
        <w:rPr>
          <w:rFonts w:ascii="Consolas" w:cs="Consolas" w:eastAsia="Consolas" w:hAnsi="Consolas"/>
          <w:color w:val="1E293B"/>
          <w:sz w:val="18"/>
          <w:szCs w:val="18"/>
        </w:rPr>
        <w:br/>
        <w:t xml:space="preserve">Storage Layer                (ClickHouse · PostgreSQL · Object Storage)</w:t>
      </w:r>
      <w:r>
        <w:rPr>
          <w:rFonts w:ascii="Consolas" w:cs="Consolas" w:eastAsia="Consolas" w:hAnsi="Consolas"/>
          <w:color w:val="1E293B"/>
          <w:sz w:val="18"/>
          <w:szCs w:val="18"/>
        </w:rPr>
        <w:br/>
        <w:t xml:space="preserve">        |</w:t>
      </w:r>
      <w:r>
        <w:rPr>
          <w:rFonts w:ascii="Consolas" w:cs="Consolas" w:eastAsia="Consolas" w:hAnsi="Consolas"/>
          <w:color w:val="1E293B"/>
          <w:sz w:val="18"/>
          <w:szCs w:val="18"/>
        </w:rPr>
        <w:br/>
        <w:t xml:space="preserve">        v</w:t>
      </w:r>
      <w:r>
        <w:rPr>
          <w:rFonts w:ascii="Consolas" w:cs="Consolas" w:eastAsia="Consolas" w:hAnsi="Consolas"/>
          <w:color w:val="1E293B"/>
          <w:sz w:val="18"/>
          <w:szCs w:val="18"/>
        </w:rPr>
        <w:br/>
        <w:t xml:space="preserve">Dashboard &amp; APIs             (Web app · REST/GraphQL · Webhooks)</w:t>
      </w:r>
    </w:p>
    <w:p>
      <w:pPr>
        <w:pStyle w:val="Heading3"/>
      </w:pPr>
      <w:r>
        <w:t xml:space="preserve">1.2 Architecture Principles</w:t>
      </w:r>
    </w:p>
    <w:p>
      <w:pPr>
        <w:pStyle w:val="ListParagraph"/>
        <w:numPr>
          <w:ilvl w:val="0"/>
          <w:numId w:val="2"/>
        </w:numPr>
        <w:spacing w:after="60" w:line="276"/>
      </w:pPr>
      <w:r>
        <w:t xml:space="preserve">Event-driven and asynchronous — ingestion is decoupled from processing for resilience and scale.</w:t>
      </w:r>
    </w:p>
    <w:p>
      <w:pPr>
        <w:pStyle w:val="ListParagraph"/>
        <w:numPr>
          <w:ilvl w:val="0"/>
          <w:numId w:val="2"/>
        </w:numPr>
        <w:spacing w:after="60" w:line="276"/>
      </w:pPr>
      <w:r>
        <w:t xml:space="preserve">Framework-agnostic — a stable internal event schema isolates the platform from per-framework differences.</w:t>
      </w:r>
    </w:p>
    <w:p>
      <w:pPr>
        <w:pStyle w:val="ListParagraph"/>
        <w:numPr>
          <w:ilvl w:val="0"/>
          <w:numId w:val="2"/>
        </w:numPr>
        <w:spacing w:after="60" w:line="276"/>
      </w:pPr>
      <w:r>
        <w:t xml:space="preserve">Multi-tenant by default — every record is scoped to organization, project, and environment.</w:t>
      </w:r>
    </w:p>
    <w:p>
      <w:pPr>
        <w:pStyle w:val="ListParagraph"/>
        <w:numPr>
          <w:ilvl w:val="0"/>
          <w:numId w:val="2"/>
        </w:numPr>
        <w:spacing w:after="60" w:line="276"/>
      </w:pPr>
      <w:r>
        <w:t xml:space="preserve">Storage by workload — columnar store for high-volume telemetry, relational store for metadata, object store for blobs.</w:t>
      </w:r>
    </w:p>
    <w:p>
      <w:pPr>
        <w:pStyle w:val="ListParagraph"/>
        <w:numPr>
          <w:ilvl w:val="0"/>
          <w:numId w:val="2"/>
        </w:numPr>
        <w:spacing w:after="60" w:line="276"/>
      </w:pPr>
      <w:r>
        <w:t xml:space="preserve">Secure by design — sensitive data is detected, redacted, or tokenized as early as possible in the pipeline.</w:t>
      </w:r>
    </w:p>
    <w:p>
      <w:pPr>
        <w:pStyle w:val="Heading2"/>
      </w:pPr>
      <w:r>
        <w:t xml:space="preserve">2.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Component</w:t>
            </w:r>
          </w:p>
        </w:tc>
        <w:tc>
          <w:tcPr>
            <w:tcW w:type="dxa" w:w="42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Responsibility</w:t>
            </w:r>
          </w:p>
        </w:tc>
        <w:tc>
          <w:tcPr>
            <w:tcW w:type="dxa" w:w="316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Tech Direction</w:t>
            </w:r>
          </w:p>
        </w:tc>
      </w:tr>
      <w:tr>
        <w:tc>
          <w:tcPr>
            <w:tcW w:type="dxa" w:w="20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Agent SDK</w:t>
            </w:r>
          </w:p>
        </w:tc>
        <w:tc>
          <w:tcPr>
            <w:tcW w:type="dxa" w:w="42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Instrument agents; capture traces, tool calls, tokens.</w:t>
            </w:r>
          </w:p>
        </w:tc>
        <w:tc>
          <w:tcPr>
            <w:tcW w:type="dxa" w:w="31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Python / TypeScript libraries + adapters.</w:t>
            </w:r>
          </w:p>
        </w:tc>
      </w:tr>
      <w:tr>
        <w:tc>
          <w:tcPr>
            <w:tcW w:type="dxa" w:w="20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Event Collector API</w:t>
            </w:r>
          </w:p>
        </w:tc>
        <w:tc>
          <w:tcPr>
            <w:tcW w:type="dxa" w:w="42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Authenticated ingestion, validation, enrichment.</w:t>
            </w:r>
          </w:p>
        </w:tc>
        <w:tc>
          <w:tcPr>
            <w:tcW w:type="dxa" w:w="31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High-throughput HTTP service.</w:t>
            </w:r>
          </w:p>
        </w:tc>
      </w:tr>
      <w:tr>
        <w:tc>
          <w:tcPr>
            <w:tcW w:type="dxa" w:w="20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Streaming layer</w:t>
            </w:r>
          </w:p>
        </w:tc>
        <w:tc>
          <w:tcPr>
            <w:tcW w:type="dxa" w:w="42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Durable buffering and fan-out to processors.</w:t>
            </w:r>
          </w:p>
        </w:tc>
        <w:tc>
          <w:tcPr>
            <w:tcW w:type="dxa" w:w="31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Kafka or NATS.</w:t>
            </w:r>
          </w:p>
        </w:tc>
      </w:tr>
      <w:tr>
        <w:tc>
          <w:tcPr>
            <w:tcW w:type="dxa" w:w="20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Processing services</w:t>
            </w:r>
          </w:p>
        </w:tc>
        <w:tc>
          <w:tcPr>
            <w:tcW w:type="dxa" w:w="42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Tracing, evaluation, security, governance.</w:t>
            </w:r>
          </w:p>
        </w:tc>
        <w:tc>
          <w:tcPr>
            <w:tcW w:type="dxa" w:w="31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Stateless stream consumers.</w:t>
            </w:r>
          </w:p>
        </w:tc>
      </w:tr>
      <w:tr>
        <w:tc>
          <w:tcPr>
            <w:tcW w:type="dxa" w:w="20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Analytics store</w:t>
            </w:r>
          </w:p>
        </w:tc>
        <w:tc>
          <w:tcPr>
            <w:tcW w:type="dxa" w:w="42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Events, metrics, traces at scale.</w:t>
            </w:r>
          </w:p>
        </w:tc>
        <w:tc>
          <w:tcPr>
            <w:tcW w:type="dxa" w:w="31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ClickHouse.</w:t>
            </w:r>
          </w:p>
        </w:tc>
      </w:tr>
      <w:tr>
        <w:tc>
          <w:tcPr>
            <w:tcW w:type="dxa" w:w="20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Metadata store</w:t>
            </w:r>
          </w:p>
        </w:tc>
        <w:tc>
          <w:tcPr>
            <w:tcW w:type="dxa" w:w="42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Users, orgs, projects, agents, policies.</w:t>
            </w:r>
          </w:p>
        </w:tc>
        <w:tc>
          <w:tcPr>
            <w:tcW w:type="dxa" w:w="31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PostgreSQL.</w:t>
            </w:r>
          </w:p>
        </w:tc>
      </w:tr>
      <w:tr>
        <w:tc>
          <w:tcPr>
            <w:tcW w:type="dxa" w:w="20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Object storage</w:t>
            </w:r>
          </w:p>
        </w:tc>
        <w:tc>
          <w:tcPr>
            <w:tcW w:type="dxa" w:w="42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Datasets, raw payloads, exports.</w:t>
            </w:r>
          </w:p>
        </w:tc>
        <w:tc>
          <w:tcPr>
            <w:tcW w:type="dxa" w:w="31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S3-compatible.</w:t>
            </w:r>
          </w:p>
        </w:tc>
      </w:tr>
      <w:tr>
        <w:tc>
          <w:tcPr>
            <w:tcW w:type="dxa" w:w="20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Web dashboard</w:t>
            </w:r>
          </w:p>
        </w:tc>
        <w:tc>
          <w:tcPr>
            <w:tcW w:type="dxa" w:w="42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Visualization, management, alerts.</w:t>
            </w:r>
          </w:p>
        </w:tc>
        <w:tc>
          <w:tcPr>
            <w:tcW w:type="dxa" w:w="31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SPA + BFF.</w:t>
            </w:r>
          </w:p>
        </w:tc>
      </w:tr>
      <w:tr>
        <w:tc>
          <w:tcPr>
            <w:tcW w:type="dxa" w:w="20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Public API</w:t>
            </w:r>
          </w:p>
        </w:tc>
        <w:tc>
          <w:tcPr>
            <w:tcW w:type="dxa" w:w="42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Programmatic access and integrations.</w:t>
            </w:r>
          </w:p>
        </w:tc>
        <w:tc>
          <w:tcPr>
            <w:tcW w:type="dxa" w:w="31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REST + webhooks.</w:t>
            </w:r>
          </w:p>
        </w:tc>
      </w:tr>
    </w:tbl>
    <w:p>
      <w:pPr>
        <w:pStyle w:val="Heading2"/>
      </w:pPr>
      <w:r>
        <w:t xml:space="preserve">3. Integration SDK Layer</w:t>
      </w:r>
    </w:p>
    <w:p>
      <w:pPr>
        <w:spacing w:after="120" w:line="276"/>
      </w:pPr>
      <w:r>
        <w:t xml:space="preserve">The SDK is the adoption surface. It must be trivial to install, framework-aware, low-overhead, and safe by default (no sensitive payloads leave the host unless configured).</w:t>
      </w:r>
    </w:p>
    <w:p>
      <w:pPr>
        <w:pStyle w:val="Heading3"/>
      </w:pPr>
      <w:r>
        <w:t xml:space="preserve">3.1 Requirements</w:t>
      </w:r>
    </w:p>
    <w:p>
      <w:pPr>
        <w:pStyle w:val="ListParagraph"/>
        <w:numPr>
          <w:ilvl w:val="0"/>
          <w:numId w:val="2"/>
        </w:numPr>
        <w:spacing w:after="60" w:line="276"/>
      </w:pPr>
      <w:r>
        <w:t xml:space="preserve">First-class adapters for Dify, LangGraph, CrewAI, and OpenAI Agents in the MVP; Flowise and n8n post-MVP.</w:t>
      </w:r>
    </w:p>
    <w:p>
      <w:pPr>
        <w:pStyle w:val="ListParagraph"/>
        <w:numPr>
          <w:ilvl w:val="0"/>
          <w:numId w:val="2"/>
        </w:numPr>
        <w:spacing w:after="60" w:line="276"/>
      </w:pPr>
      <w:r>
        <w:t xml:space="preserve">Automatic capture of spans: agent runs, LLM calls, tool calls, and intermediate steps.</w:t>
      </w:r>
    </w:p>
    <w:p>
      <w:pPr>
        <w:pStyle w:val="ListParagraph"/>
        <w:numPr>
          <w:ilvl w:val="0"/>
          <w:numId w:val="2"/>
        </w:numPr>
        <w:spacing w:after="60" w:line="276"/>
      </w:pPr>
      <w:r>
        <w:t xml:space="preserve">Asynchronous, batched, non-blocking export with local buffering and back-pressure handling.</w:t>
      </w:r>
    </w:p>
    <w:p>
      <w:pPr>
        <w:pStyle w:val="ListParagraph"/>
        <w:numPr>
          <w:ilvl w:val="0"/>
          <w:numId w:val="2"/>
        </w:numPr>
        <w:spacing w:after="60" w:line="276"/>
      </w:pPr>
      <w:r>
        <w:t xml:space="preserve">Configurable redaction hooks so PII/secrets can be stripped before transmission.</w:t>
      </w:r>
    </w:p>
    <w:p>
      <w:pPr>
        <w:pStyle w:val="ListParagraph"/>
        <w:numPr>
          <w:ilvl w:val="0"/>
          <w:numId w:val="2"/>
        </w:numPr>
        <w:spacing w:after="60" w:line="276"/>
      </w:pPr>
      <w:r>
        <w:t xml:space="preserve">Graceful degradation — instrumentation failures must never crash the host agent.</w:t>
      </w:r>
    </w:p>
    <w:p>
      <w:pPr>
        <w:pStyle w:val="Heading3"/>
      </w:pPr>
      <w:r>
        <w:t xml:space="preserve">3.2 Captured Span (illustrative)</w:t>
      </w:r>
    </w:p>
    <w:p>
      <w:pPr>
        <w:pBdr>
          <w:left w:val="single" w:color="4F46E5" w:sz="18" w:space="6"/>
        </w:pBdr>
        <w:shd w:fill="F1F5F9" w:val="clear"/>
        <w:spacing w:after="120" w:before="80"/>
      </w:pPr>
      <w:r>
        <w:rPr>
          <w:rFonts w:ascii="Consolas" w:cs="Consolas" w:eastAsia="Consolas" w:hAnsi="Consolas"/>
          <w:color w:val="1E293B"/>
          <w:sz w:val="18"/>
          <w:szCs w:val="18"/>
        </w:rPr>
        <w:t xml:space="preserve">{</w:t>
      </w:r>
      <w:r>
        <w:rPr>
          <w:rFonts w:ascii="Consolas" w:cs="Consolas" w:eastAsia="Consolas" w:hAnsi="Consolas"/>
          <w:color w:val="1E293B"/>
          <w:sz w:val="18"/>
          <w:szCs w:val="18"/>
        </w:rPr>
        <w:br/>
        <w:t xml:space="preserve">  "trace_id": "tr_8f3...",</w:t>
      </w:r>
      <w:r>
        <w:rPr>
          <w:rFonts w:ascii="Consolas" w:cs="Consolas" w:eastAsia="Consolas" w:hAnsi="Consolas"/>
          <w:color w:val="1E293B"/>
          <w:sz w:val="18"/>
          <w:szCs w:val="18"/>
        </w:rPr>
        <w:br/>
        <w:t xml:space="preserve">  "span_id": "sp_19a...",</w:t>
      </w:r>
      <w:r>
        <w:rPr>
          <w:rFonts w:ascii="Consolas" w:cs="Consolas" w:eastAsia="Consolas" w:hAnsi="Consolas"/>
          <w:color w:val="1E293B"/>
          <w:sz w:val="18"/>
          <w:szCs w:val="18"/>
        </w:rPr>
        <w:br/>
        <w:t xml:space="preserve">  "agent_id": "support_agent",</w:t>
      </w:r>
      <w:r>
        <w:rPr>
          <w:rFonts w:ascii="Consolas" w:cs="Consolas" w:eastAsia="Consolas" w:hAnsi="Consolas"/>
          <w:color w:val="1E293B"/>
          <w:sz w:val="18"/>
          <w:szCs w:val="18"/>
        </w:rPr>
        <w:br/>
        <w:t xml:space="preserve">  "workflow_id": "wf_refund",</w:t>
      </w:r>
      <w:r>
        <w:rPr>
          <w:rFonts w:ascii="Consolas" w:cs="Consolas" w:eastAsia="Consolas" w:hAnsi="Consolas"/>
          <w:color w:val="1E293B"/>
          <w:sz w:val="18"/>
          <w:szCs w:val="18"/>
        </w:rPr>
        <w:br/>
        <w:t xml:space="preserve">  "type": "tool_call",</w:t>
      </w:r>
      <w:r>
        <w:rPr>
          <w:rFonts w:ascii="Consolas" w:cs="Consolas" w:eastAsia="Consolas" w:hAnsi="Consolas"/>
          <w:color w:val="1E293B"/>
          <w:sz w:val="18"/>
          <w:szCs w:val="18"/>
        </w:rPr>
        <w:br/>
        <w:t xml:space="preserve">  "name": "crm.read",</w:t>
      </w:r>
      <w:r>
        <w:rPr>
          <w:rFonts w:ascii="Consolas" w:cs="Consolas" w:eastAsia="Consolas" w:hAnsi="Consolas"/>
          <w:color w:val="1E293B"/>
          <w:sz w:val="18"/>
          <w:szCs w:val="18"/>
        </w:rPr>
        <w:br/>
        <w:t xml:space="preserve">  "input": { "...": "redacted" },</w:t>
      </w:r>
      <w:r>
        <w:rPr>
          <w:rFonts w:ascii="Consolas" w:cs="Consolas" w:eastAsia="Consolas" w:hAnsi="Consolas"/>
          <w:color w:val="1E293B"/>
          <w:sz w:val="18"/>
          <w:szCs w:val="18"/>
        </w:rPr>
        <w:br/>
        <w:t xml:space="preserve">  "output": { "...": "redacted" },</w:t>
      </w:r>
      <w:r>
        <w:rPr>
          <w:rFonts w:ascii="Consolas" w:cs="Consolas" w:eastAsia="Consolas" w:hAnsi="Consolas"/>
          <w:color w:val="1E293B"/>
          <w:sz w:val="18"/>
          <w:szCs w:val="18"/>
        </w:rPr>
        <w:br/>
        <w:t xml:space="preserve">  "tokens": { "prompt": 320, "completion": 88 },</w:t>
      </w:r>
      <w:r>
        <w:rPr>
          <w:rFonts w:ascii="Consolas" w:cs="Consolas" w:eastAsia="Consolas" w:hAnsi="Consolas"/>
          <w:color w:val="1E293B"/>
          <w:sz w:val="18"/>
          <w:szCs w:val="18"/>
        </w:rPr>
        <w:br/>
        <w:t xml:space="preserve">  "latency_ms": 412,</w:t>
      </w:r>
      <w:r>
        <w:rPr>
          <w:rFonts w:ascii="Consolas" w:cs="Consolas" w:eastAsia="Consolas" w:hAnsi="Consolas"/>
          <w:color w:val="1E293B"/>
          <w:sz w:val="18"/>
          <w:szCs w:val="18"/>
        </w:rPr>
        <w:br/>
        <w:t xml:space="preserve">  "status": "ok"</w:t>
      </w:r>
      <w:r>
        <w:rPr>
          <w:rFonts w:ascii="Consolas" w:cs="Consolas" w:eastAsia="Consolas" w:hAnsi="Consolas"/>
          <w:color w:val="1E293B"/>
          <w:sz w:val="18"/>
          <w:szCs w:val="18"/>
        </w:rPr>
        <w:br/>
        <w:t xml:space="preserve">}</w:t>
      </w:r>
    </w:p>
    <w:p>
      <w:pPr>
        <w:pStyle w:val="Heading2"/>
      </w:pPr>
      <w:r>
        <w:t xml:space="preserve">4. Event Collector &amp; Ingestion</w:t>
      </w:r>
    </w:p>
    <w:p>
      <w:pPr>
        <w:spacing w:after="120" w:line="276"/>
      </w:pPr>
      <w:r>
        <w:t xml:space="preserve">The Event Collector is the single authenticated entry point for all telemetry. It authenticates the caller, validates the event against the schema, enriches it with tenant context, performs early security pre-screening, and publishes to the streaming layer.</w:t>
      </w:r>
    </w:p>
    <w:p>
      <w:pPr>
        <w:pStyle w:val="Heading3"/>
      </w:pPr>
      <w:r>
        <w:t xml:space="preserve">4.1 Responsibilities</w:t>
      </w:r>
    </w:p>
    <w:p>
      <w:pPr>
        <w:pStyle w:val="ListParagraph"/>
        <w:numPr>
          <w:ilvl w:val="0"/>
          <w:numId w:val="2"/>
        </w:numPr>
        <w:spacing w:after="60" w:line="276"/>
      </w:pPr>
      <w:r>
        <w:t xml:space="preserve">Authenticate via API key / token and resolve org, project, and environment.</w:t>
      </w:r>
    </w:p>
    <w:p>
      <w:pPr>
        <w:pStyle w:val="ListParagraph"/>
        <w:numPr>
          <w:ilvl w:val="0"/>
          <w:numId w:val="2"/>
        </w:numPr>
        <w:spacing w:after="60" w:line="276"/>
      </w:pPr>
      <w:r>
        <w:t xml:space="preserve">Validate event schema and reject or quarantine malformed events.</w:t>
      </w:r>
    </w:p>
    <w:p>
      <w:pPr>
        <w:pStyle w:val="ListParagraph"/>
        <w:numPr>
          <w:ilvl w:val="0"/>
          <w:numId w:val="2"/>
        </w:numPr>
        <w:spacing w:after="60" w:line="276"/>
      </w:pPr>
      <w:r>
        <w:t xml:space="preserve">Enrich with server timestamp, ingest ID, and tenant metadata.</w:t>
      </w:r>
    </w:p>
    <w:p>
      <w:pPr>
        <w:pStyle w:val="ListParagraph"/>
        <w:numPr>
          <w:ilvl w:val="0"/>
          <w:numId w:val="2"/>
        </w:numPr>
        <w:spacing w:after="60" w:line="276"/>
      </w:pPr>
      <w:r>
        <w:t xml:space="preserve">Apply rate limits and quotas per tenant.</w:t>
      </w:r>
    </w:p>
    <w:p>
      <w:pPr>
        <w:pStyle w:val="ListParagraph"/>
        <w:numPr>
          <w:ilvl w:val="0"/>
          <w:numId w:val="2"/>
        </w:numPr>
        <w:spacing w:after="60" w:line="276"/>
      </w:pPr>
      <w:r>
        <w:t xml:space="preserve">Publish to the streaming layer; acknowledge only after durable write.</w:t>
      </w:r>
    </w:p>
    <w:p>
      <w:pPr>
        <w:pStyle w:val="Heading3"/>
      </w:pPr>
      <w:r>
        <w:t xml:space="preserve">4.2 Event Streaming Layer</w:t>
      </w:r>
    </w:p>
    <w:p>
      <w:pPr>
        <w:spacing w:after="120" w:line="276"/>
      </w:pPr>
      <w:r>
        <w:t xml:space="preserve">Kafka (or NATS) provides durable, partitioned buffering that decouples ingestion spikes from processing. Partitioning by tenant preserves ordering per agent and enables horizontal scaling of consumers. Processing services are independent consumer groups so tracing, evaluation, security, and governance scale and fail independently.</w:t>
      </w:r>
    </w:p>
    <w:p>
      <w:pPr>
        <w:pStyle w:val="Heading2"/>
      </w:pPr>
      <w:r>
        <w:t xml:space="preserve">5. Module 1 — Agent Observability</w:t>
      </w:r>
    </w:p>
    <w:p>
      <w:pPr>
        <w:pStyle w:val="Heading3"/>
      </w:pPr>
      <w:r>
        <w:t xml:space="preserve">5.1 Execution Tracing</w:t>
      </w:r>
    </w:p>
    <w:p>
      <w:pPr>
        <w:spacing w:after="120" w:line="276"/>
      </w:pPr>
      <w:r>
        <w:t xml:space="preserve">Capture the full execution graph of an agent run — nested spans for agent steps, LLM calls, and tool calls — with timing, status, and token usage.</w:t>
      </w:r>
    </w:p>
    <w:p>
      <w:pPr>
        <w:pBdr>
          <w:left w:val="single" w:color="4F46E5" w:sz="18" w:space="6"/>
        </w:pBdr>
        <w:shd w:fill="F1F5F9" w:val="clear"/>
        <w:spacing w:after="120" w:before="80"/>
      </w:pPr>
      <w:r>
        <w:rPr>
          <w:rFonts w:ascii="Consolas" w:cs="Consolas" w:eastAsia="Consolas" w:hAnsi="Consolas"/>
          <w:color w:val="1E293B"/>
          <w:sz w:val="18"/>
          <w:szCs w:val="18"/>
        </w:rPr>
        <w:t xml:space="preserve">{</w:t>
      </w:r>
      <w:r>
        <w:rPr>
          <w:rFonts w:ascii="Consolas" w:cs="Consolas" w:eastAsia="Consolas" w:hAnsi="Consolas"/>
          <w:color w:val="1E293B"/>
          <w:sz w:val="18"/>
          <w:szCs w:val="18"/>
        </w:rPr>
        <w:br/>
        <w:t xml:space="preserve">  "trace_id": "",</w:t>
      </w:r>
      <w:r>
        <w:rPr>
          <w:rFonts w:ascii="Consolas" w:cs="Consolas" w:eastAsia="Consolas" w:hAnsi="Consolas"/>
          <w:color w:val="1E293B"/>
          <w:sz w:val="18"/>
          <w:szCs w:val="18"/>
        </w:rPr>
        <w:br/>
        <w:t xml:space="preserve">  "agent_id": "",</w:t>
      </w:r>
      <w:r>
        <w:rPr>
          <w:rFonts w:ascii="Consolas" w:cs="Consolas" w:eastAsia="Consolas" w:hAnsi="Consolas"/>
          <w:color w:val="1E293B"/>
          <w:sz w:val="18"/>
          <w:szCs w:val="18"/>
        </w:rPr>
        <w:br/>
        <w:t xml:space="preserve">  "workflow_id": "",</w:t>
      </w:r>
      <w:r>
        <w:rPr>
          <w:rFonts w:ascii="Consolas" w:cs="Consolas" w:eastAsia="Consolas" w:hAnsi="Consolas"/>
          <w:color w:val="1E293B"/>
          <w:sz w:val="18"/>
          <w:szCs w:val="18"/>
        </w:rPr>
        <w:br/>
        <w:t xml:space="preserve">  "tool_calls": [],</w:t>
      </w:r>
      <w:r>
        <w:rPr>
          <w:rFonts w:ascii="Consolas" w:cs="Consolas" w:eastAsia="Consolas" w:hAnsi="Consolas"/>
          <w:color w:val="1E293B"/>
          <w:sz w:val="18"/>
          <w:szCs w:val="18"/>
        </w:rPr>
        <w:br/>
        <w:t xml:space="preserve">  "latency": 0</w:t>
      </w:r>
      <w:r>
        <w:rPr>
          <w:rFonts w:ascii="Consolas" w:cs="Consolas" w:eastAsia="Consolas" w:hAnsi="Consolas"/>
          <w:color w:val="1E293B"/>
          <w:sz w:val="18"/>
          <w:szCs w:val="18"/>
        </w:rPr>
        <w:br/>
        <w:t xml:space="preserve">}</w:t>
      </w:r>
    </w:p>
    <w:p>
      <w:pPr>
        <w:pStyle w:val="Heading3"/>
      </w:pPr>
      <w:r>
        <w:t xml:space="preserve">5.2 Agent Replay</w:t>
      </w:r>
    </w:p>
    <w:p>
      <w:pPr>
        <w:spacing w:after="120" w:line="276"/>
      </w:pPr>
      <w:r>
        <w:t xml:space="preserve">Persist inputs, outputs, tool calls, and intermediate steps so any run can be reconstructed and inspected step-by-step for debugging and review.</w:t>
      </w:r>
    </w:p>
    <w:p>
      <w:pPr>
        <w:pStyle w:val="Heading3"/>
      </w:pPr>
      <w:r>
        <w:t xml:space="preserve">5.3 Metrics</w:t>
      </w:r>
    </w:p>
    <w:p>
      <w:pPr>
        <w:pStyle w:val="ListParagraph"/>
        <w:numPr>
          <w:ilvl w:val="0"/>
          <w:numId w:val="2"/>
        </w:numPr>
        <w:spacing w:after="60" w:line="276"/>
      </w:pPr>
      <w:r>
        <w:t xml:space="preserve">Latency (end-to-end and per span).</w:t>
      </w:r>
    </w:p>
    <w:p>
      <w:pPr>
        <w:pStyle w:val="ListParagraph"/>
        <w:numPr>
          <w:ilvl w:val="0"/>
          <w:numId w:val="2"/>
        </w:numPr>
        <w:spacing w:after="60" w:line="276"/>
      </w:pPr>
      <w:r>
        <w:t xml:space="preserve">Token usage (prompt / completion, per model).</w:t>
      </w:r>
    </w:p>
    <w:p>
      <w:pPr>
        <w:pStyle w:val="ListParagraph"/>
        <w:numPr>
          <w:ilvl w:val="0"/>
          <w:numId w:val="2"/>
        </w:numPr>
        <w:spacing w:after="60" w:line="276"/>
      </w:pPr>
      <w:r>
        <w:t xml:space="preserve">Error rate and failure classification.</w:t>
      </w:r>
    </w:p>
    <w:p>
      <w:pPr>
        <w:pStyle w:val="ListParagraph"/>
        <w:numPr>
          <w:ilvl w:val="0"/>
          <w:numId w:val="2"/>
        </w:numPr>
        <w:spacing w:after="60" w:line="276"/>
      </w:pPr>
      <w:r>
        <w:t xml:space="preserve">Success rate against expected outcomes.</w:t>
      </w:r>
    </w:p>
    <w:p>
      <w:pPr>
        <w:pStyle w:val="Heading2"/>
      </w:pPr>
      <w:r>
        <w:t xml:space="preserve">6. Module 2 — Cost Analytics</w:t>
      </w:r>
    </w:p>
    <w:p>
      <w:pPr>
        <w:spacing w:after="120" w:line="276"/>
      </w:pPr>
      <w:r>
        <w:t xml:space="preserve">Attribute LLM and tool spend along every meaningful dimension so finance and engineering can see, forecast, and cap cost.</w:t>
      </w:r>
    </w:p>
    <w:p>
      <w:pPr>
        <w:pStyle w:val="ListParagraph"/>
        <w:numPr>
          <w:ilvl w:val="0"/>
          <w:numId w:val="2"/>
        </w:numPr>
        <w:spacing w:after="60" w:line="276"/>
      </w:pPr>
      <w:r>
        <w:t xml:space="preserve">Cost per user, team, workflow, model, and agent.</w:t>
      </w:r>
    </w:p>
    <w:p>
      <w:pPr>
        <w:pStyle w:val="ListParagraph"/>
        <w:numPr>
          <w:ilvl w:val="0"/>
          <w:numId w:val="2"/>
        </w:numPr>
        <w:spacing w:after="60" w:line="276"/>
      </w:pPr>
      <w:r>
        <w:t xml:space="preserve">Trend analysis and anomaly detection on spend.</w:t>
      </w:r>
    </w:p>
    <w:p>
      <w:pPr>
        <w:pStyle w:val="ListParagraph"/>
        <w:numPr>
          <w:ilvl w:val="0"/>
          <w:numId w:val="2"/>
        </w:numPr>
        <w:spacing w:after="60" w:line="276"/>
      </w:pPr>
      <w:r>
        <w:t xml:space="preserve">Budgets and alerting with configurable thresholds.</w:t>
      </w:r>
    </w:p>
    <w:p>
      <w:pPr>
        <w:pStyle w:val="Heading3"/>
      </w:pPr>
      <w:r>
        <w:t xml:space="preserve">6.1 Budget Configuration (illustrative)</w:t>
      </w:r>
    </w:p>
    <w:p>
      <w:pPr>
        <w:pBdr>
          <w:left w:val="single" w:color="4F46E5" w:sz="18" w:space="6"/>
        </w:pBdr>
        <w:shd w:fill="F1F5F9" w:val="clear"/>
        <w:spacing w:after="120" w:before="80"/>
      </w:pPr>
      <w:r>
        <w:rPr>
          <w:rFonts w:ascii="Consolas" w:cs="Consolas" w:eastAsia="Consolas" w:hAnsi="Consolas"/>
          <w:color w:val="1E293B"/>
          <w:sz w:val="18"/>
          <w:szCs w:val="18"/>
        </w:rPr>
        <w:t xml:space="preserve">monthly_limit: 1000</w:t>
      </w:r>
      <w:r>
        <w:rPr>
          <w:rFonts w:ascii="Consolas" w:cs="Consolas" w:eastAsia="Consolas" w:hAnsi="Consolas"/>
          <w:color w:val="1E293B"/>
          <w:sz w:val="18"/>
          <w:szCs w:val="18"/>
        </w:rPr>
        <w:br/>
        <w:t xml:space="preserve">alert_at: 80   # percent</w:t>
      </w:r>
    </w:p>
    <w:p>
      <w:pPr>
        <w:pStyle w:val="Heading2"/>
      </w:pPr>
      <w:r>
        <w:t xml:space="preserve">7. Module 3 — Evaluation Framework</w:t>
      </w:r>
    </w:p>
    <w:p>
      <w:pPr>
        <w:pStyle w:val="Heading3"/>
      </w:pPr>
      <w:r>
        <w:t xml:space="preserve">7.1 Dataset Management</w:t>
      </w:r>
    </w:p>
    <w:p>
      <w:pPr>
        <w:spacing w:after="120" w:line="276"/>
      </w:pPr>
      <w:r>
        <w:t xml:space="preserve">Store labeled datasets of inputs and expected outputs in object storage, versioned and linked to projects.</w:t>
      </w:r>
    </w:p>
    <w:p>
      <w:pPr>
        <w:pBdr>
          <w:left w:val="single" w:color="4F46E5" w:sz="18" w:space="6"/>
        </w:pBdr>
        <w:shd w:fill="F1F5F9" w:val="clear"/>
        <w:spacing w:after="120" w:before="80"/>
      </w:pPr>
      <w:r>
        <w:rPr>
          <w:rFonts w:ascii="Consolas" w:cs="Consolas" w:eastAsia="Consolas" w:hAnsi="Consolas"/>
          <w:color w:val="1E293B"/>
          <w:sz w:val="18"/>
          <w:szCs w:val="18"/>
        </w:rPr>
        <w:t xml:space="preserve">{</w:t>
      </w:r>
      <w:r>
        <w:rPr>
          <w:rFonts w:ascii="Consolas" w:cs="Consolas" w:eastAsia="Consolas" w:hAnsi="Consolas"/>
          <w:color w:val="1E293B"/>
          <w:sz w:val="18"/>
          <w:szCs w:val="18"/>
        </w:rPr>
        <w:br/>
        <w:t xml:space="preserve">  "input": "",</w:t>
      </w:r>
      <w:r>
        <w:rPr>
          <w:rFonts w:ascii="Consolas" w:cs="Consolas" w:eastAsia="Consolas" w:hAnsi="Consolas"/>
          <w:color w:val="1E293B"/>
          <w:sz w:val="18"/>
          <w:szCs w:val="18"/>
        </w:rPr>
        <w:br/>
        <w:t xml:space="preserve">  "expected_output": ""</w:t>
      </w:r>
      <w:r>
        <w:rPr>
          <w:rFonts w:ascii="Consolas" w:cs="Consolas" w:eastAsia="Consolas" w:hAnsi="Consolas"/>
          <w:color w:val="1E293B"/>
          <w:sz w:val="18"/>
          <w:szCs w:val="18"/>
        </w:rPr>
        <w:br/>
        <w:t xml:space="preserve">}</w:t>
      </w:r>
    </w:p>
    <w:p>
      <w:pPr>
        <w:pStyle w:val="Heading3"/>
      </w:pPr>
      <w:r>
        <w:t xml:space="preserve">7.2 Evaluation Metrics</w:t>
      </w:r>
    </w:p>
    <w:p>
      <w:pPr>
        <w:pStyle w:val="ListParagraph"/>
        <w:numPr>
          <w:ilvl w:val="0"/>
          <w:numId w:val="2"/>
        </w:numPr>
        <w:spacing w:after="60" w:line="276"/>
      </w:pPr>
      <w:r>
        <w:t xml:space="preserve">Accuracy, precision, recall.</w:t>
      </w:r>
    </w:p>
    <w:p>
      <w:pPr>
        <w:pStyle w:val="ListParagraph"/>
        <w:numPr>
          <w:ilvl w:val="0"/>
          <w:numId w:val="2"/>
        </w:numPr>
        <w:spacing w:after="60" w:line="276"/>
      </w:pPr>
      <w:r>
        <w:t xml:space="preserve">Tool-call success rate.</w:t>
      </w:r>
    </w:p>
    <w:p>
      <w:pPr>
        <w:pStyle w:val="ListParagraph"/>
        <w:numPr>
          <w:ilvl w:val="0"/>
          <w:numId w:val="2"/>
        </w:numPr>
        <w:spacing w:after="60" w:line="276"/>
      </w:pPr>
      <w:r>
        <w:t xml:space="preserve">Latency and cost per evaluated run.</w:t>
      </w:r>
    </w:p>
    <w:p>
      <w:pPr>
        <w:pStyle w:val="ListParagraph"/>
        <w:numPr>
          <w:ilvl w:val="0"/>
          <w:numId w:val="2"/>
        </w:numPr>
        <w:spacing w:after="60" w:line="276"/>
      </w:pPr>
      <w:r>
        <w:t xml:space="preserve">LLM-as-judge and rule-based scorers.</w:t>
      </w:r>
    </w:p>
    <w:p>
      <w:pPr>
        <w:pStyle w:val="Heading3"/>
      </w:pPr>
      <w:r>
        <w:t xml:space="preserve">7.3 Regression Detection</w:t>
      </w:r>
    </w:p>
    <w:p>
      <w:pPr>
        <w:spacing w:after="120" w:line="276"/>
      </w:pPr>
      <w:r>
        <w:t xml:space="preserve">Compare current evaluation scores against historical baselines and flag statistically meaningful drops. Evaluations can run as CI release gates so quality regressions are blocked before deployment.</w:t>
      </w:r>
    </w:p>
    <w:p>
      <w:pPr>
        <w:pStyle w:val="Heading2"/>
      </w:pPr>
      <w:r>
        <w:t xml:space="preserve">8. Module 4 — Security Engine</w:t>
      </w:r>
    </w:p>
    <w:p>
      <w:pPr>
        <w:spacing w:after="120" w:line="276"/>
      </w:pPr>
      <w:r>
        <w:t xml:space="preserve">The security engine inspects agent traffic in near real time and produces incidents and risk scores. It runs both inline (pre-screen at ingestion) and as a stream processor for deeper analysis.</w:t>
      </w:r>
    </w:p>
    <w:p>
      <w:pPr>
        <w:pStyle w:val="Heading3"/>
      </w:pPr>
      <w:r>
        <w:t xml:space="preserve">8.1 Prompt Injection Detection</w:t>
      </w:r>
    </w:p>
    <w:p>
      <w:pPr>
        <w:pStyle w:val="ListParagraph"/>
        <w:numPr>
          <w:ilvl w:val="0"/>
          <w:numId w:val="2"/>
        </w:numPr>
        <w:spacing w:after="60" w:line="276"/>
      </w:pPr>
      <w:r>
        <w:t xml:space="preserve">Jailbreak attempts.</w:t>
      </w:r>
    </w:p>
    <w:p>
      <w:pPr>
        <w:pStyle w:val="ListParagraph"/>
        <w:numPr>
          <w:ilvl w:val="0"/>
          <w:numId w:val="2"/>
        </w:numPr>
        <w:spacing w:after="60" w:line="276"/>
      </w:pPr>
      <w:r>
        <w:t xml:space="preserve">Prompt overrides.</w:t>
      </w:r>
    </w:p>
    <w:p>
      <w:pPr>
        <w:pStyle w:val="ListParagraph"/>
        <w:numPr>
          <w:ilvl w:val="0"/>
          <w:numId w:val="2"/>
        </w:numPr>
        <w:spacing w:after="60" w:line="276"/>
      </w:pPr>
      <w:r>
        <w:t xml:space="preserve">Instruction hijacking.</w:t>
      </w:r>
    </w:p>
    <w:p>
      <w:pPr>
        <w:pStyle w:val="Heading3"/>
      </w:pPr>
      <w:r>
        <w:t xml:space="preserve">8.2 PII Detection</w:t>
      </w:r>
    </w:p>
    <w:p>
      <w:pPr>
        <w:spacing w:after="120" w:line="276"/>
      </w:pPr>
      <w:r>
        <w:t xml:space="preserve">Detect and optionally redact: email, phone, address, PAN, Aadhaar, and passport identifiers, with extensible detectors for region-specific identifiers.</w:t>
      </w:r>
    </w:p>
    <w:p>
      <w:pPr>
        <w:pStyle w:val="Heading3"/>
      </w:pPr>
      <w:r>
        <w:t xml:space="preserve">8.3 Secret Detection</w:t>
      </w:r>
    </w:p>
    <w:p>
      <w:pPr>
        <w:pStyle w:val="ListParagraph"/>
        <w:numPr>
          <w:ilvl w:val="0"/>
          <w:numId w:val="2"/>
        </w:numPr>
        <w:spacing w:after="60" w:line="276"/>
      </w:pPr>
      <w:r>
        <w:t xml:space="preserve">API keys.</w:t>
      </w:r>
    </w:p>
    <w:p>
      <w:pPr>
        <w:pStyle w:val="ListParagraph"/>
        <w:numPr>
          <w:ilvl w:val="0"/>
          <w:numId w:val="2"/>
        </w:numPr>
        <w:spacing w:after="60" w:line="276"/>
      </w:pPr>
      <w:r>
        <w:t xml:space="preserve">JWTs.</w:t>
      </w:r>
    </w:p>
    <w:p>
      <w:pPr>
        <w:pStyle w:val="ListParagraph"/>
        <w:numPr>
          <w:ilvl w:val="0"/>
          <w:numId w:val="2"/>
        </w:numPr>
        <w:spacing w:after="60" w:line="276"/>
      </w:pPr>
      <w:r>
        <w:t xml:space="preserve">AWS credentials.</w:t>
      </w:r>
    </w:p>
    <w:p>
      <w:pPr>
        <w:pStyle w:val="ListParagraph"/>
        <w:numPr>
          <w:ilvl w:val="0"/>
          <w:numId w:val="2"/>
        </w:numPr>
        <w:spacing w:after="60" w:line="276"/>
      </w:pPr>
      <w:r>
        <w:t xml:space="preserve">Database passwords and connection strings.</w:t>
      </w:r>
    </w:p>
    <w:p>
      <w:pPr>
        <w:pStyle w:val="Heading3"/>
      </w:pPr>
      <w:r>
        <w:t xml:space="preserve">8.4 Risk Scoring</w:t>
      </w:r>
    </w:p>
    <w:p>
      <w:pPr>
        <w:spacing w:after="120" w:line="276"/>
      </w:pPr>
      <w:r>
        <w:t xml:space="preserve">Each event/run receives a composite risk score and severity, feeding the incident feed and alerting.</w:t>
      </w:r>
    </w:p>
    <w:p>
      <w:pPr>
        <w:pBdr>
          <w:left w:val="single" w:color="4F46E5" w:sz="18" w:space="6"/>
        </w:pBdr>
        <w:shd w:fill="F1F5F9" w:val="clear"/>
        <w:spacing w:after="120" w:before="80"/>
      </w:pPr>
      <w:r>
        <w:rPr>
          <w:rFonts w:ascii="Consolas" w:cs="Consolas" w:eastAsia="Consolas" w:hAnsi="Consolas"/>
          <w:color w:val="1E293B"/>
          <w:sz w:val="18"/>
          <w:szCs w:val="18"/>
        </w:rPr>
        <w:t xml:space="preserve">{</w:t>
      </w:r>
      <w:r>
        <w:rPr>
          <w:rFonts w:ascii="Consolas" w:cs="Consolas" w:eastAsia="Consolas" w:hAnsi="Consolas"/>
          <w:color w:val="1E293B"/>
          <w:sz w:val="18"/>
          <w:szCs w:val="18"/>
        </w:rPr>
        <w:br/>
        <w:t xml:space="preserve">  "risk_score": 75,</w:t>
      </w:r>
      <w:r>
        <w:rPr>
          <w:rFonts w:ascii="Consolas" w:cs="Consolas" w:eastAsia="Consolas" w:hAnsi="Consolas"/>
          <w:color w:val="1E293B"/>
          <w:sz w:val="18"/>
          <w:szCs w:val="18"/>
        </w:rPr>
        <w:br/>
        <w:t xml:space="preserve">  "severity": "HIGH"</w:t>
      </w:r>
      <w:r>
        <w:rPr>
          <w:rFonts w:ascii="Consolas" w:cs="Consolas" w:eastAsia="Consolas" w:hAnsi="Consolas"/>
          <w:color w:val="1E293B"/>
          <w:sz w:val="18"/>
          <w:szCs w:val="18"/>
        </w:rPr>
        <w:br/>
        <w:t xml:space="preserve">}</w:t>
      </w:r>
    </w:p>
    <w:p>
      <w:pPr>
        <w:pStyle w:val="Heading2"/>
      </w:pPr>
      <w:r>
        <w:t xml:space="preserve">9. Module 5 — Activity Ledger</w:t>
      </w:r>
    </w:p>
    <w:p>
      <w:pPr>
        <w:spacing w:after="120" w:line="276"/>
      </w:pPr>
      <w:r>
        <w:t xml:space="preserve">An append-only, tamper-evident audit log of consequential agent actions. It is the system of record for accountability and compliance.</w:t>
      </w:r>
    </w:p>
    <w:p>
      <w:pPr>
        <w:pBdr>
          <w:left w:val="single" w:color="4F46E5" w:sz="18" w:space="6"/>
        </w:pBdr>
        <w:shd w:fill="F1F5F9" w:val="clear"/>
        <w:spacing w:after="120" w:before="80"/>
      </w:pPr>
      <w:r>
        <w:rPr>
          <w:rFonts w:ascii="Consolas" w:cs="Consolas" w:eastAsia="Consolas" w:hAnsi="Consolas"/>
          <w:color w:val="1E293B"/>
          <w:sz w:val="18"/>
          <w:szCs w:val="18"/>
        </w:rPr>
        <w:t xml:space="preserve">{</w:t>
      </w:r>
      <w:r>
        <w:rPr>
          <w:rFonts w:ascii="Consolas" w:cs="Consolas" w:eastAsia="Consolas" w:hAnsi="Consolas"/>
          <w:color w:val="1E293B"/>
          <w:sz w:val="18"/>
          <w:szCs w:val="18"/>
        </w:rPr>
        <w:br/>
        <w:t xml:space="preserve">  "event_id": "",</w:t>
      </w:r>
      <w:r>
        <w:rPr>
          <w:rFonts w:ascii="Consolas" w:cs="Consolas" w:eastAsia="Consolas" w:hAnsi="Consolas"/>
          <w:color w:val="1E293B"/>
          <w:sz w:val="18"/>
          <w:szCs w:val="18"/>
        </w:rPr>
        <w:br/>
        <w:t xml:space="preserve">  "actor": "agent",</w:t>
      </w:r>
      <w:r>
        <w:rPr>
          <w:rFonts w:ascii="Consolas" w:cs="Consolas" w:eastAsia="Consolas" w:hAnsi="Consolas"/>
          <w:color w:val="1E293B"/>
          <w:sz w:val="18"/>
          <w:szCs w:val="18"/>
        </w:rPr>
        <w:br/>
        <w:t xml:space="preserve">  "action": "refund",</w:t>
      </w:r>
      <w:r>
        <w:rPr>
          <w:rFonts w:ascii="Consolas" w:cs="Consolas" w:eastAsia="Consolas" w:hAnsi="Consolas"/>
          <w:color w:val="1E293B"/>
          <w:sz w:val="18"/>
          <w:szCs w:val="18"/>
        </w:rPr>
        <w:br/>
        <w:t xml:space="preserve">  "approved_by": "",</w:t>
      </w:r>
      <w:r>
        <w:rPr>
          <w:rFonts w:ascii="Consolas" w:cs="Consolas" w:eastAsia="Consolas" w:hAnsi="Consolas"/>
          <w:color w:val="1E293B"/>
          <w:sz w:val="18"/>
          <w:szCs w:val="18"/>
        </w:rPr>
        <w:br/>
        <w:t xml:space="preserve">  "timestamp": ""</w:t>
      </w:r>
      <w:r>
        <w:rPr>
          <w:rFonts w:ascii="Consolas" w:cs="Consolas" w:eastAsia="Consolas" w:hAnsi="Consolas"/>
          <w:color w:val="1E293B"/>
          <w:sz w:val="18"/>
          <w:szCs w:val="18"/>
        </w:rPr>
        <w:br/>
        <w:t xml:space="preserve">}</w:t>
      </w:r>
    </w:p>
    <w:p>
      <w:pPr>
        <w:spacing w:after="120" w:line="276"/>
      </w:pPr>
      <w:r>
        <w:t xml:space="preserve">Records include tool usage, transactions, approvals, and policy violations. Entries are immutable and verifiable (e.g., hash-chained) so the ledger can be trusted for audit.</w:t>
      </w:r>
    </w:p>
    <w:p>
      <w:pPr>
        <w:pStyle w:val="Heading2"/>
      </w:pPr>
      <w:r>
        <w:t xml:space="preserve">10. Module 6 — Delegation Engine</w:t>
      </w:r>
    </w:p>
    <w:p>
      <w:pPr>
        <w:spacing w:after="120" w:line="276"/>
      </w:pPr>
      <w:r>
        <w:t xml:space="preserve">Defines what an agent is permitted to do, how much it may spend, and which actions require human approval.</w:t>
      </w:r>
    </w:p>
    <w:p>
      <w:pPr>
        <w:pStyle w:val="Heading3"/>
      </w:pPr>
      <w:r>
        <w:t xml:space="preserve">10.1 Permissions</w:t>
      </w:r>
    </w:p>
    <w:p>
      <w:pPr>
        <w:pBdr>
          <w:left w:val="single" w:color="4F46E5" w:sz="18" w:space="6"/>
        </w:pBdr>
        <w:shd w:fill="F1F5F9" w:val="clear"/>
        <w:spacing w:after="120" w:before="80"/>
      </w:pPr>
      <w:r>
        <w:rPr>
          <w:rFonts w:ascii="Consolas" w:cs="Consolas" w:eastAsia="Consolas" w:hAnsi="Consolas"/>
          <w:color w:val="1E293B"/>
          <w:sz w:val="18"/>
          <w:szCs w:val="18"/>
        </w:rPr>
        <w:t xml:space="preserve">agent: support_agent</w:t>
      </w:r>
      <w:r>
        <w:rPr>
          <w:rFonts w:ascii="Consolas" w:cs="Consolas" w:eastAsia="Consolas" w:hAnsi="Consolas"/>
          <w:color w:val="1E293B"/>
          <w:sz w:val="18"/>
          <w:szCs w:val="18"/>
        </w:rPr>
        <w:br/>
        <w:t xml:space="preserve">permissions:</w:t>
      </w:r>
      <w:r>
        <w:rPr>
          <w:rFonts w:ascii="Consolas" w:cs="Consolas" w:eastAsia="Consolas" w:hAnsi="Consolas"/>
          <w:color w:val="1E293B"/>
          <w:sz w:val="18"/>
          <w:szCs w:val="18"/>
        </w:rPr>
        <w:br/>
        <w:t xml:space="preserve">  - refund</w:t>
      </w:r>
      <w:r>
        <w:rPr>
          <w:rFonts w:ascii="Consolas" w:cs="Consolas" w:eastAsia="Consolas" w:hAnsi="Consolas"/>
          <w:color w:val="1E293B"/>
          <w:sz w:val="18"/>
          <w:szCs w:val="18"/>
        </w:rPr>
        <w:br/>
        <w:t xml:space="preserve">  - crm_read</w:t>
      </w:r>
    </w:p>
    <w:p>
      <w:pPr>
        <w:pStyle w:val="Heading3"/>
      </w:pPr>
      <w:r>
        <w:t xml:space="preserve">10.2 Spend Controls</w:t>
      </w:r>
    </w:p>
    <w:p>
      <w:pPr>
        <w:pBdr>
          <w:left w:val="single" w:color="4F46E5" w:sz="18" w:space="6"/>
        </w:pBdr>
        <w:shd w:fill="F1F5F9" w:val="clear"/>
        <w:spacing w:after="120" w:before="80"/>
      </w:pPr>
      <w:r>
        <w:rPr>
          <w:rFonts w:ascii="Consolas" w:cs="Consolas" w:eastAsia="Consolas" w:hAnsi="Consolas"/>
          <w:color w:val="1E293B"/>
          <w:sz w:val="18"/>
          <w:szCs w:val="18"/>
        </w:rPr>
        <w:t xml:space="preserve">daily_limit: 100</w:t>
      </w:r>
    </w:p>
    <w:p>
      <w:pPr>
        <w:pStyle w:val="Heading3"/>
      </w:pPr>
      <w:r>
        <w:t xml:space="preserve">10.3 Approval Workflows</w:t>
      </w:r>
    </w:p>
    <w:p>
      <w:pPr>
        <w:spacing w:after="120" w:line="276"/>
      </w:pPr>
      <w:r>
        <w:t xml:space="preserve">High-risk actions are routed for human approval based on declarative conditions.</w:t>
      </w:r>
    </w:p>
    <w:p>
      <w:pPr>
        <w:pBdr>
          <w:left w:val="single" w:color="4F46E5" w:sz="18" w:space="6"/>
        </w:pBdr>
        <w:shd w:fill="F1F5F9" w:val="clear"/>
        <w:spacing w:after="120" w:before="80"/>
      </w:pPr>
      <w:r>
        <w:rPr>
          <w:rFonts w:ascii="Consolas" w:cs="Consolas" w:eastAsia="Consolas" w:hAnsi="Consolas"/>
          <w:color w:val="1E293B"/>
          <w:sz w:val="18"/>
          <w:szCs w:val="18"/>
        </w:rPr>
        <w:t xml:space="preserve">refund:</w:t>
      </w:r>
      <w:r>
        <w:rPr>
          <w:rFonts w:ascii="Consolas" w:cs="Consolas" w:eastAsia="Consolas" w:hAnsi="Consolas"/>
          <w:color w:val="1E293B"/>
          <w:sz w:val="18"/>
          <w:szCs w:val="18"/>
        </w:rPr>
        <w:br/>
        <w:t xml:space="preserve">  when: amount &gt; 50</w:t>
      </w:r>
      <w:r>
        <w:rPr>
          <w:rFonts w:ascii="Consolas" w:cs="Consolas" w:eastAsia="Consolas" w:hAnsi="Consolas"/>
          <w:color w:val="1E293B"/>
          <w:sz w:val="18"/>
          <w:szCs w:val="18"/>
        </w:rPr>
        <w:br/>
        <w:t xml:space="preserve">  require: approval</w:t>
      </w:r>
    </w:p>
    <w:p>
      <w:pPr>
        <w:pStyle w:val="Heading2"/>
      </w:pPr>
      <w:r>
        <w:t xml:space="preserve">11. Module 7 — Policy Engine</w:t>
      </w:r>
    </w:p>
    <w:p>
      <w:pPr>
        <w:spacing w:after="120" w:line="276"/>
      </w:pPr>
      <w:r>
        <w:t xml:space="preserve">A unified authorization layer supporting role-, attribute-, and relationship-based access control so the same engine can express organizational roles, contextual conditions, and resource relationships.</w:t>
      </w:r>
    </w:p>
    <w:p>
      <w:pPr>
        <w:pStyle w:val="ListParagraph"/>
        <w:numPr>
          <w:ilvl w:val="0"/>
          <w:numId w:val="2"/>
        </w:numPr>
        <w:spacing w:after="60" w:line="276"/>
      </w:pPr>
      <w:r>
        <w:rPr>
          <w:b/>
          <w:bCs/>
        </w:rPr>
        <w:t xml:space="preserve">RBAC — </w:t>
      </w:r>
      <w:r>
        <w:t xml:space="preserve">role-based policies.</w:t>
      </w:r>
    </w:p>
    <w:p>
      <w:pPr>
        <w:pStyle w:val="ListParagraph"/>
        <w:numPr>
          <w:ilvl w:val="0"/>
          <w:numId w:val="2"/>
        </w:numPr>
        <w:spacing w:after="60" w:line="276"/>
      </w:pPr>
      <w:r>
        <w:rPr>
          <w:b/>
          <w:bCs/>
        </w:rPr>
        <w:t xml:space="preserve">ABAC — </w:t>
      </w:r>
      <w:r>
        <w:t xml:space="preserve">attribute-based policies (context, environment, data sensitivity).</w:t>
      </w:r>
    </w:p>
    <w:p>
      <w:pPr>
        <w:pStyle w:val="ListParagraph"/>
        <w:numPr>
          <w:ilvl w:val="0"/>
          <w:numId w:val="2"/>
        </w:numPr>
        <w:spacing w:after="60" w:line="276"/>
      </w:pPr>
      <w:r>
        <w:rPr>
          <w:b/>
          <w:bCs/>
        </w:rPr>
        <w:t xml:space="preserve">ReBAC — </w:t>
      </w:r>
      <w:r>
        <w:t xml:space="preserve">relationship-based policies (ownership and graph relationships).</w:t>
      </w:r>
    </w:p>
    <w:p>
      <w:pPr>
        <w:pStyle w:val="Heading3"/>
      </w:pPr>
      <w:r>
        <w:t xml:space="preserve">11.1 Policy Example</w:t>
      </w:r>
    </w:p>
    <w:p>
      <w:pPr>
        <w:pBdr>
          <w:left w:val="single" w:color="4F46E5" w:sz="18" w:space="6"/>
        </w:pBdr>
        <w:shd w:fill="F1F5F9" w:val="clear"/>
        <w:spacing w:after="120" w:before="80"/>
      </w:pPr>
      <w:r>
        <w:rPr>
          <w:rFonts w:ascii="Consolas" w:cs="Consolas" w:eastAsia="Consolas" w:hAnsi="Consolas"/>
          <w:color w:val="1E293B"/>
          <w:sz w:val="18"/>
          <w:szCs w:val="18"/>
        </w:rPr>
        <w:t xml:space="preserve">allow:</w:t>
      </w:r>
      <w:r>
        <w:rPr>
          <w:rFonts w:ascii="Consolas" w:cs="Consolas" w:eastAsia="Consolas" w:hAnsi="Consolas"/>
          <w:color w:val="1E293B"/>
          <w:sz w:val="18"/>
          <w:szCs w:val="18"/>
        </w:rPr>
        <w:br/>
        <w:t xml:space="preserve">  - crm.read</w:t>
      </w:r>
      <w:r>
        <w:rPr>
          <w:rFonts w:ascii="Consolas" w:cs="Consolas" w:eastAsia="Consolas" w:hAnsi="Consolas"/>
          <w:color w:val="1E293B"/>
          <w:sz w:val="18"/>
          <w:szCs w:val="18"/>
        </w:rPr>
        <w:br/>
        <w:t xml:space="preserve">deny:</w:t>
      </w:r>
      <w:r>
        <w:rPr>
          <w:rFonts w:ascii="Consolas" w:cs="Consolas" w:eastAsia="Consolas" w:hAnsi="Consolas"/>
          <w:color w:val="1E293B"/>
          <w:sz w:val="18"/>
          <w:szCs w:val="18"/>
        </w:rPr>
        <w:br/>
        <w:t xml:space="preserve">  - payroll.read</w:t>
      </w:r>
    </w:p>
    <w:p>
      <w:pPr>
        <w:pStyle w:val="Heading2"/>
      </w:pPr>
      <w:r>
        <w:t xml:space="preserve">12. Module 8 — Agent Identity</w:t>
      </w:r>
    </w:p>
    <w:p>
      <w:pPr>
        <w:spacing w:after="120" w:line="276"/>
      </w:pPr>
      <w:r>
        <w:t xml:space="preserve">The long-term moat: a registry and credentialing system that gives every agent a verifiable identity and an owner, enabling cross-agent trust and accountability.</w:t>
      </w:r>
    </w:p>
    <w:p>
      <w:pPr>
        <w:pStyle w:val="Heading3"/>
      </w:pPr>
      <w:r>
        <w:t xml:space="preserve">12.1 Agent Registry</w:t>
      </w:r>
    </w:p>
    <w:p>
      <w:pPr>
        <w:pBdr>
          <w:left w:val="single" w:color="4F46E5" w:sz="18" w:space="6"/>
        </w:pBdr>
        <w:shd w:fill="F1F5F9" w:val="clear"/>
        <w:spacing w:after="120" w:before="80"/>
      </w:pPr>
      <w:r>
        <w:rPr>
          <w:rFonts w:ascii="Consolas" w:cs="Consolas" w:eastAsia="Consolas" w:hAnsi="Consolas"/>
          <w:color w:val="1E293B"/>
          <w:sz w:val="18"/>
          <w:szCs w:val="18"/>
        </w:rPr>
        <w:t xml:space="preserve">{</w:t>
      </w:r>
      <w:r>
        <w:rPr>
          <w:rFonts w:ascii="Consolas" w:cs="Consolas" w:eastAsia="Consolas" w:hAnsi="Consolas"/>
          <w:color w:val="1E293B"/>
          <w:sz w:val="18"/>
          <w:szCs w:val="18"/>
        </w:rPr>
        <w:br/>
        <w:t xml:space="preserve">  "agent_id": "",</w:t>
      </w:r>
      <w:r>
        <w:rPr>
          <w:rFonts w:ascii="Consolas" w:cs="Consolas" w:eastAsia="Consolas" w:hAnsi="Consolas"/>
          <w:color w:val="1E293B"/>
          <w:sz w:val="18"/>
          <w:szCs w:val="18"/>
        </w:rPr>
        <w:br/>
        <w:t xml:space="preserve">  "owner": "",</w:t>
      </w:r>
      <w:r>
        <w:rPr>
          <w:rFonts w:ascii="Consolas" w:cs="Consolas" w:eastAsia="Consolas" w:hAnsi="Consolas"/>
          <w:color w:val="1E293B"/>
          <w:sz w:val="18"/>
          <w:szCs w:val="18"/>
        </w:rPr>
        <w:br/>
        <w:t xml:space="preserve">  "environment": ""</w:t>
      </w:r>
      <w:r>
        <w:rPr>
          <w:rFonts w:ascii="Consolas" w:cs="Consolas" w:eastAsia="Consolas" w:hAnsi="Consolas"/>
          <w:color w:val="1E293B"/>
          <w:sz w:val="18"/>
          <w:szCs w:val="18"/>
        </w:rPr>
        <w:br/>
        <w:t xml:space="preserve">}</w:t>
      </w:r>
    </w:p>
    <w:p>
      <w:pPr>
        <w:pStyle w:val="Heading3"/>
      </w:pPr>
      <w:r>
        <w:t xml:space="preserve">12.2 Agent Credentials</w:t>
      </w:r>
    </w:p>
    <w:p>
      <w:pPr>
        <w:pStyle w:val="ListParagraph"/>
        <w:numPr>
          <w:ilvl w:val="0"/>
          <w:numId w:val="2"/>
        </w:numPr>
        <w:spacing w:after="60" w:line="276"/>
      </w:pPr>
      <w:r>
        <w:t xml:space="preserve">Scoped API tokens.</w:t>
      </w:r>
    </w:p>
    <w:p>
      <w:pPr>
        <w:pStyle w:val="ListParagraph"/>
        <w:numPr>
          <w:ilvl w:val="0"/>
          <w:numId w:val="2"/>
        </w:numPr>
        <w:spacing w:after="60" w:line="276"/>
      </w:pPr>
      <w:r>
        <w:t xml:space="preserve">Certificates.</w:t>
      </w:r>
    </w:p>
    <w:p>
      <w:pPr>
        <w:pStyle w:val="ListParagraph"/>
        <w:numPr>
          <w:ilvl w:val="0"/>
          <w:numId w:val="2"/>
        </w:numPr>
        <w:spacing w:after="60" w:line="276"/>
      </w:pPr>
      <w:r>
        <w:t xml:space="preserve">Signed, verifiable identities.</w:t>
      </w:r>
    </w:p>
    <w:p>
      <w:pPr>
        <w:pStyle w:val="Heading3"/>
      </w:pPr>
      <w:r>
        <w:t xml:space="preserve">12.3 Trust Policies</w:t>
      </w:r>
    </w:p>
    <w:p>
      <w:pPr>
        <w:pBdr>
          <w:left w:val="single" w:color="4F46E5" w:sz="18" w:space="6"/>
        </w:pBdr>
        <w:shd w:fill="F1F5F9" w:val="clear"/>
        <w:spacing w:after="120" w:before="80"/>
      </w:pPr>
      <w:r>
        <w:rPr>
          <w:rFonts w:ascii="Consolas" w:cs="Consolas" w:eastAsia="Consolas" w:hAnsi="Consolas"/>
          <w:color w:val="1E293B"/>
          <w:sz w:val="18"/>
          <w:szCs w:val="18"/>
        </w:rPr>
        <w:t xml:space="preserve">allow:</w:t>
      </w:r>
      <w:r>
        <w:rPr>
          <w:rFonts w:ascii="Consolas" w:cs="Consolas" w:eastAsia="Consolas" w:hAnsi="Consolas"/>
          <w:color w:val="1E293B"/>
          <w:sz w:val="18"/>
          <w:szCs w:val="18"/>
        </w:rPr>
        <w:br/>
        <w:t xml:space="preserve">  - internal_agents</w:t>
      </w:r>
      <w:r>
        <w:rPr>
          <w:rFonts w:ascii="Consolas" w:cs="Consolas" w:eastAsia="Consolas" w:hAnsi="Consolas"/>
          <w:color w:val="1E293B"/>
          <w:sz w:val="18"/>
          <w:szCs w:val="18"/>
        </w:rPr>
        <w:br/>
        <w:t xml:space="preserve">deny:</w:t>
      </w:r>
      <w:r>
        <w:rPr>
          <w:rFonts w:ascii="Consolas" w:cs="Consolas" w:eastAsia="Consolas" w:hAnsi="Consolas"/>
          <w:color w:val="1E293B"/>
          <w:sz w:val="18"/>
          <w:szCs w:val="18"/>
        </w:rPr>
        <w:br/>
        <w:t xml:space="preserve">  - external_agents</w:t>
      </w:r>
    </w:p>
    <w:p>
      <w:pPr>
        <w:pStyle w:val="Heading2"/>
      </w:pPr>
      <w:r>
        <w:t xml:space="preserve">13. Data &amp; Storage Design</w:t>
      </w:r>
    </w:p>
    <w:p>
      <w:pPr>
        <w:spacing w:after="120" w:line="276"/>
      </w:pPr>
      <w:r>
        <w:t xml:space="preserve">Storage is split by workload to keep high-volume telemetry cheap and queryable while keeping metadata transactional.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Store</w:t>
            </w:r>
          </w:p>
        </w:tc>
        <w:tc>
          <w:tcPr>
            <w:tcW w:type="dxa" w:w="36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Purpose</w:t>
            </w:r>
          </w:p>
        </w:tc>
        <w:tc>
          <w:tcPr>
            <w:tcW w:type="dxa" w:w="396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Notes</w:t>
            </w:r>
          </w:p>
        </w:tc>
      </w:tr>
      <w:tr>
        <w:tc>
          <w:tcPr>
            <w:tcW w:type="dxa" w:w="18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ClickHouse</w:t>
            </w:r>
          </w:p>
        </w:tc>
        <w:tc>
          <w:tcPr>
            <w:tcW w:type="dxa" w:w="36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Events, metrics, traces.</w:t>
            </w:r>
          </w:p>
        </w:tc>
        <w:tc>
          <w:tcPr>
            <w:tcW w:type="dxa" w:w="39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Columnar; target 100M+ events/day; tiered retention + sampling.</w:t>
            </w:r>
          </w:p>
        </w:tc>
      </w:tr>
      <w:tr>
        <w:tc>
          <w:tcPr>
            <w:tcW w:type="dxa" w:w="18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PostgreSQL</w:t>
            </w:r>
          </w:p>
        </w:tc>
        <w:tc>
          <w:tcPr>
            <w:tcW w:type="dxa" w:w="36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Users, organizations, policies, agents.</w:t>
            </w:r>
          </w:p>
        </w:tc>
        <w:tc>
          <w:tcPr>
            <w:tcW w:type="dxa" w:w="39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Transactional metadata and configuration.</w:t>
            </w:r>
          </w:p>
        </w:tc>
      </w:tr>
      <w:tr>
        <w:tc>
          <w:tcPr>
            <w:tcW w:type="dxa" w:w="18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Object Storage</w:t>
            </w:r>
          </w:p>
        </w:tc>
        <w:tc>
          <w:tcPr>
            <w:tcW w:type="dxa" w:w="36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Evaluation datasets, raw logs, exports.</w:t>
            </w:r>
          </w:p>
        </w:tc>
        <w:tc>
          <w:tcPr>
            <w:tcW w:type="dxa" w:w="39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S3-compatible; lifecycle policies.</w:t>
            </w:r>
          </w:p>
        </w:tc>
      </w:tr>
    </w:tbl>
    <w:p>
      <w:pPr>
        <w:pStyle w:val="Heading3"/>
      </w:pPr>
      <w:r>
        <w:t xml:space="preserve">13.1 Volume &amp; Retention</w:t>
      </w:r>
    </w:p>
    <w:p>
      <w:pPr>
        <w:pStyle w:val="ListParagraph"/>
        <w:numPr>
          <w:ilvl w:val="0"/>
          <w:numId w:val="2"/>
        </w:numPr>
        <w:spacing w:after="60" w:line="276"/>
      </w:pPr>
      <w:r>
        <w:t xml:space="preserve">Design target of 100M+ events/day in the analytics store.</w:t>
      </w:r>
    </w:p>
    <w:p>
      <w:pPr>
        <w:pStyle w:val="ListParagraph"/>
        <w:numPr>
          <w:ilvl w:val="0"/>
          <w:numId w:val="2"/>
        </w:numPr>
        <w:spacing w:after="60" w:line="276"/>
      </w:pPr>
      <w:r>
        <w:t xml:space="preserve">Tiered retention: hot (recent, queryable) → warm → cold (object storage).</w:t>
      </w:r>
    </w:p>
    <w:p>
      <w:pPr>
        <w:pStyle w:val="ListParagraph"/>
        <w:numPr>
          <w:ilvl w:val="0"/>
          <w:numId w:val="2"/>
        </w:numPr>
        <w:spacing w:after="60" w:line="276"/>
      </w:pPr>
      <w:r>
        <w:t xml:space="preserve">Configurable sampling for high-cardinality, low-value spans.</w:t>
      </w:r>
    </w:p>
    <w:p>
      <w:pPr>
        <w:pStyle w:val="Heading2"/>
      </w:pPr>
      <w:r>
        <w:t xml:space="preserve">14. API Design</w:t>
      </w:r>
    </w:p>
    <w:p>
      <w:pPr>
        <w:spacing w:after="120" w:line="276"/>
      </w:pPr>
      <w:r>
        <w:t xml:space="preserve">A versioned REST API is the contract for ingestion and for programmatic access to traces, evaluations, security, and policies. All endpoints are tenant-scoped and authenticated.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Method &amp; Path</w:t>
            </w:r>
          </w:p>
        </w:tc>
        <w:tc>
          <w:tcPr>
            <w:tcW w:type="dxa" w:w="596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Purpose</w:t>
            </w:r>
          </w:p>
        </w:tc>
      </w:tr>
      <w:tr>
        <w:tc>
          <w:tcPr>
            <w:tcW w:type="dxa" w:w="34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POST /v1/events</w:t>
            </w:r>
          </w:p>
        </w:tc>
        <w:tc>
          <w:tcPr>
            <w:tcW w:type="dxa" w:w="59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Ingest agent telemetry events.</w:t>
            </w:r>
          </w:p>
        </w:tc>
      </w:tr>
      <w:tr>
        <w:tc>
          <w:tcPr>
            <w:tcW w:type="dxa" w:w="34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GET /v1/traces</w:t>
            </w:r>
          </w:p>
        </w:tc>
        <w:tc>
          <w:tcPr>
            <w:tcW w:type="dxa" w:w="59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Query and retrieve execution traces.</w:t>
            </w:r>
          </w:p>
        </w:tc>
      </w:tr>
      <w:tr>
        <w:tc>
          <w:tcPr>
            <w:tcW w:type="dxa" w:w="34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POST /v1/evaluations/run</w:t>
            </w:r>
          </w:p>
        </w:tc>
        <w:tc>
          <w:tcPr>
            <w:tcW w:type="dxa" w:w="59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Trigger an evaluation run against a dataset.</w:t>
            </w:r>
          </w:p>
        </w:tc>
      </w:tr>
      <w:tr>
        <w:tc>
          <w:tcPr>
            <w:tcW w:type="dxa" w:w="34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GET /v1/security/incidents</w:t>
            </w:r>
          </w:p>
        </w:tc>
        <w:tc>
          <w:tcPr>
            <w:tcW w:type="dxa" w:w="59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Retrieve detected security incidents.</w:t>
            </w:r>
          </w:p>
        </w:tc>
      </w:tr>
      <w:tr>
        <w:tc>
          <w:tcPr>
            <w:tcW w:type="dxa" w:w="34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POST /v1/policies</w:t>
            </w:r>
          </w:p>
        </w:tc>
        <w:tc>
          <w:tcPr>
            <w:tcW w:type="dxa" w:w="59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Create or update authorization policies.</w:t>
            </w:r>
          </w:p>
        </w:tc>
      </w:tr>
    </w:tbl>
    <w:p>
      <w:pPr>
        <w:spacing w:after="120" w:line="276"/>
      </w:pPr>
      <w:r>
        <w:t xml:space="preserve">Conventions: API-key/token auth, idempotency keys on ingestion, cursor pagination on reads, structured error codes, and webhooks for alerts and incidents.</w:t>
      </w:r>
    </w:p>
    <w:p>
      <w:pPr>
        <w:pStyle w:val="Heading2"/>
      </w:pPr>
      <w:r>
        <w:t xml:space="preserve">15. Multi-Tenant Architecture</w:t>
      </w:r>
    </w:p>
    <w:p>
      <w:pPr>
        <w:spacing w:after="120" w:line="276"/>
      </w:pPr>
      <w:r>
        <w:t xml:space="preserve">Tenancy is hierarchical: an organization contains projects, and each project has environments (dev, stage, prod). Every event, policy, and resource is scoped to this hierarchy and isolated accordingly.</w:t>
      </w:r>
    </w:p>
    <w:p>
      <w:pPr>
        <w:pBdr>
          <w:left w:val="single" w:color="4F46E5" w:sz="18" w:space="6"/>
        </w:pBdr>
        <w:shd w:fill="F1F5F9" w:val="clear"/>
        <w:spacing w:after="120" w:before="80"/>
      </w:pPr>
      <w:r>
        <w:rPr>
          <w:rFonts w:ascii="Consolas" w:cs="Consolas" w:eastAsia="Consolas" w:hAnsi="Consolas"/>
          <w:color w:val="1E293B"/>
          <w:sz w:val="18"/>
          <w:szCs w:val="18"/>
        </w:rPr>
        <w:t xml:space="preserve">Organization</w:t>
      </w:r>
      <w:r>
        <w:rPr>
          <w:rFonts w:ascii="Consolas" w:cs="Consolas" w:eastAsia="Consolas" w:hAnsi="Consolas"/>
          <w:color w:val="1E293B"/>
          <w:sz w:val="18"/>
          <w:szCs w:val="18"/>
        </w:rPr>
        <w:br/>
        <w:t xml:space="preserve">  ├─ Project A</w:t>
      </w:r>
      <w:r>
        <w:rPr>
          <w:rFonts w:ascii="Consolas" w:cs="Consolas" w:eastAsia="Consolas" w:hAnsi="Consolas"/>
          <w:color w:val="1E293B"/>
          <w:sz w:val="18"/>
          <w:szCs w:val="18"/>
        </w:rPr>
        <w:br/>
        <w:t xml:space="preserve">  │    ├─ Dev</w:t>
      </w:r>
      <w:r>
        <w:rPr>
          <w:rFonts w:ascii="Consolas" w:cs="Consolas" w:eastAsia="Consolas" w:hAnsi="Consolas"/>
          <w:color w:val="1E293B"/>
          <w:sz w:val="18"/>
          <w:szCs w:val="18"/>
        </w:rPr>
        <w:br/>
        <w:t xml:space="preserve">  │    ├─ Stage</w:t>
      </w:r>
      <w:r>
        <w:rPr>
          <w:rFonts w:ascii="Consolas" w:cs="Consolas" w:eastAsia="Consolas" w:hAnsi="Consolas"/>
          <w:color w:val="1E293B"/>
          <w:sz w:val="18"/>
          <w:szCs w:val="18"/>
        </w:rPr>
        <w:br/>
        <w:t xml:space="preserve">  │    └─ Prod</w:t>
      </w:r>
      <w:r>
        <w:rPr>
          <w:rFonts w:ascii="Consolas" w:cs="Consolas" w:eastAsia="Consolas" w:hAnsi="Consolas"/>
          <w:color w:val="1E293B"/>
          <w:sz w:val="18"/>
          <w:szCs w:val="18"/>
        </w:rPr>
        <w:br/>
        <w:t xml:space="preserve">  └─ Project B</w:t>
      </w:r>
      <w:r>
        <w:rPr>
          <w:rFonts w:ascii="Consolas" w:cs="Consolas" w:eastAsia="Consolas" w:hAnsi="Consolas"/>
          <w:color w:val="1E293B"/>
          <w:sz w:val="18"/>
          <w:szCs w:val="18"/>
        </w:rPr>
        <w:br/>
        <w:t xml:space="preserve">       ├─ Dev</w:t>
      </w:r>
      <w:r>
        <w:rPr>
          <w:rFonts w:ascii="Consolas" w:cs="Consolas" w:eastAsia="Consolas" w:hAnsi="Consolas"/>
          <w:color w:val="1E293B"/>
          <w:sz w:val="18"/>
          <w:szCs w:val="18"/>
        </w:rPr>
        <w:br/>
        <w:t xml:space="preserve">       ├─ Stage</w:t>
      </w:r>
      <w:r>
        <w:rPr>
          <w:rFonts w:ascii="Consolas" w:cs="Consolas" w:eastAsia="Consolas" w:hAnsi="Consolas"/>
          <w:color w:val="1E293B"/>
          <w:sz w:val="18"/>
          <w:szCs w:val="18"/>
        </w:rPr>
        <w:br/>
        <w:t xml:space="preserve">       └─ Prod</w:t>
      </w:r>
    </w:p>
    <w:p>
      <w:pPr>
        <w:pStyle w:val="ListParagraph"/>
        <w:numPr>
          <w:ilvl w:val="0"/>
          <w:numId w:val="2"/>
        </w:numPr>
        <w:spacing w:after="60" w:line="276"/>
      </w:pPr>
      <w:r>
        <w:t xml:space="preserve">Logical isolation by tenant keys across all stores; partitioning by tenant in the streaming and analytics layers.</w:t>
      </w:r>
    </w:p>
    <w:p>
      <w:pPr>
        <w:pStyle w:val="ListParagraph"/>
        <w:numPr>
          <w:ilvl w:val="0"/>
          <w:numId w:val="2"/>
        </w:numPr>
        <w:spacing w:after="60" w:line="276"/>
      </w:pPr>
      <w:r>
        <w:t xml:space="preserve">Per-tenant quotas, rate limits, and retention configuration.</w:t>
      </w:r>
    </w:p>
    <w:p>
      <w:pPr>
        <w:pStyle w:val="ListParagraph"/>
        <w:numPr>
          <w:ilvl w:val="0"/>
          <w:numId w:val="2"/>
        </w:numPr>
        <w:spacing w:after="60" w:line="276"/>
      </w:pPr>
      <w:r>
        <w:t xml:space="preserve">Enterprise option for dedicated or single-tenant deployment.</w:t>
      </w:r>
    </w:p>
    <w:p>
      <w:pPr>
        <w:pStyle w:val="Heading2"/>
      </w:pPr>
      <w:r>
        <w:t xml:space="preserve">16. Security &amp; Compliance</w:t>
      </w:r>
    </w:p>
    <w:p>
      <w:pPr>
        <w:pStyle w:val="ListParagraph"/>
        <w:numPr>
          <w:ilvl w:val="0"/>
          <w:numId w:val="2"/>
        </w:numPr>
        <w:spacing w:after="60" w:line="276"/>
      </w:pPr>
      <w:r>
        <w:t xml:space="preserve">Encryption in transit and at rest across all stores and transports.</w:t>
      </w:r>
    </w:p>
    <w:p>
      <w:pPr>
        <w:pStyle w:val="ListParagraph"/>
        <w:numPr>
          <w:ilvl w:val="0"/>
          <w:numId w:val="2"/>
        </w:numPr>
        <w:spacing w:after="60" w:line="276"/>
      </w:pPr>
      <w:r>
        <w:t xml:space="preserve">Early redaction/tokenization of detected PII and secrets in the pipeline.</w:t>
      </w:r>
    </w:p>
    <w:p>
      <w:pPr>
        <w:pStyle w:val="ListParagraph"/>
        <w:numPr>
          <w:ilvl w:val="0"/>
          <w:numId w:val="2"/>
        </w:numPr>
        <w:spacing w:after="60" w:line="276"/>
      </w:pPr>
      <w:r>
        <w:t xml:space="preserve">Role-based access control for the platform itself, with full admin audit trails.</w:t>
      </w:r>
    </w:p>
    <w:p>
      <w:pPr>
        <w:pStyle w:val="ListParagraph"/>
        <w:numPr>
          <w:ilvl w:val="0"/>
          <w:numId w:val="2"/>
        </w:numPr>
        <w:spacing w:after="60" w:line="276"/>
      </w:pPr>
      <w:r>
        <w:t xml:space="preserve">SSO/SAML/SCIM for enterprise tenants.</w:t>
      </w:r>
    </w:p>
    <w:p>
      <w:pPr>
        <w:pStyle w:val="ListParagraph"/>
        <w:numPr>
          <w:ilvl w:val="0"/>
          <w:numId w:val="2"/>
        </w:numPr>
        <w:spacing w:after="60" w:line="276"/>
      </w:pPr>
      <w:r>
        <w:t xml:space="preserve">Compliance roadmap: SOC 2, with data-residency options for regulated industries.</w:t>
      </w:r>
    </w:p>
    <w:p>
      <w:pPr>
        <w:pStyle w:val="ListParagraph"/>
        <w:numPr>
          <w:ilvl w:val="0"/>
          <w:numId w:val="2"/>
        </w:numPr>
        <w:spacing w:after="60" w:line="276"/>
      </w:pPr>
      <w:r>
        <w:t xml:space="preserve">Data-minimization defaults — capture metadata over raw payloads unless explicitly enabled.</w:t>
      </w:r>
    </w:p>
    <w:p>
      <w:pPr>
        <w:pStyle w:val="Heading2"/>
      </w:pPr>
      <w:r>
        <w:t xml:space="preserve">17. Scalability, Reliability &amp;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Attribute</w:t>
            </w:r>
          </w:p>
        </w:tc>
        <w:tc>
          <w:tcPr>
            <w:tcW w:type="dxa" w:w="676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Target / Approach</w:t>
            </w:r>
          </w:p>
        </w:tc>
      </w:tr>
      <w:tr>
        <w:tc>
          <w:tcPr>
            <w:tcW w:type="dxa" w:w="26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Ingestion throughput</w:t>
            </w:r>
          </w:p>
        </w:tc>
        <w:tc>
          <w:tcPr>
            <w:tcW w:type="dxa" w:w="67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100M+ events/day; horizontally scalable collectors.</w:t>
            </w:r>
          </w:p>
        </w:tc>
      </w:tr>
      <w:tr>
        <w:tc>
          <w:tcPr>
            <w:tcW w:type="dxa" w:w="26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Ingestion overhead</w:t>
            </w:r>
          </w:p>
        </w:tc>
        <w:tc>
          <w:tcPr>
            <w:tcW w:type="dxa" w:w="67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Non-blocking SDK export; minimal added agent latency.</w:t>
            </w:r>
          </w:p>
        </w:tc>
      </w:tr>
      <w:tr>
        <w:tc>
          <w:tcPr>
            <w:tcW w:type="dxa" w:w="26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Availability</w:t>
            </w:r>
          </w:p>
        </w:tc>
        <w:tc>
          <w:tcPr>
            <w:tcW w:type="dxa" w:w="67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Decoupled services; durable streaming buffer absorbs spikes.</w:t>
            </w:r>
          </w:p>
        </w:tc>
      </w:tr>
      <w:tr>
        <w:tc>
          <w:tcPr>
            <w:tcW w:type="dxa" w:w="26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Query performance</w:t>
            </w:r>
          </w:p>
        </w:tc>
        <w:tc>
          <w:tcPr>
            <w:tcW w:type="dxa" w:w="67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Columnar analytics store tuned for trace and metric queries.</w:t>
            </w:r>
          </w:p>
        </w:tc>
      </w:tr>
      <w:tr>
        <w:tc>
          <w:tcPr>
            <w:tcW w:type="dxa" w:w="26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Fault isolation</w:t>
            </w:r>
          </w:p>
        </w:tc>
        <w:tc>
          <w:tcPr>
            <w:tcW w:type="dxa" w:w="67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Independent consumer groups per processing engine.</w:t>
            </w:r>
          </w:p>
        </w:tc>
      </w:tr>
      <w:tr>
        <w:tc>
          <w:tcPr>
            <w:tcW w:type="dxa" w:w="26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Back-pressure</w:t>
            </w:r>
          </w:p>
        </w:tc>
        <w:tc>
          <w:tcPr>
            <w:tcW w:type="dxa" w:w="67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Local SDK buffering + streaming durability prevent data loss.</w:t>
            </w:r>
          </w:p>
        </w:tc>
      </w:tr>
    </w:tbl>
    <w:p>
      <w:pPr>
        <w:pStyle w:val="Heading2"/>
      </w:pPr>
      <w:r>
        <w:t xml:space="preserve">18. Deployment &amp; Technology Stack</w:t>
      </w:r>
    </w:p>
    <w:p>
      <w:pPr>
        <w:spacing w:after="120" w:line="276"/>
      </w:pPr>
      <w:r>
        <w:t xml:space="preserve">Splyntra ships as a self-hostable open-source distribution and as a managed cloud service from the same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Layer</w:t>
            </w:r>
          </w:p>
        </w:tc>
        <w:tc>
          <w:tcPr>
            <w:tcW w:type="dxa" w:w="696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Technology Direction</w:t>
            </w:r>
          </w:p>
        </w:tc>
      </w:tr>
      <w:tr>
        <w:tc>
          <w:tcPr>
            <w:tcW w:type="dxa" w:w="24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SDKs</w:t>
            </w:r>
          </w:p>
        </w:tc>
        <w:tc>
          <w:tcPr>
            <w:tcW w:type="dxa" w:w="69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Python, TypeScript (+ framework adapters).</w:t>
            </w:r>
          </w:p>
        </w:tc>
      </w:tr>
      <w:tr>
        <w:tc>
          <w:tcPr>
            <w:tcW w:type="dxa" w:w="24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Ingestion / services</w:t>
            </w:r>
          </w:p>
        </w:tc>
        <w:tc>
          <w:tcPr>
            <w:tcW w:type="dxa" w:w="69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High-throughput service runtime (e.g., Go / Rust / Node).</w:t>
            </w:r>
          </w:p>
        </w:tc>
      </w:tr>
      <w:tr>
        <w:tc>
          <w:tcPr>
            <w:tcW w:type="dxa" w:w="24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Streaming</w:t>
            </w:r>
          </w:p>
        </w:tc>
        <w:tc>
          <w:tcPr>
            <w:tcW w:type="dxa" w:w="69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Kafka or NATS.</w:t>
            </w:r>
          </w:p>
        </w:tc>
      </w:tr>
      <w:tr>
        <w:tc>
          <w:tcPr>
            <w:tcW w:type="dxa" w:w="24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Analytics store</w:t>
            </w:r>
          </w:p>
        </w:tc>
        <w:tc>
          <w:tcPr>
            <w:tcW w:type="dxa" w:w="69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ClickHouse.</w:t>
            </w:r>
          </w:p>
        </w:tc>
      </w:tr>
      <w:tr>
        <w:tc>
          <w:tcPr>
            <w:tcW w:type="dxa" w:w="24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Metadata store</w:t>
            </w:r>
          </w:p>
        </w:tc>
        <w:tc>
          <w:tcPr>
            <w:tcW w:type="dxa" w:w="69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PostgreSQL.</w:t>
            </w:r>
          </w:p>
        </w:tc>
      </w:tr>
      <w:tr>
        <w:tc>
          <w:tcPr>
            <w:tcW w:type="dxa" w:w="24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Object storage</w:t>
            </w:r>
          </w:p>
        </w:tc>
        <w:tc>
          <w:tcPr>
            <w:tcW w:type="dxa" w:w="69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S3-compatible.</w:t>
            </w:r>
          </w:p>
        </w:tc>
      </w:tr>
      <w:tr>
        <w:tc>
          <w:tcPr>
            <w:tcW w:type="dxa" w:w="24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Dashboard</w:t>
            </w:r>
          </w:p>
        </w:tc>
        <w:tc>
          <w:tcPr>
            <w:tcW w:type="dxa" w:w="69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Modern SPA (React/TypeScript) + BFF.</w:t>
            </w:r>
          </w:p>
        </w:tc>
      </w:tr>
      <w:tr>
        <w:tc>
          <w:tcPr>
            <w:tcW w:type="dxa" w:w="24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Packaging / deploy</w:t>
            </w:r>
          </w:p>
        </w:tc>
        <w:tc>
          <w:tcPr>
            <w:tcW w:type="dxa" w:w="69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Docker + Helm/Kubernetes; managed cloud + self-host.</w:t>
            </w:r>
          </w:p>
        </w:tc>
      </w:tr>
    </w:tbl>
    <w:p>
      <w:pPr>
        <w:pStyle w:val="Heading3"/>
      </w:pPr>
      <w:r>
        <w:t xml:space="preserve">18.1 Deployment Models</w:t>
      </w:r>
    </w:p>
    <w:p>
      <w:pPr>
        <w:pStyle w:val="ListParagraph"/>
        <w:numPr>
          <w:ilvl w:val="0"/>
          <w:numId w:val="2"/>
        </w:numPr>
        <w:spacing w:after="60" w:line="276"/>
      </w:pPr>
      <w:r>
        <w:t xml:space="preserve">Open source — self-hosted via Docker/Helm.</w:t>
      </w:r>
    </w:p>
    <w:p>
      <w:pPr>
        <w:pStyle w:val="ListParagraph"/>
        <w:numPr>
          <w:ilvl w:val="0"/>
          <w:numId w:val="2"/>
        </w:numPr>
        <w:spacing w:after="60" w:line="276"/>
      </w:pPr>
      <w:r>
        <w:t xml:space="preserve">Cloud — fully managed, multi-tenant SaaS.</w:t>
      </w:r>
    </w:p>
    <w:p>
      <w:pPr>
        <w:pStyle w:val="ListParagraph"/>
        <w:numPr>
          <w:ilvl w:val="0"/>
          <w:numId w:val="2"/>
        </w:numPr>
        <w:spacing w:after="60" w:line="276"/>
      </w:pPr>
      <w:r>
        <w:t xml:space="preserve">Enterprise — dedicated / single-tenant or in-VPC deployment with data residency.</w:t>
      </w:r>
    </w:p>
    <w:p>
      <w:pPr>
        <w:pStyle w:val="Heading2"/>
      </w:pPr>
      <w:r>
        <w:t xml:space="preserve">19. MVP Technical Scope (First 6 Months)</w:t>
      </w:r>
    </w:p>
    <w:p>
      <w:pPr>
        <w:spacing w:after="120" w:line="276"/>
      </w:pPr>
      <w:r>
        <w:t xml:space="preserve">Engineering focus mirrors the business MVP: ship the observability + security wedge with framework integrations, and defer governance/identity infrastructure.</w:t>
      </w:r>
    </w:p>
    <w:p>
      <w:pPr>
        <w:pStyle w:val="Heading3"/>
      </w:pPr>
      <w:r>
        <w:t xml:space="preserve">19.1 Build</w:t>
      </w:r>
    </w:p>
    <w:p>
      <w:pPr>
        <w:pStyle w:val="ListParagraph"/>
        <w:numPr>
          <w:ilvl w:val="0"/>
          <w:numId w:val="2"/>
        </w:numPr>
        <w:spacing w:after="60" w:line="276"/>
      </w:pPr>
      <w:r>
        <w:t xml:space="preserve">Event Collector API + Agent SDK with Dify, LangGraph, CrewAI, OpenAI Agents adapters.</w:t>
      </w:r>
    </w:p>
    <w:p>
      <w:pPr>
        <w:pStyle w:val="ListParagraph"/>
        <w:numPr>
          <w:ilvl w:val="0"/>
          <w:numId w:val="2"/>
        </w:numPr>
        <w:spacing w:after="60" w:line="276"/>
      </w:pPr>
      <w:r>
        <w:t xml:space="preserve">Streaming + ClickHouse + PostgreSQL + object storage foundation.</w:t>
      </w:r>
    </w:p>
    <w:p>
      <w:pPr>
        <w:pStyle w:val="ListParagraph"/>
        <w:numPr>
          <w:ilvl w:val="0"/>
          <w:numId w:val="2"/>
        </w:numPr>
        <w:spacing w:after="60" w:line="276"/>
      </w:pPr>
      <w:r>
        <w:t xml:space="preserve">Tracing, replay, metrics, and cost analytics.</w:t>
      </w:r>
    </w:p>
    <w:p>
      <w:pPr>
        <w:pStyle w:val="ListParagraph"/>
        <w:numPr>
          <w:ilvl w:val="0"/>
          <w:numId w:val="2"/>
        </w:numPr>
        <w:spacing w:after="60" w:line="276"/>
      </w:pPr>
      <w:r>
        <w:t xml:space="preserve">Evaluation: dataset management, benchmarking, regression detection.</w:t>
      </w:r>
    </w:p>
    <w:p>
      <w:pPr>
        <w:pStyle w:val="ListParagraph"/>
        <w:numPr>
          <w:ilvl w:val="0"/>
          <w:numId w:val="2"/>
        </w:numPr>
        <w:spacing w:after="60" w:line="276"/>
      </w:pPr>
      <w:r>
        <w:t xml:space="preserve">Security: prompt-injection, PII, secret detection, and risk scoring.</w:t>
      </w:r>
    </w:p>
    <w:p>
      <w:pPr>
        <w:pStyle w:val="ListParagraph"/>
        <w:numPr>
          <w:ilvl w:val="0"/>
          <w:numId w:val="2"/>
        </w:numPr>
        <w:spacing w:after="60" w:line="276"/>
      </w:pPr>
      <w:r>
        <w:t xml:space="preserve">Dashboard: team management, projects, alerts.</w:t>
      </w:r>
    </w:p>
    <w:p>
      <w:pPr>
        <w:pStyle w:val="Heading3"/>
      </w:pPr>
      <w:r>
        <w:t xml:space="preserve">19.2 Defer</w:t>
      </w:r>
    </w:p>
    <w:p>
      <w:pPr>
        <w:pStyle w:val="ListParagraph"/>
        <w:numPr>
          <w:ilvl w:val="0"/>
          <w:numId w:val="2"/>
        </w:numPr>
        <w:spacing w:after="60" w:line="276"/>
      </w:pPr>
      <w:r>
        <w:t xml:space="preserve">Agent Identity (registry, credentials, trust policies).</w:t>
      </w:r>
    </w:p>
    <w:p>
      <w:pPr>
        <w:pStyle w:val="ListParagraph"/>
        <w:numPr>
          <w:ilvl w:val="0"/>
          <w:numId w:val="2"/>
        </w:numPr>
        <w:spacing w:after="60" w:line="276"/>
      </w:pPr>
      <w:r>
        <w:t xml:space="preserve">Delegation Engine (permissions, spend controls, approvals).</w:t>
      </w:r>
    </w:p>
    <w:p>
      <w:pPr>
        <w:pStyle w:val="ListParagraph"/>
        <w:numPr>
          <w:ilvl w:val="0"/>
          <w:numId w:val="2"/>
        </w:numPr>
        <w:spacing w:after="60" w:line="276"/>
      </w:pPr>
      <w:r>
        <w:t xml:space="preserve">Policy Engine (RBAC / ABAC / ReBAC).</w:t>
      </w:r>
    </w:p>
    <w:p>
      <w:pPr>
        <w:pStyle w:val="ListParagraph"/>
        <w:numPr>
          <w:ilvl w:val="0"/>
          <w:numId w:val="2"/>
        </w:numPr>
        <w:spacing w:after="60" w:line="276"/>
      </w:pPr>
      <w:r>
        <w:t xml:space="preserve">Full Compliance Suite.</w:t>
      </w:r>
    </w:p>
    <w:p>
      <w:r>
        <w:br w:type="page"/>
      </w:r>
    </w:p>
    <w:p>
      <w:pPr>
        <w:pStyle w:val="Heading1"/>
      </w:pPr>
      <w:r>
        <w:t xml:space="preserve">Appendix A — Glossary</w:t>
      </w:r>
    </w:p>
    <w:p>
      <w:pPr>
        <w:pBdr>
          <w:bottom w:val="single" w:color="C7D2FE" w:sz="8" w:space="1"/>
        </w:pBdr>
        <w:spacing w:after="1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Term</w:t>
            </w:r>
          </w:p>
        </w:tc>
        <w:tc>
          <w:tcPr>
            <w:tcW w:type="dxa" w:w="7160"/>
            <w:tcBorders>
              <w:top w:val="single" w:color="CBD5E1" w:sz="1"/>
              <w:left w:val="single" w:color="CBD5E1" w:sz="1"/>
              <w:bottom w:val="single" w:color="CBD5E1" w:sz="1"/>
              <w:right w:val="single" w:color="CBD5E1" w:sz="1"/>
            </w:tcBorders>
            <w:shd w:fill="312E81" w:val="clear"/>
            <w:tcMar>
              <w:top w:type="dxa" w:w="70"/>
              <w:left w:type="dxa" w:w="120"/>
              <w:bottom w:type="dxa" w:w="70"/>
              <w:right w:type="dxa" w:w="120"/>
            </w:tcMar>
            <w:vAlign w:val="center"/>
          </w:tcPr>
          <w:p>
            <w:r>
              <w:rPr>
                <w:b/>
                <w:bCs/>
                <w:color w:val="FFFFFF"/>
                <w:sz w:val="19"/>
                <w:szCs w:val="19"/>
              </w:rPr>
              <w:t xml:space="preserve">Definition</w:t>
            </w:r>
          </w:p>
        </w:tc>
      </w:tr>
      <w:tr>
        <w:tc>
          <w:tcPr>
            <w:tcW w:type="dxa" w:w="22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AgentOps</w:t>
            </w:r>
          </w:p>
        </w:tc>
        <w:tc>
          <w:tcPr>
            <w:tcW w:type="dxa" w:w="71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The operational discipline of running AI agents in production: observability, evaluation, security, governance, identity.</w:t>
            </w:r>
          </w:p>
        </w:tc>
      </w:tr>
      <w:tr>
        <w:tc>
          <w:tcPr>
            <w:tcW w:type="dxa" w:w="22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Trace</w:t>
            </w:r>
          </w:p>
        </w:tc>
        <w:tc>
          <w:tcPr>
            <w:tcW w:type="dxa" w:w="71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The recorded execution graph of a single agent run, including LLM and tool calls.</w:t>
            </w:r>
          </w:p>
        </w:tc>
      </w:tr>
      <w:tr>
        <w:tc>
          <w:tcPr>
            <w:tcW w:type="dxa" w:w="22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Span</w:t>
            </w:r>
          </w:p>
        </w:tc>
        <w:tc>
          <w:tcPr>
            <w:tcW w:type="dxa" w:w="71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A single timed unit within a trace (an agent step, LLM call, or tool call).</w:t>
            </w:r>
          </w:p>
        </w:tc>
      </w:tr>
      <w:tr>
        <w:tc>
          <w:tcPr>
            <w:tcW w:type="dxa" w:w="22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Regression</w:t>
            </w:r>
          </w:p>
        </w:tc>
        <w:tc>
          <w:tcPr>
            <w:tcW w:type="dxa" w:w="71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A measurable drop in agent quality relative to a historical baseline.</w:t>
            </w:r>
          </w:p>
        </w:tc>
      </w:tr>
      <w:tr>
        <w:tc>
          <w:tcPr>
            <w:tcW w:type="dxa" w:w="22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Activity Ledger</w:t>
            </w:r>
          </w:p>
        </w:tc>
        <w:tc>
          <w:tcPr>
            <w:tcW w:type="dxa" w:w="71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An immutable, tamper-evident audit log of consequential agent actions.</w:t>
            </w:r>
          </w:p>
        </w:tc>
      </w:tr>
      <w:tr>
        <w:tc>
          <w:tcPr>
            <w:tcW w:type="dxa" w:w="22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Delegation</w:t>
            </w:r>
          </w:p>
        </w:tc>
        <w:tc>
          <w:tcPr>
            <w:tcW w:type="dxa" w:w="71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Granting an agent scoped authority to act, with limits and approvals.</w:t>
            </w:r>
          </w:p>
        </w:tc>
      </w:tr>
      <w:tr>
        <w:tc>
          <w:tcPr>
            <w:tcW w:type="dxa" w:w="22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RBAC / ABAC / ReBAC</w:t>
            </w:r>
          </w:p>
        </w:tc>
        <w:tc>
          <w:tcPr>
            <w:tcW w:type="dxa" w:w="716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pPr>
              <w:spacing w:after="0"/>
            </w:pPr>
            <w:r>
              <w:rPr>
                <w:sz w:val="18"/>
                <w:szCs w:val="18"/>
              </w:rPr>
              <w:t xml:space="preserve">Role-, attribute-, and relationship-based access control models.</w:t>
            </w:r>
          </w:p>
        </w:tc>
      </w:tr>
      <w:tr>
        <w:tc>
          <w:tcPr>
            <w:tcW w:type="dxa" w:w="220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Agent Identity</w:t>
            </w:r>
          </w:p>
        </w:tc>
        <w:tc>
          <w:tcPr>
            <w:tcW w:type="dxa" w:w="7160"/>
            <w:tcBorders>
              <w:top w:val="single" w:color="CBD5E1" w:sz="1"/>
              <w:left w:val="single" w:color="CBD5E1" w:sz="1"/>
              <w:bottom w:val="single" w:color="CBD5E1" w:sz="1"/>
              <w:right w:val="single" w:color="CBD5E1" w:sz="1"/>
            </w:tcBorders>
            <w:shd w:fill="EEF2FF" w:val="clear"/>
            <w:tcMar>
              <w:top w:type="dxa" w:w="70"/>
              <w:left w:type="dxa" w:w="120"/>
              <w:bottom w:type="dxa" w:w="70"/>
              <w:right w:type="dxa" w:w="120"/>
            </w:tcMar>
            <w:vAlign w:val="center"/>
          </w:tcPr>
          <w:p>
            <w:pPr>
              <w:spacing w:after="0"/>
            </w:pPr>
            <w:r>
              <w:rPr>
                <w:sz w:val="18"/>
                <w:szCs w:val="18"/>
              </w:rPr>
              <w:t xml:space="preserve">A verifiable identity and owner assigned to an agent for trust and accountability.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475569"/>
        <w:sz w:val="16"/>
        <w:szCs w:val="16"/>
      </w:rPr>
      <w:t xml:space="preserve">Splyntra — The AgentOps Platform</w:t>
    </w:r>
    <w:r>
      <w:rPr>
        <w:color w:val="475569"/>
        <w:sz w:val="16"/>
        <w:szCs w:val="16"/>
      </w:rPr>
      <w:t xml:space="preserve">	Page </w:t>
    </w:r>
    <w:r>
      <w:rPr>
        <w:color w:val="475569"/>
        <w:sz w:val="16"/>
        <w:szCs w:val="16"/>
      </w:rPr>
      <w:fldChar w:fldCharType="begin"/>
      <w:instrText xml:space="preserve">PAGE</w:instrText>
      <w:fldChar w:fldCharType="separate"/>
      <w:fldChar w:fldCharType="end"/>
    </w:r>
    <w:r>
      <w:rPr>
        <w:color w:val="475569"/>
        <w:sz w:val="16"/>
        <w:szCs w:val="16"/>
      </w:rPr>
      <w:t xml:space="preserve"> of </w:t>
    </w:r>
    <w:r>
      <w:rPr>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FE" w:sz="4" w:space="2"/>
      </w:pBdr>
      <w:tabs>
        <w:tab w:val="right" w:pos="9360"/>
      </w:tabs>
      <w:spacing w:after="0"/>
    </w:pPr>
    <w:r>
      <w:rPr>
        <w:b/>
        <w:bCs/>
        <w:color w:val="312E81"/>
        <w:sz w:val="16"/>
        <w:szCs w:val="16"/>
      </w:rPr>
      <w:t xml:space="preserve">SPLYNTRA</w:t>
    </w:r>
    <w:r>
      <w:rPr>
        <w:color w:val="475569"/>
        <w:sz w:val="16"/>
        <w:szCs w:val="16"/>
      </w:rPr>
      <w:t xml:space="preserve">	BRD &amp; TRD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312E81"/>
      <w:sz w:val="34"/>
      <w:szCs w:val="34"/>
    </w:rPr>
  </w:style>
  <w:style w:type="paragraph" w:styleId="Heading2">
    <w:name w:val="Heading 2"/>
    <w:basedOn w:val="Normal"/>
    <w:next w:val="Normal"/>
    <w:qFormat/>
    <w:pPr>
      <w:pBdr>
        <w:bottom w:val="single" w:color="C7D2FE" w:sz="6" w:space="3"/>
      </w:pBdr>
      <w:spacing w:after="100" w:before="240"/>
      <w:outlineLvl w:val="1"/>
    </w:pPr>
    <w:rPr>
      <w:rFonts w:ascii="Arial" w:cs="Arial" w:eastAsia="Arial" w:hAnsi="Arial"/>
      <w:b/>
      <w:bCs/>
      <w:color w:val="4F46E5"/>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Splyntra — BRD &amp; TRD</dc:title>
  <dc:creator>Splyntra</dc:creator>
  <cp:lastModifiedBy>Un-named</cp:lastModifiedBy>
  <cp:revision>1</cp:revision>
  <dcterms:created xsi:type="dcterms:W3CDTF">2026-06-03T13:08:32.515Z</dcterms:created>
  <dcterms:modified xsi:type="dcterms:W3CDTF">2026-06-03T13:08:32.515Z</dcterms:modified>
</cp:coreProperties>
</file>

<file path=docProps/custom.xml><?xml version="1.0" encoding="utf-8"?>
<Properties xmlns="http://schemas.openxmlformats.org/officeDocument/2006/custom-properties" xmlns:vt="http://schemas.openxmlformats.org/officeDocument/2006/docPropsVTypes"/>
</file>