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C78"/>
          <w:sz w:val="40"/>
        </w:rPr>
        <w:t>FlyMind: Connectome-Based Artificial Drosophila</w:t>
        <w:br/>
        <w:t>Experimental Results &amp; Biological Circuit Report</w:t>
      </w:r>
    </w:p>
    <w:p>
      <w:pPr>
        <w:jc w:val="center"/>
      </w:pPr>
      <w:r>
        <w:rPr>
          <w:b/>
        </w:rPr>
        <w:t xml:space="preserve">Dataset: </w:t>
      </w:r>
      <w:r>
        <w:t>Janelia FlyEM Hemibrain v1.2.1 (Scheffer et al., 2020)</w:t>
        <w:br/>
      </w:r>
      <w:r>
        <w:rPr>
          <w:b/>
        </w:rPr>
        <w:t xml:space="preserve">Subcircuit: </w:t>
      </w:r>
      <w:r>
        <w:t>Central Complex (CX) Heading Direction Network</w:t>
        <w:br/>
      </w:r>
      <w:r>
        <w:rPr>
          <w:b/>
        </w:rPr>
        <w:t xml:space="preserve">Metrics: </w:t>
      </w:r>
      <w:r>
        <w:t>261 Neurons | 19,969 Directed Synaptic Connections | 273,204 Total Synapses</w:t>
        <w:br/>
      </w:r>
    </w:p>
    <w:p>
      <w:r>
        <w:t>--------------------------------------------------------------------------------</w:t>
      </w:r>
    </w:p>
    <w:p>
      <w:pPr>
        <w:pStyle w:val="Heading1"/>
      </w:pPr>
      <w:r>
        <w:t>1. Executive Summary</w:t>
      </w:r>
    </w:p>
    <w:p>
      <w:r>
        <w:t>This report provides a comprehensive scientific summary of FlyMind, an embodied computational neuroscience agent driven directly by the reconstructed synaptic connectome of Drosophila melanogaster. Unlike artificial recurrent networks trained with global backpropagation, FlyMind operates strictly on the biological synaptic topology, neurotransmitter identities, and localized 3-factor reward-modulated Hebbian plasticity.</w:t>
      </w:r>
    </w:p>
    <w:p>
      <w:r>
        <w:rPr>
          <w:b/>
        </w:rPr>
        <w:t xml:space="preserve">• Real Connectome Authenticity: </w:t>
      </w:r>
      <w:r>
        <w:t>Extracted from Janelia Hemibrain v1.2.1 with verified neurotransmitter assignments (Eckstein et al., 2024).</w:t>
        <w:br/>
      </w:r>
      <w:r>
        <w:rPr>
          <w:b/>
        </w:rPr>
        <w:t xml:space="preserve">• Proven Ring Attractor: </w:t>
      </w:r>
      <w:r>
        <w:t>Continuous activity bump formation tracking azimuth across Protocerebral Bridge columns L1..L8 and R1..R8.</w:t>
        <w:br/>
      </w:r>
      <w:r>
        <w:rPr>
          <w:b/>
        </w:rPr>
        <w:t xml:space="preserve">• Scientific Ablation: </w:t>
      </w:r>
      <w:r>
        <w:t>Maslov-Sneppen degree-preserved randomized null model confirms +166% advantage for real biological topology.</w:t>
        <w:br/>
      </w:r>
      <w:r>
        <w:rPr>
          <w:b/>
        </w:rPr>
        <w:t xml:space="preserve">• Biological Plasticity: </w:t>
      </w:r>
      <w:r>
        <w:t>Multi-episode learning progression driven by dopamine-modulated Hebbian weight updates.</w:t>
      </w:r>
    </w:p>
    <w:p>
      <w:pPr>
        <w:pStyle w:val="Heading1"/>
      </w:pPr>
      <w:r>
        <w:t>2. Circuit Composition &amp; Topology Metrics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Cell Type</w:t>
            </w:r>
          </w:p>
        </w:tc>
        <w:tc>
          <w:tcPr>
            <w:tcW w:type="dxa" w:w="2484"/>
          </w:tcPr>
          <w:p>
            <w:r>
              <w:rPr>
                <w:b/>
              </w:rPr>
              <w:t>Count</w:t>
            </w:r>
          </w:p>
        </w:tc>
        <w:tc>
          <w:tcPr>
            <w:tcW w:type="dxa" w:w="2484"/>
          </w:tcPr>
          <w:p>
            <w:r>
              <w:rPr>
                <w:b/>
              </w:rPr>
              <w:t>Neurotransmitter</w:t>
            </w:r>
          </w:p>
        </w:tc>
        <w:tc>
          <w:tcPr>
            <w:tcW w:type="dxa" w:w="2484"/>
          </w:tcPr>
          <w:p>
            <w:r>
              <w:rPr>
                <w:b/>
              </w:rPr>
              <w:t>Biological Function</w:t>
            </w:r>
          </w:p>
        </w:tc>
      </w:tr>
      <w:tr>
        <w:tc>
          <w:tcPr>
            <w:tcW w:type="dxa" w:w="2484"/>
          </w:tcPr>
          <w:p>
            <w:r>
              <w:t>EPG</w:t>
            </w:r>
          </w:p>
        </w:tc>
        <w:tc>
          <w:tcPr>
            <w:tcW w:type="dxa" w:w="2484"/>
          </w:tcPr>
          <w:p>
            <w:r>
              <w:t>46</w:t>
            </w:r>
          </w:p>
        </w:tc>
        <w:tc>
          <w:tcPr>
            <w:tcW w:type="dxa" w:w="2484"/>
          </w:tcPr>
          <w:p>
            <w:r>
              <w:t>Cholinergic (+1)</w:t>
            </w:r>
          </w:p>
        </w:tc>
        <w:tc>
          <w:tcPr>
            <w:tcW w:type="dxa" w:w="2484"/>
          </w:tcPr>
          <w:p>
            <w:r>
              <w:t>Compass neurons (Ellipsoid Body -&gt; Protocerebral Bridge)</w:t>
            </w:r>
          </w:p>
        </w:tc>
      </w:tr>
      <w:tr>
        <w:tc>
          <w:tcPr>
            <w:tcW w:type="dxa" w:w="2484"/>
          </w:tcPr>
          <w:p>
            <w:r>
              <w:t>Delta7</w:t>
            </w:r>
          </w:p>
        </w:tc>
        <w:tc>
          <w:tcPr>
            <w:tcW w:type="dxa" w:w="2484"/>
          </w:tcPr>
          <w:p>
            <w:r>
              <w:t>42</w:t>
            </w:r>
          </w:p>
        </w:tc>
        <w:tc>
          <w:tcPr>
            <w:tcW w:type="dxa" w:w="2484"/>
          </w:tcPr>
          <w:p>
            <w:r>
              <w:t>GABAergic (-1)</w:t>
            </w:r>
          </w:p>
        </w:tc>
        <w:tc>
          <w:tcPr>
            <w:tcW w:type="dxa" w:w="2484"/>
          </w:tcPr>
          <w:p>
            <w:r>
              <w:t>Global/lateral inhibitory ring attractor interneurons</w:t>
            </w:r>
          </w:p>
        </w:tc>
      </w:tr>
      <w:tr>
        <w:tc>
          <w:tcPr>
            <w:tcW w:type="dxa" w:w="2484"/>
          </w:tcPr>
          <w:p>
            <w:r>
              <w:t>PFNd</w:t>
            </w:r>
          </w:p>
        </w:tc>
        <w:tc>
          <w:tcPr>
            <w:tcW w:type="dxa" w:w="2484"/>
          </w:tcPr>
          <w:p>
            <w:r>
              <w:t>40</w:t>
            </w:r>
          </w:p>
        </w:tc>
        <w:tc>
          <w:tcPr>
            <w:tcW w:type="dxa" w:w="2484"/>
          </w:tcPr>
          <w:p>
            <w:r>
              <w:t>Cholinergic (+1)</w:t>
            </w:r>
          </w:p>
        </w:tc>
        <w:tc>
          <w:tcPr>
            <w:tcW w:type="dxa" w:w="2484"/>
          </w:tcPr>
          <w:p>
            <w:r>
              <w:t>Pontine / Fan-shaped body directional flow</w:t>
            </w:r>
          </w:p>
        </w:tc>
      </w:tr>
      <w:tr>
        <w:tc>
          <w:tcPr>
            <w:tcW w:type="dxa" w:w="2484"/>
          </w:tcPr>
          <w:p>
            <w:r>
              <w:t>ER4d</w:t>
            </w:r>
          </w:p>
        </w:tc>
        <w:tc>
          <w:tcPr>
            <w:tcW w:type="dxa" w:w="2484"/>
          </w:tcPr>
          <w:p>
            <w:r>
              <w:t>25</w:t>
            </w:r>
          </w:p>
        </w:tc>
        <w:tc>
          <w:tcPr>
            <w:tcW w:type="dxa" w:w="2484"/>
          </w:tcPr>
          <w:p>
            <w:r>
              <w:t>Cholinergic (+1)</w:t>
            </w:r>
          </w:p>
        </w:tc>
        <w:tc>
          <w:tcPr>
            <w:tcW w:type="dxa" w:w="2484"/>
          </w:tcPr>
          <w:p>
            <w:r>
              <w:t>Ring visual input from anterior optic tubercle</w:t>
            </w:r>
          </w:p>
        </w:tc>
      </w:tr>
      <w:tr>
        <w:tc>
          <w:tcPr>
            <w:tcW w:type="dxa" w:w="2484"/>
          </w:tcPr>
          <w:p>
            <w:r>
              <w:t>PEN_b (PEN2)</w:t>
            </w:r>
          </w:p>
        </w:tc>
        <w:tc>
          <w:tcPr>
            <w:tcW w:type="dxa" w:w="2484"/>
          </w:tcPr>
          <w:p>
            <w:r>
              <w:t>22</w:t>
            </w:r>
          </w:p>
        </w:tc>
        <w:tc>
          <w:tcPr>
            <w:tcW w:type="dxa" w:w="2484"/>
          </w:tcPr>
          <w:p>
            <w:r>
              <w:t>Cholinergic (+1)</w:t>
            </w:r>
          </w:p>
        </w:tc>
        <w:tc>
          <w:tcPr>
            <w:tcW w:type="dxa" w:w="2484"/>
          </w:tcPr>
          <w:p>
            <w:r>
              <w:t>Angular velocity angular integrator (rightward loop)</w:t>
            </w:r>
          </w:p>
        </w:tc>
      </w:tr>
      <w:tr>
        <w:tc>
          <w:tcPr>
            <w:tcW w:type="dxa" w:w="2484"/>
          </w:tcPr>
          <w:p>
            <w:r>
              <w:t>PEN_a (PEN1)</w:t>
            </w:r>
          </w:p>
        </w:tc>
        <w:tc>
          <w:tcPr>
            <w:tcW w:type="dxa" w:w="2484"/>
          </w:tcPr>
          <w:p>
            <w:r>
              <w:t>20</w:t>
            </w:r>
          </w:p>
        </w:tc>
        <w:tc>
          <w:tcPr>
            <w:tcW w:type="dxa" w:w="2484"/>
          </w:tcPr>
          <w:p>
            <w:r>
              <w:t>Cholinergic (+1)</w:t>
            </w:r>
          </w:p>
        </w:tc>
        <w:tc>
          <w:tcPr>
            <w:tcW w:type="dxa" w:w="2484"/>
          </w:tcPr>
          <w:p>
            <w:r>
              <w:t>Angular velocity angular integrator (leftward loop)</w:t>
            </w:r>
          </w:p>
        </w:tc>
      </w:tr>
      <w:tr>
        <w:tc>
          <w:tcPr>
            <w:tcW w:type="dxa" w:w="2484"/>
          </w:tcPr>
          <w:p>
            <w:r>
              <w:t>PFNv</w:t>
            </w:r>
          </w:p>
        </w:tc>
        <w:tc>
          <w:tcPr>
            <w:tcW w:type="dxa" w:w="2484"/>
          </w:tcPr>
          <w:p>
            <w:r>
              <w:t>20</w:t>
            </w:r>
          </w:p>
        </w:tc>
        <w:tc>
          <w:tcPr>
            <w:tcW w:type="dxa" w:w="2484"/>
          </w:tcPr>
          <w:p>
            <w:r>
              <w:t>Cholinergic (+1)</w:t>
            </w:r>
          </w:p>
        </w:tc>
        <w:tc>
          <w:tcPr>
            <w:tcW w:type="dxa" w:w="2484"/>
          </w:tcPr>
          <w:p>
            <w:r>
              <w:t>Ventral fan-shaped directional layer</w:t>
            </w:r>
          </w:p>
        </w:tc>
      </w:tr>
      <w:tr>
        <w:tc>
          <w:tcPr>
            <w:tcW w:type="dxa" w:w="2484"/>
          </w:tcPr>
          <w:p>
            <w:r>
              <w:t>EL</w:t>
            </w:r>
          </w:p>
        </w:tc>
        <w:tc>
          <w:tcPr>
            <w:tcW w:type="dxa" w:w="2484"/>
          </w:tcPr>
          <w:p>
            <w:r>
              <w:t>18</w:t>
            </w:r>
          </w:p>
        </w:tc>
        <w:tc>
          <w:tcPr>
            <w:tcW w:type="dxa" w:w="2484"/>
          </w:tcPr>
          <w:p>
            <w:r>
              <w:t>Cholinergic (+1)</w:t>
            </w:r>
          </w:p>
        </w:tc>
        <w:tc>
          <w:tcPr>
            <w:tcW w:type="dxa" w:w="2484"/>
          </w:tcPr>
          <w:p>
            <w:r>
              <w:t>Ellipsoid local loop interneurons</w:t>
            </w:r>
          </w:p>
        </w:tc>
      </w:tr>
      <w:tr>
        <w:tc>
          <w:tcPr>
            <w:tcW w:type="dxa" w:w="2484"/>
          </w:tcPr>
          <w:p>
            <w:r>
              <w:t>PEG</w:t>
            </w:r>
          </w:p>
        </w:tc>
        <w:tc>
          <w:tcPr>
            <w:tcW w:type="dxa" w:w="2484"/>
          </w:tcPr>
          <w:p>
            <w:r>
              <w:t>18</w:t>
            </w:r>
          </w:p>
        </w:tc>
        <w:tc>
          <w:tcPr>
            <w:tcW w:type="dxa" w:w="2484"/>
          </w:tcPr>
          <w:p>
            <w:r>
              <w:t>Cholinergic (+1)</w:t>
            </w:r>
          </w:p>
        </w:tc>
        <w:tc>
          <w:tcPr>
            <w:tcW w:type="dxa" w:w="2484"/>
          </w:tcPr>
          <w:p>
            <w:r>
              <w:t>Steering motor output pathway to gall / LAL</w:t>
            </w:r>
          </w:p>
        </w:tc>
      </w:tr>
      <w:tr>
        <w:tc>
          <w:tcPr>
            <w:tcW w:type="dxa" w:w="2484"/>
          </w:tcPr>
          <w:p>
            <w:r>
              <w:t>ER4m</w:t>
            </w:r>
          </w:p>
        </w:tc>
        <w:tc>
          <w:tcPr>
            <w:tcW w:type="dxa" w:w="2484"/>
          </w:tcPr>
          <w:p>
            <w:r>
              <w:t>10</w:t>
            </w:r>
          </w:p>
        </w:tc>
        <w:tc>
          <w:tcPr>
            <w:tcW w:type="dxa" w:w="2484"/>
          </w:tcPr>
          <w:p>
            <w:r>
              <w:t>Cholinergic (+1)</w:t>
            </w:r>
          </w:p>
        </w:tc>
        <w:tc>
          <w:tcPr>
            <w:tcW w:type="dxa" w:w="2484"/>
          </w:tcPr>
          <w:p>
            <w:r>
              <w:t>Medial ring sensory input</w:t>
            </w:r>
          </w:p>
        </w:tc>
      </w:tr>
    </w:tbl>
    <w:p/>
    <w:p>
      <w:pPr>
        <w:pStyle w:val="Heading1"/>
      </w:pPr>
      <w:r>
        <w:t>3. Connectome Topology Visualizations</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01_neuron_type_counts.png"/>
                    <pic:cNvPicPr/>
                  </pic:nvPicPr>
                  <pic:blipFill>
                    <a:blip r:embed="rId9"/>
                    <a:stretch>
                      <a:fillRect/>
                    </a:stretch>
                  </pic:blipFill>
                  <pic:spPr>
                    <a:xfrm>
                      <a:off x="0" y="0"/>
                      <a:ext cx="5303520" cy="2651760"/>
                    </a:xfrm>
                    <a:prstGeom prst="rect"/>
                  </pic:spPr>
                </pic:pic>
              </a:graphicData>
            </a:graphic>
          </wp:inline>
        </w:drawing>
      </w:r>
    </w:p>
    <w:p>
      <w:pPr>
        <w:jc w:val="center"/>
      </w:pPr>
      <w:r>
        <w:rPr>
          <w:i/>
          <w:sz w:val="19"/>
        </w:rPr>
        <w:t>Figure 1: Distribution of neuron types and neurotransmitter classification in the CX heading circuit.</w:t>
      </w:r>
    </w:p>
    <w:p/>
    <w:p>
      <w:pPr>
        <w:jc w:val="center"/>
      </w:pPr>
      <w:r>
        <w:drawing>
          <wp:inline xmlns:a="http://schemas.openxmlformats.org/drawingml/2006/main" xmlns:pic="http://schemas.openxmlformats.org/drawingml/2006/picture">
            <wp:extent cx="5303520" cy="2357120"/>
            <wp:docPr id="2" name="Picture 2"/>
            <wp:cNvGraphicFramePr>
              <a:graphicFrameLocks noChangeAspect="1"/>
            </wp:cNvGraphicFramePr>
            <a:graphic>
              <a:graphicData uri="http://schemas.openxmlformats.org/drawingml/2006/picture">
                <pic:pic>
                  <pic:nvPicPr>
                    <pic:cNvPr id="0" name="02_synapse_weight_distribution.png"/>
                    <pic:cNvPicPr/>
                  </pic:nvPicPr>
                  <pic:blipFill>
                    <a:blip r:embed="rId10"/>
                    <a:stretch>
                      <a:fillRect/>
                    </a:stretch>
                  </pic:blipFill>
                  <pic:spPr>
                    <a:xfrm>
                      <a:off x="0" y="0"/>
                      <a:ext cx="5303520" cy="2357120"/>
                    </a:xfrm>
                    <a:prstGeom prst="rect"/>
                  </pic:spPr>
                </pic:pic>
              </a:graphicData>
            </a:graphic>
          </wp:inline>
        </w:drawing>
      </w:r>
    </w:p>
    <w:p>
      <w:pPr>
        <w:jc w:val="center"/>
      </w:pPr>
      <w:r>
        <w:rPr>
          <w:i/>
          <w:sz w:val="19"/>
        </w:rPr>
        <w:t>Figure 2: Log-scale distribution of synaptic connection weights across all 19,969 edges.</w:t>
      </w:r>
    </w:p>
    <w:p/>
    <w:p>
      <w:pPr>
        <w:jc w:val="center"/>
      </w:pPr>
      <w:r>
        <w:drawing>
          <wp:inline xmlns:a="http://schemas.openxmlformats.org/drawingml/2006/main" xmlns:pic="http://schemas.openxmlformats.org/drawingml/2006/picture">
            <wp:extent cx="5303520" cy="4242816"/>
            <wp:docPr id="3" name="Picture 3"/>
            <wp:cNvGraphicFramePr>
              <a:graphicFrameLocks noChangeAspect="1"/>
            </wp:cNvGraphicFramePr>
            <a:graphic>
              <a:graphicData uri="http://schemas.openxmlformats.org/drawingml/2006/picture">
                <pic:pic>
                  <pic:nvPicPr>
                    <pic:cNvPr id="0" name="03_type_connectivity_heatmap.png"/>
                    <pic:cNvPicPr/>
                  </pic:nvPicPr>
                  <pic:blipFill>
                    <a:blip r:embed="rId11"/>
                    <a:stretch>
                      <a:fillRect/>
                    </a:stretch>
                  </pic:blipFill>
                  <pic:spPr>
                    <a:xfrm>
                      <a:off x="0" y="0"/>
                      <a:ext cx="5303520" cy="4242816"/>
                    </a:xfrm>
                    <a:prstGeom prst="rect"/>
                  </pic:spPr>
                </pic:pic>
              </a:graphicData>
            </a:graphic>
          </wp:inline>
        </w:drawing>
      </w:r>
    </w:p>
    <w:p>
      <w:pPr>
        <w:jc w:val="center"/>
      </w:pPr>
      <w:r>
        <w:rPr>
          <w:i/>
          <w:sz w:val="19"/>
        </w:rPr>
        <w:t>Figure 3: Inter-type synaptic connection density matrix across cell type populations.</w:t>
      </w:r>
    </w:p>
    <w:p/>
    <w:p>
      <w:pPr>
        <w:jc w:val="center"/>
      </w:pPr>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04_circuit_topology.png"/>
                    <pic:cNvPicPr/>
                  </pic:nvPicPr>
                  <pic:blipFill>
                    <a:blip r:embed="rId12"/>
                    <a:stretch>
                      <a:fillRect/>
                    </a:stretch>
                  </pic:blipFill>
                  <pic:spPr>
                    <a:xfrm>
                      <a:off x="0" y="0"/>
                      <a:ext cx="5303520" cy="3788229"/>
                    </a:xfrm>
                    <a:prstGeom prst="rect"/>
                  </pic:spPr>
                </pic:pic>
              </a:graphicData>
            </a:graphic>
          </wp:inline>
        </w:drawing>
      </w:r>
    </w:p>
    <w:p>
      <w:pPr>
        <w:jc w:val="center"/>
      </w:pPr>
      <w:r>
        <w:rPr>
          <w:i/>
          <w:sz w:val="19"/>
        </w:rPr>
        <w:t>Figure 4: Full Central Complex circuit network graph showing anatomical community structure.</w:t>
      </w:r>
    </w:p>
    <w:p/>
    <w:p>
      <w:pPr>
        <w:pStyle w:val="Heading1"/>
      </w:pPr>
      <w:r>
        <w:t>4. Experimental Results &amp; Dynamics</w:t>
      </w:r>
    </w:p>
    <w:p>
      <w:pPr>
        <w:pStyle w:val="Heading2"/>
      </w:pPr>
      <w:r>
        <w:t>A. Ring Attractor Continuous Bump Tracking</w:t>
      </w:r>
    </w:p>
    <w:p>
      <w:r>
        <w:t>Mapping EPG compass neurons onto their anatomical Protocerebral Bridge glomeruli columns (L1..L8, R1..R8) produces a stable, continuous circular manifold. When driven by rotating azimuthal visual stimuli, the network forms a single coherent activity bump that smoothly shifts orientation across 360 degrees.</w:t>
      </w:r>
    </w:p>
    <w:p>
      <w:pPr>
        <w:jc w:val="center"/>
      </w:pPr>
      <w:r>
        <w:drawing>
          <wp:inline xmlns:a="http://schemas.openxmlformats.org/drawingml/2006/main" xmlns:pic="http://schemas.openxmlformats.org/drawingml/2006/picture">
            <wp:extent cx="5303520" cy="2272937"/>
            <wp:docPr id="5" name="Picture 5"/>
            <wp:cNvGraphicFramePr>
              <a:graphicFrameLocks noChangeAspect="1"/>
            </wp:cNvGraphicFramePr>
            <a:graphic>
              <a:graphicData uri="http://schemas.openxmlformats.org/drawingml/2006/picture">
                <pic:pic>
                  <pic:nvPicPr>
                    <pic:cNvPr id="0" name="10_ring_attractor_bump.png"/>
                    <pic:cNvPicPr/>
                  </pic:nvPicPr>
                  <pic:blipFill>
                    <a:blip r:embed="rId13"/>
                    <a:stretch>
                      <a:fillRect/>
                    </a:stretch>
                  </pic:blipFill>
                  <pic:spPr>
                    <a:xfrm>
                      <a:off x="0" y="0"/>
                      <a:ext cx="5303520" cy="2272937"/>
                    </a:xfrm>
                    <a:prstGeom prst="rect"/>
                  </pic:spPr>
                </pic:pic>
              </a:graphicData>
            </a:graphic>
          </wp:inline>
        </w:drawing>
      </w:r>
    </w:p>
    <w:p>
      <w:pPr>
        <w:jc w:val="center"/>
      </w:pPr>
      <w:r>
        <w:rPr>
          <w:i/>
          <w:sz w:val="19"/>
        </w:rPr>
        <w:t>Figure 5: EPG compass bump space-time tracking (left) and polar manifold profile (right).</w:t>
      </w:r>
    </w:p>
    <w:p/>
    <w:p>
      <w:pPr>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05_simulation_activity.png"/>
                    <pic:cNvPicPr/>
                  </pic:nvPicPr>
                  <pic:blipFill>
                    <a:blip r:embed="rId14"/>
                    <a:stretch>
                      <a:fillRect/>
                    </a:stretch>
                  </pic:blipFill>
                  <pic:spPr>
                    <a:xfrm>
                      <a:off x="0" y="0"/>
                      <a:ext cx="5303520" cy="3977640"/>
                    </a:xfrm>
                    <a:prstGeom prst="rect"/>
                  </pic:spPr>
                </pic:pic>
              </a:graphicData>
            </a:graphic>
          </wp:inline>
        </w:drawing>
      </w:r>
    </w:p>
    <w:p>
      <w:pPr>
        <w:jc w:val="center"/>
      </w:pPr>
      <w:r>
        <w:rPr>
          <w:i/>
          <w:sz w:val="19"/>
        </w:rPr>
        <w:t>Figure 6: Population rate traces across EPG, PEG, PEN_a, and PEN_b populations under visual drive.</w:t>
      </w:r>
    </w:p>
    <w:p/>
    <w:p>
      <w:pPr>
        <w:pStyle w:val="Heading2"/>
      </w:pPr>
      <w:r>
        <w:t>B. Closed-Loop Embodied Navigation Benchmark</w:t>
      </w:r>
    </w:p>
    <w:p>
      <w:r>
        <w:t>In closed-loop 2D virtual arena navigation across 50 trials, the unplastic connectome agent executes straight ballistic trajectories. When aligned with the goal beacon, it reaches the target 6.1x faster than random brownian exploration (21.5 steps vs 131.2 steps).</w:t>
      </w:r>
    </w:p>
    <w:p>
      <w:pPr>
        <w:jc w:val="center"/>
      </w:pPr>
      <w:r>
        <w:drawing>
          <wp:inline xmlns:a="http://schemas.openxmlformats.org/drawingml/2006/main" xmlns:pic="http://schemas.openxmlformats.org/drawingml/2006/picture">
            <wp:extent cx="5303520" cy="2272937"/>
            <wp:docPr id="7" name="Picture 7"/>
            <wp:cNvGraphicFramePr>
              <a:graphicFrameLocks noChangeAspect="1"/>
            </wp:cNvGraphicFramePr>
            <a:graphic>
              <a:graphicData uri="http://schemas.openxmlformats.org/drawingml/2006/picture">
                <pic:pic>
                  <pic:nvPicPr>
                    <pic:cNvPr id="0" name="06_navigation_benchmark.png"/>
                    <pic:cNvPicPr/>
                  </pic:nvPicPr>
                  <pic:blipFill>
                    <a:blip r:embed="rId15"/>
                    <a:stretch>
                      <a:fillRect/>
                    </a:stretch>
                  </pic:blipFill>
                  <pic:spPr>
                    <a:xfrm>
                      <a:off x="0" y="0"/>
                      <a:ext cx="5303520" cy="2272937"/>
                    </a:xfrm>
                    <a:prstGeom prst="rect"/>
                  </pic:spPr>
                </pic:pic>
              </a:graphicData>
            </a:graphic>
          </wp:inline>
        </w:drawing>
      </w:r>
    </w:p>
    <w:p>
      <w:pPr>
        <w:jc w:val="center"/>
      </w:pPr>
      <w:r>
        <w:rPr>
          <w:i/>
          <w:sz w:val="19"/>
        </w:rPr>
        <w:t>Figure 7: 2D virtual arena navigation trajectories: Random Agent (left) vs Connectome Agent (right).</w:t>
      </w:r>
    </w:p>
    <w:p/>
    <w:p>
      <w:pPr>
        <w:pStyle w:val="Heading2"/>
      </w:pPr>
      <w:r>
        <w:t>C. Scientific Ablation Study (Maslov-Sneppen Null Model)</w:t>
      </w:r>
    </w:p>
    <w:p>
      <w:r>
        <w:t>To test whether performance stems from specific microcircuit motifs rather than generic degree distributions, we constructed a degree-preserved randomized null model using 20,000 Maslov-Sneppen edge swaps. The real connectome significantly outperformed the randomized null baseline (16.0% vs 6.0% success rate), demonstrating a +166% relative computational advantage from authentic biological wiring.</w:t>
      </w:r>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8_ablation_comparison.png"/>
                    <pic:cNvPicPr/>
                  </pic:nvPicPr>
                  <pic:blipFill>
                    <a:blip r:embed="rId16"/>
                    <a:stretch>
                      <a:fillRect/>
                    </a:stretch>
                  </pic:blipFill>
                  <pic:spPr>
                    <a:xfrm>
                      <a:off x="0" y="0"/>
                      <a:ext cx="5303520" cy="3314700"/>
                    </a:xfrm>
                    <a:prstGeom prst="rect"/>
                  </pic:spPr>
                </pic:pic>
              </a:graphicData>
            </a:graphic>
          </wp:inline>
        </w:drawing>
      </w:r>
    </w:p>
    <w:p>
      <w:pPr>
        <w:jc w:val="center"/>
      </w:pPr>
      <w:r>
        <w:rPr>
          <w:i/>
          <w:sz w:val="19"/>
        </w:rPr>
        <w:t>Figure 8: Ablation comparison between Real Biological Connectome and Maslov-Sneppen Randomized Null Model.</w:t>
      </w:r>
    </w:p>
    <w:p/>
    <w:p>
      <w:pPr>
        <w:pStyle w:val="Heading2"/>
      </w:pPr>
      <w:r>
        <w:t>D. Multi-Episode Reward-Modulated Hebbian Plasticity</w:t>
      </w:r>
    </w:p>
    <w:p>
      <w:r>
        <w:t>Synaptic plasticity was restricted to local 3-factor Hebbian dopamine-modulated updates on biologically verified edges. Over 100 episodes, episodic returns improved from -156.3 to a peak of -77.0, with success rates reaching 30.0%.</w:t>
      </w:r>
    </w:p>
    <w:p>
      <w:pPr>
        <w:jc w:val="center"/>
      </w:pPr>
      <w:r>
        <w:drawing>
          <wp:inline xmlns:a="http://schemas.openxmlformats.org/drawingml/2006/main" xmlns:pic="http://schemas.openxmlformats.org/drawingml/2006/picture">
            <wp:extent cx="5303520" cy="4242816"/>
            <wp:docPr id="9" name="Picture 9"/>
            <wp:cNvGraphicFramePr>
              <a:graphicFrameLocks noChangeAspect="1"/>
            </wp:cNvGraphicFramePr>
            <a:graphic>
              <a:graphicData uri="http://schemas.openxmlformats.org/drawingml/2006/picture">
                <pic:pic>
                  <pic:nvPicPr>
                    <pic:cNvPr id="0" name="07_plasticity_learning_curve.png"/>
                    <pic:cNvPicPr/>
                  </pic:nvPicPr>
                  <pic:blipFill>
                    <a:blip r:embed="rId17"/>
                    <a:stretch>
                      <a:fillRect/>
                    </a:stretch>
                  </pic:blipFill>
                  <pic:spPr>
                    <a:xfrm>
                      <a:off x="0" y="0"/>
                      <a:ext cx="5303520" cy="4242816"/>
                    </a:xfrm>
                    <a:prstGeom prst="rect"/>
                  </pic:spPr>
                </pic:pic>
              </a:graphicData>
            </a:graphic>
          </wp:inline>
        </w:drawing>
      </w:r>
    </w:p>
    <w:p>
      <w:pPr>
        <w:jc w:val="center"/>
      </w:pPr>
      <w:r>
        <w:rPr>
          <w:i/>
          <w:sz w:val="19"/>
        </w:rPr>
        <w:t>Figure 9: Reward return and success rate learning curves over 100 training episodes.</w:t>
      </w:r>
    </w:p>
    <w:p/>
    <w:p>
      <w:pPr>
        <w:pStyle w:val="Heading2"/>
      </w:pPr>
      <w:r>
        <w:t>E. Real-Time Embodied Synchronization</w:t>
      </w:r>
    </w:p>
    <w:p>
      <w:pPr>
        <w:jc w:val="center"/>
      </w:pPr>
      <w:r>
        <w:drawing>
          <wp:inline xmlns:a="http://schemas.openxmlformats.org/drawingml/2006/main" xmlns:pic="http://schemas.openxmlformats.org/drawingml/2006/picture">
            <wp:extent cx="5303520" cy="2447778"/>
            <wp:docPr id="10" name="Picture 10"/>
            <wp:cNvGraphicFramePr>
              <a:graphicFrameLocks noChangeAspect="1"/>
            </wp:cNvGraphicFramePr>
            <a:graphic>
              <a:graphicData uri="http://schemas.openxmlformats.org/drawingml/2006/picture">
                <pic:pic>
                  <pic:nvPicPr>
                    <pic:cNvPr id="0" name="09_live_embodied_dual_panel.png"/>
                    <pic:cNvPicPr/>
                  </pic:nvPicPr>
                  <pic:blipFill>
                    <a:blip r:embed="rId18"/>
                    <a:stretch>
                      <a:fillRect/>
                    </a:stretch>
                  </pic:blipFill>
                  <pic:spPr>
                    <a:xfrm>
                      <a:off x="0" y="0"/>
                      <a:ext cx="5303520" cy="2447778"/>
                    </a:xfrm>
                    <a:prstGeom prst="rect"/>
                  </pic:spPr>
                </pic:pic>
              </a:graphicData>
            </a:graphic>
          </wp:inline>
        </w:drawing>
      </w:r>
    </w:p>
    <w:p>
      <w:pPr>
        <w:jc w:val="center"/>
      </w:pPr>
      <w:r>
        <w:rPr>
          <w:i/>
          <w:sz w:val="19"/>
        </w:rPr>
        <w:t>Figure 10: Dual-panel live view showing 2D arena trajectory synchronized with EPG compass activation heatmap.</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