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6C89" w14:textId="1F54C9FC" w:rsidR="00351E66" w:rsidRDefault="00547B68">
      <w:r w:rsidRPr="00547B68">
        <w:drawing>
          <wp:inline distT="0" distB="0" distL="0" distR="0" wp14:anchorId="12D59AD2" wp14:editId="225878FB">
            <wp:extent cx="5731510" cy="2981960"/>
            <wp:effectExtent l="0" t="0" r="2540" b="8890"/>
            <wp:docPr id="114271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15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E0F9" w14:textId="77777777" w:rsidR="00547B68" w:rsidRPr="00547B68" w:rsidRDefault="00547B68" w:rsidP="00547B68">
      <w:r w:rsidRPr="00547B68">
        <w:t xml:space="preserve">Here's the full design document for </w:t>
      </w:r>
      <w:proofErr w:type="spellStart"/>
      <w:r w:rsidRPr="00547B68">
        <w:rPr>
          <w:b/>
          <w:bCs/>
        </w:rPr>
        <w:t>PayStream</w:t>
      </w:r>
      <w:proofErr w:type="spellEnd"/>
      <w:r w:rsidRPr="00547B68">
        <w:rPr>
          <w:b/>
          <w:bCs/>
        </w:rPr>
        <w:t xml:space="preserve"> — Instant Payments Platform</w:t>
      </w:r>
      <w:r w:rsidRPr="00547B68">
        <w:t>.</w:t>
      </w:r>
    </w:p>
    <w:p w14:paraId="13887F96" w14:textId="77777777" w:rsidR="00547B68" w:rsidRPr="00547B68" w:rsidRDefault="00547B68" w:rsidP="00547B68">
      <w:r w:rsidRPr="00547B68">
        <w:pict w14:anchorId="06202DCE">
          <v:rect id="_x0000_i1031" style="width:0;height:1.5pt" o:hralign="center" o:hrstd="t" o:hr="t" fillcolor="#a0a0a0" stroked="f"/>
        </w:pict>
      </w:r>
    </w:p>
    <w:p w14:paraId="769349C6" w14:textId="77777777" w:rsidR="00547B68" w:rsidRPr="00547B68" w:rsidRDefault="00547B68" w:rsidP="00547B68">
      <w:pPr>
        <w:rPr>
          <w:b/>
          <w:bCs/>
        </w:rPr>
      </w:pPr>
      <w:r w:rsidRPr="00547B68">
        <w:rPr>
          <w:b/>
          <w:bCs/>
        </w:rPr>
        <w:t>1. System Architecture Overview</w:t>
      </w:r>
    </w:p>
    <w:p w14:paraId="0B82182F" w14:textId="77777777" w:rsidR="00547B68" w:rsidRPr="00547B68" w:rsidRDefault="00547B68" w:rsidP="00547B68">
      <w:r w:rsidRPr="00547B68">
        <w:t>The diagram above shows the complete two-service topology. Click any component to explore it further. Key design decisions baked in from the start:</w:t>
      </w:r>
    </w:p>
    <w:p w14:paraId="18E6823E" w14:textId="77777777" w:rsidR="00547B68" w:rsidRPr="00547B68" w:rsidRDefault="00547B68" w:rsidP="00547B68">
      <w:r w:rsidRPr="00547B68">
        <w:rPr>
          <w:b/>
          <w:bCs/>
        </w:rPr>
        <w:t>Services never talk directly.</w:t>
      </w:r>
      <w:r w:rsidRPr="00547B68">
        <w:t xml:space="preserve"> payment-</w:t>
      </w:r>
      <w:proofErr w:type="spellStart"/>
      <w:r w:rsidRPr="00547B68">
        <w:t>ingestor</w:t>
      </w:r>
      <w:proofErr w:type="spellEnd"/>
      <w:r w:rsidRPr="00547B68">
        <w:t xml:space="preserve"> (8080) and payment-processor (8081) are fully decoupled — all communication is via Kafka topics. They also each own their own H2 database; no shared datastore.</w:t>
      </w:r>
    </w:p>
    <w:p w14:paraId="5E1F3CB8" w14:textId="77777777" w:rsidR="00547B68" w:rsidRPr="00547B68" w:rsidRDefault="00547B68" w:rsidP="00547B68">
      <w:r w:rsidRPr="00547B68">
        <w:rPr>
          <w:b/>
          <w:bCs/>
        </w:rPr>
        <w:t>Three Kafka topics:</w:t>
      </w:r>
      <w:r w:rsidRPr="00547B68">
        <w:t xml:space="preserve"> </w:t>
      </w:r>
      <w:proofErr w:type="spellStart"/>
      <w:proofErr w:type="gramStart"/>
      <w:r w:rsidRPr="00547B68">
        <w:t>payments.submitted</w:t>
      </w:r>
      <w:proofErr w:type="spellEnd"/>
      <w:proofErr w:type="gramEnd"/>
      <w:r w:rsidRPr="00547B68">
        <w:t xml:space="preserve"> (</w:t>
      </w:r>
      <w:proofErr w:type="spellStart"/>
      <w:r w:rsidRPr="00547B68">
        <w:t>ingestor</w:t>
      </w:r>
      <w:proofErr w:type="spellEnd"/>
      <w:r w:rsidRPr="00547B68">
        <w:t xml:space="preserve"> → processor), </w:t>
      </w:r>
      <w:proofErr w:type="spellStart"/>
      <w:proofErr w:type="gramStart"/>
      <w:r w:rsidRPr="00547B68">
        <w:t>payments.processed</w:t>
      </w:r>
      <w:proofErr w:type="spellEnd"/>
      <w:proofErr w:type="gramEnd"/>
      <w:r w:rsidRPr="00547B68">
        <w:t xml:space="preserve"> (processor publishes outcomes), and </w:t>
      </w:r>
      <w:proofErr w:type="spellStart"/>
      <w:r w:rsidRPr="00547B68">
        <w:t>payments.dlq</w:t>
      </w:r>
      <w:proofErr w:type="spellEnd"/>
      <w:r w:rsidRPr="00547B68">
        <w:t xml:space="preserve"> (dead letter queue for failed/</w:t>
      </w:r>
      <w:proofErr w:type="spellStart"/>
      <w:r w:rsidRPr="00547B68">
        <w:t>unretriable</w:t>
      </w:r>
      <w:proofErr w:type="spellEnd"/>
      <w:r w:rsidRPr="00547B68">
        <w:t xml:space="preserve"> events — not in the original spec but essential for production-grade design).</w:t>
      </w:r>
    </w:p>
    <w:p w14:paraId="2B08FDE8" w14:textId="77777777" w:rsidR="00547B68" w:rsidRDefault="00547B68"/>
    <w:p w14:paraId="0626A435" w14:textId="0864FB30" w:rsidR="00547B68" w:rsidRDefault="00547B68">
      <w:r w:rsidRPr="00547B68">
        <w:t>2. Happy Path Message Flow</w:t>
      </w:r>
    </w:p>
    <w:p w14:paraId="7A004414" w14:textId="77777777" w:rsidR="00547B68" w:rsidRDefault="00547B68"/>
    <w:p w14:paraId="07E9F7A7" w14:textId="13DB7C86" w:rsidR="00547B68" w:rsidRDefault="00547B68">
      <w:r w:rsidRPr="00547B68">
        <w:lastRenderedPageBreak/>
        <w:drawing>
          <wp:inline distT="0" distB="0" distL="0" distR="0" wp14:anchorId="6644E324" wp14:editId="703C6D36">
            <wp:extent cx="5731510" cy="5212080"/>
            <wp:effectExtent l="0" t="0" r="2540" b="7620"/>
            <wp:docPr id="8942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60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DCD4" w14:textId="2C23A8AA" w:rsidR="00547B68" w:rsidRDefault="00547B68">
      <w:r w:rsidRPr="00547B68">
        <w:drawing>
          <wp:inline distT="0" distB="0" distL="0" distR="0" wp14:anchorId="6F0A40B2" wp14:editId="7760DCAE">
            <wp:extent cx="5544324" cy="1486107"/>
            <wp:effectExtent l="0" t="0" r="0" b="0"/>
            <wp:docPr id="104282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9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F4BE" w14:textId="77777777" w:rsidR="00547B68" w:rsidRDefault="00547B68"/>
    <w:p w14:paraId="4A600454" w14:textId="5EC7B073" w:rsidR="00547B68" w:rsidRDefault="00547B68">
      <w:r w:rsidRPr="00547B68">
        <w:t>3. Exception Handling &amp; Dead Letter Queue Design</w:t>
      </w:r>
    </w:p>
    <w:p w14:paraId="6BCD93D8" w14:textId="77777777" w:rsidR="00547B68" w:rsidRDefault="00547B68"/>
    <w:p w14:paraId="4CDB90C9" w14:textId="67D61F05" w:rsidR="00547B68" w:rsidRDefault="00547B68">
      <w:r w:rsidRPr="00547B68">
        <w:lastRenderedPageBreak/>
        <w:drawing>
          <wp:inline distT="0" distB="0" distL="0" distR="0" wp14:anchorId="1C70EB7E" wp14:editId="352B5C03">
            <wp:extent cx="5731510" cy="4835525"/>
            <wp:effectExtent l="0" t="0" r="2540" b="3175"/>
            <wp:docPr id="105886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65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DDF6" w14:textId="77777777" w:rsidR="00547B68" w:rsidRDefault="00547B68"/>
    <w:p w14:paraId="3175F8D7" w14:textId="0D1BF425" w:rsidR="00547B68" w:rsidRDefault="00547B68">
      <w:r w:rsidRPr="00547B68">
        <w:t>4. Reporting API Service Design</w:t>
      </w:r>
    </w:p>
    <w:p w14:paraId="2CA37F44" w14:textId="77777777" w:rsidR="00547B68" w:rsidRDefault="00547B68"/>
    <w:p w14:paraId="5F4C289B" w14:textId="7CBE3FB6" w:rsidR="00547B68" w:rsidRDefault="00547B68">
      <w:r w:rsidRPr="00547B68">
        <w:lastRenderedPageBreak/>
        <w:drawing>
          <wp:inline distT="0" distB="0" distL="0" distR="0" wp14:anchorId="299F25F3" wp14:editId="031159DF">
            <wp:extent cx="5731510" cy="4324985"/>
            <wp:effectExtent l="0" t="0" r="2540" b="0"/>
            <wp:docPr id="209531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8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F9E7" w14:textId="77777777" w:rsidR="00547B68" w:rsidRDefault="00547B68"/>
    <w:p w14:paraId="6DED8449" w14:textId="1C00384B" w:rsidR="00547B68" w:rsidRDefault="00547B68">
      <w:r w:rsidRPr="00547B68">
        <w:t>5. Kafka Configuration Design</w:t>
      </w:r>
    </w:p>
    <w:p w14:paraId="5854B3D8" w14:textId="77777777" w:rsidR="00547B68" w:rsidRDefault="00547B68"/>
    <w:p w14:paraId="1FD6D2E0" w14:textId="2D3F14E2" w:rsidR="00547B68" w:rsidRDefault="00547B68">
      <w:r w:rsidRPr="00547B68">
        <w:lastRenderedPageBreak/>
        <w:drawing>
          <wp:inline distT="0" distB="0" distL="0" distR="0" wp14:anchorId="6810FA5D" wp14:editId="2C84B216">
            <wp:extent cx="5731510" cy="3924935"/>
            <wp:effectExtent l="0" t="0" r="2540" b="0"/>
            <wp:docPr id="28028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1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E7AA" w14:textId="77777777" w:rsidR="00547B68" w:rsidRDefault="00547B68"/>
    <w:p w14:paraId="175FFB93" w14:textId="395D1CD4" w:rsidR="00547B68" w:rsidRDefault="00547B68">
      <w:r w:rsidRPr="00547B68">
        <w:t>6. Database Schema (ERD)</w:t>
      </w:r>
    </w:p>
    <w:p w14:paraId="7EFA1846" w14:textId="77777777" w:rsidR="00547B68" w:rsidRDefault="00547B68"/>
    <w:p w14:paraId="2A53BC00" w14:textId="0CA56121" w:rsidR="00547B68" w:rsidRDefault="00547B68">
      <w:r w:rsidRPr="00547B68">
        <w:lastRenderedPageBreak/>
        <w:drawing>
          <wp:inline distT="0" distB="0" distL="0" distR="0" wp14:anchorId="3F8BD461" wp14:editId="533B48A7">
            <wp:extent cx="5731510" cy="5452745"/>
            <wp:effectExtent l="0" t="0" r="2540" b="0"/>
            <wp:docPr id="5283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53FE" w14:textId="64A63E56" w:rsidR="00547B68" w:rsidRDefault="00547B68">
      <w:r w:rsidRPr="00547B68">
        <w:drawing>
          <wp:inline distT="0" distB="0" distL="0" distR="0" wp14:anchorId="58B25DC1" wp14:editId="4DC3A043">
            <wp:extent cx="5649113" cy="2305372"/>
            <wp:effectExtent l="0" t="0" r="0" b="0"/>
            <wp:docPr id="14707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58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7B32" w14:textId="77777777" w:rsidR="00547B68" w:rsidRDefault="00547B68"/>
    <w:p w14:paraId="2898A91D" w14:textId="77777777" w:rsidR="00547B68" w:rsidRPr="00547B68" w:rsidRDefault="00547B68" w:rsidP="00547B68">
      <w:pPr>
        <w:rPr>
          <w:b/>
          <w:bCs/>
        </w:rPr>
      </w:pPr>
      <w:r w:rsidRPr="00547B68">
        <w:rPr>
          <w:b/>
          <w:bCs/>
        </w:rPr>
        <w:t>Design Summary</w:t>
      </w:r>
    </w:p>
    <w:p w14:paraId="039C8758" w14:textId="77777777" w:rsidR="00547B68" w:rsidRPr="00547B68" w:rsidRDefault="00547B68" w:rsidP="00547B68">
      <w:r w:rsidRPr="00547B68">
        <w:lastRenderedPageBreak/>
        <w:t>Here's the complete design decision log — everything you need to defend choices in the design sprint:</w:t>
      </w:r>
    </w:p>
    <w:p w14:paraId="2700EB39" w14:textId="77777777" w:rsidR="00547B68" w:rsidRPr="00547B68" w:rsidRDefault="00547B68" w:rsidP="00547B68">
      <w:r w:rsidRPr="00547B68">
        <w:rPr>
          <w:b/>
          <w:bCs/>
        </w:rPr>
        <w:t>Message flow:</w:t>
      </w:r>
      <w:r w:rsidRPr="00547B68">
        <w:t xml:space="preserve"> Partition key is </w:t>
      </w:r>
      <w:proofErr w:type="spellStart"/>
      <w:r w:rsidRPr="00547B68">
        <w:t>debitAccountId</w:t>
      </w:r>
      <w:proofErr w:type="spellEnd"/>
      <w:r w:rsidRPr="00547B68">
        <w:t xml:space="preserve"> on </w:t>
      </w:r>
      <w:proofErr w:type="spellStart"/>
      <w:proofErr w:type="gramStart"/>
      <w:r w:rsidRPr="00547B68">
        <w:t>payments.submitted</w:t>
      </w:r>
      <w:proofErr w:type="spellEnd"/>
      <w:proofErr w:type="gramEnd"/>
      <w:r w:rsidRPr="00547B68">
        <w:t>, ensuring all payments from the same debit account land on the same partition and are processed in order. This is the correct choice for a payments platform where order matters per account.</w:t>
      </w:r>
    </w:p>
    <w:p w14:paraId="694CC2A5" w14:textId="77777777" w:rsidR="00547B68" w:rsidRPr="00547B68" w:rsidRDefault="00547B68" w:rsidP="00547B68">
      <w:r w:rsidRPr="00547B68">
        <w:rPr>
          <w:b/>
          <w:bCs/>
        </w:rPr>
        <w:t>Dead Letter Queue:</w:t>
      </w:r>
      <w:r w:rsidRPr="00547B68">
        <w:t xml:space="preserve"> Spring Kafka's </w:t>
      </w:r>
      <w:proofErr w:type="spellStart"/>
      <w:r w:rsidRPr="00547B68">
        <w:t>DeadLetterPublishingRecoverer</w:t>
      </w:r>
      <w:proofErr w:type="spellEnd"/>
      <w:r w:rsidRPr="00547B68">
        <w:t xml:space="preserve"> + </w:t>
      </w:r>
      <w:proofErr w:type="spellStart"/>
      <w:r w:rsidRPr="00547B68">
        <w:t>DefaultErrorHandler</w:t>
      </w:r>
      <w:proofErr w:type="spellEnd"/>
      <w:r w:rsidRPr="00547B68">
        <w:t xml:space="preserve"> handles this cleanly. After 3 attempts with exponential back-off, the message is forwarded to </w:t>
      </w:r>
      <w:proofErr w:type="spellStart"/>
      <w:r w:rsidRPr="00547B68">
        <w:t>payments.dlq</w:t>
      </w:r>
      <w:proofErr w:type="spellEnd"/>
      <w:r w:rsidRPr="00547B68">
        <w:t xml:space="preserve"> with the original exception in headers. A separate consumer group reads the DLQ, persists to a </w:t>
      </w:r>
      <w:proofErr w:type="spellStart"/>
      <w:r w:rsidRPr="00547B68">
        <w:t>dlq_events</w:t>
      </w:r>
      <w:proofErr w:type="spellEnd"/>
      <w:r w:rsidRPr="00547B68">
        <w:t xml:space="preserve"> table, and exposes a /</w:t>
      </w:r>
      <w:proofErr w:type="spellStart"/>
      <w:r w:rsidRPr="00547B68">
        <w:t>api</w:t>
      </w:r>
      <w:proofErr w:type="spellEnd"/>
      <w:r w:rsidRPr="00547B68">
        <w:t>/</w:t>
      </w:r>
      <w:proofErr w:type="spellStart"/>
      <w:r w:rsidRPr="00547B68">
        <w:t>dlq</w:t>
      </w:r>
      <w:proofErr w:type="spellEnd"/>
      <w:r w:rsidRPr="00547B68">
        <w:t>/events endpoint for ops — plus a replay endpoint for remediation.</w:t>
      </w:r>
    </w:p>
    <w:p w14:paraId="40D42515" w14:textId="77777777" w:rsidR="00547B68" w:rsidRPr="00547B68" w:rsidRDefault="00547B68" w:rsidP="00547B68">
      <w:r w:rsidRPr="00547B68">
        <w:rPr>
          <w:b/>
          <w:bCs/>
        </w:rPr>
        <w:t>Exception handling layers:</w:t>
      </w:r>
    </w:p>
    <w:p w14:paraId="259F7B1C" w14:textId="77777777" w:rsidR="00547B68" w:rsidRPr="00547B68" w:rsidRDefault="00547B68" w:rsidP="00547B68">
      <w:pPr>
        <w:numPr>
          <w:ilvl w:val="0"/>
          <w:numId w:val="1"/>
        </w:numPr>
      </w:pPr>
      <w:r w:rsidRPr="00547B68">
        <w:t>Layer 1 — @RestControllerAdvice in both services: handles all 400/404/409/422 with the uniform JSON error envelope.</w:t>
      </w:r>
    </w:p>
    <w:p w14:paraId="7242AAE6" w14:textId="77777777" w:rsidR="00547B68" w:rsidRPr="00547B68" w:rsidRDefault="00547B68" w:rsidP="00547B68">
      <w:pPr>
        <w:numPr>
          <w:ilvl w:val="0"/>
          <w:numId w:val="1"/>
        </w:numPr>
      </w:pPr>
      <w:r w:rsidRPr="00547B68">
        <w:t xml:space="preserve">Layer 2 — </w:t>
      </w:r>
      <w:proofErr w:type="spellStart"/>
      <w:r w:rsidRPr="00547B68">
        <w:t>KafkaTemplate</w:t>
      </w:r>
      <w:proofErr w:type="spellEnd"/>
      <w:r w:rsidRPr="00547B68">
        <w:t xml:space="preserve"> send callback in the </w:t>
      </w:r>
      <w:proofErr w:type="spellStart"/>
      <w:r w:rsidRPr="00547B68">
        <w:t>ingestor</w:t>
      </w:r>
      <w:proofErr w:type="spellEnd"/>
      <w:r w:rsidRPr="00547B68">
        <w:t>: synchronous callback catches broker-unreachable failures and returns 503.</w:t>
      </w:r>
    </w:p>
    <w:p w14:paraId="02A32F92" w14:textId="77777777" w:rsidR="00547B68" w:rsidRPr="00547B68" w:rsidRDefault="00547B68" w:rsidP="00547B68">
      <w:pPr>
        <w:numPr>
          <w:ilvl w:val="0"/>
          <w:numId w:val="1"/>
        </w:numPr>
      </w:pPr>
      <w:r w:rsidRPr="00547B68">
        <w:t xml:space="preserve">Layer 3 — </w:t>
      </w:r>
      <w:proofErr w:type="spellStart"/>
      <w:r w:rsidRPr="00547B68">
        <w:t>DefaultErrorHandler</w:t>
      </w:r>
      <w:proofErr w:type="spellEnd"/>
      <w:r w:rsidRPr="00547B68">
        <w:t xml:space="preserve"> in the processor: catches processing exceptions, retries with back-off, then routes to DLQ.</w:t>
      </w:r>
    </w:p>
    <w:p w14:paraId="4964AAD0" w14:textId="77777777" w:rsidR="00547B68" w:rsidRPr="00547B68" w:rsidRDefault="00547B68" w:rsidP="00547B68">
      <w:r w:rsidRPr="00547B68">
        <w:rPr>
          <w:b/>
          <w:bCs/>
        </w:rPr>
        <w:t>Reporting API:</w:t>
      </w:r>
      <w:r w:rsidRPr="00547B68">
        <w:t xml:space="preserve"> The processor exposes five endpoints covering live in-memory counters (/</w:t>
      </w:r>
      <w:proofErr w:type="spellStart"/>
      <w:r w:rsidRPr="00547B68">
        <w:t>api</w:t>
      </w:r>
      <w:proofErr w:type="spellEnd"/>
      <w:r w:rsidRPr="00547B68">
        <w:t>/metrics/summary), aggregate DB queries (/</w:t>
      </w:r>
      <w:proofErr w:type="spellStart"/>
      <w:r w:rsidRPr="00547B68">
        <w:t>api</w:t>
      </w:r>
      <w:proofErr w:type="spellEnd"/>
      <w:r w:rsidRPr="00547B68">
        <w:t>/reports/summary), paginated filtered history (/</w:t>
      </w:r>
      <w:proofErr w:type="spellStart"/>
      <w:r w:rsidRPr="00547B68">
        <w:t>api</w:t>
      </w:r>
      <w:proofErr w:type="spellEnd"/>
      <w:r w:rsidRPr="00547B68">
        <w:t>/reports/activity), per-account history (/</w:t>
      </w:r>
      <w:proofErr w:type="spellStart"/>
      <w:r w:rsidRPr="00547B68">
        <w:t>api</w:t>
      </w:r>
      <w:proofErr w:type="spellEnd"/>
      <w:r w:rsidRPr="00547B68">
        <w:t>/accounts/{id}/history), and DLQ visibility (/</w:t>
      </w:r>
      <w:proofErr w:type="spellStart"/>
      <w:r w:rsidRPr="00547B68">
        <w:t>api</w:t>
      </w:r>
      <w:proofErr w:type="spellEnd"/>
      <w:r w:rsidRPr="00547B68">
        <w:t>/</w:t>
      </w:r>
      <w:proofErr w:type="spellStart"/>
      <w:r w:rsidRPr="00547B68">
        <w:t>dlq</w:t>
      </w:r>
      <w:proofErr w:type="spellEnd"/>
      <w:r w:rsidRPr="00547B68">
        <w:t xml:space="preserve">/events). The </w:t>
      </w:r>
      <w:proofErr w:type="spellStart"/>
      <w:r w:rsidRPr="00547B68">
        <w:t>accountName</w:t>
      </w:r>
      <w:proofErr w:type="spellEnd"/>
      <w:r w:rsidRPr="00547B68">
        <w:t xml:space="preserve"> enrichment comes from the seeded accounts table — look up by </w:t>
      </w:r>
      <w:proofErr w:type="spellStart"/>
      <w:r w:rsidRPr="00547B68">
        <w:t>debitAccountId</w:t>
      </w:r>
      <w:proofErr w:type="spellEnd"/>
      <w:r w:rsidRPr="00547B68">
        <w:t xml:space="preserve"> at query time, not stored in </w:t>
      </w:r>
      <w:proofErr w:type="spellStart"/>
      <w:r w:rsidRPr="00547B68">
        <w:t>payment_outcomes</w:t>
      </w:r>
      <w:proofErr w:type="spellEnd"/>
      <w:r w:rsidRPr="00547B68">
        <w:t>.</w:t>
      </w:r>
    </w:p>
    <w:p w14:paraId="35F9BEF0" w14:textId="77777777" w:rsidR="00547B68" w:rsidRPr="00547B68" w:rsidRDefault="00547B68" w:rsidP="00547B68">
      <w:r w:rsidRPr="00547B68">
        <w:rPr>
          <w:b/>
          <w:bCs/>
        </w:rPr>
        <w:t>Kafka tuning:</w:t>
      </w:r>
      <w:r w:rsidRPr="00547B68">
        <w:t xml:space="preserve"> Every property must have a comment in </w:t>
      </w:r>
      <w:proofErr w:type="spellStart"/>
      <w:r w:rsidRPr="00547B68">
        <w:t>application.yml</w:t>
      </w:r>
      <w:proofErr w:type="spellEnd"/>
      <w:r w:rsidRPr="00547B68">
        <w:t xml:space="preserve"> — that is the literal hackathon scoring criterion. Click any property in diagram 4 above to generate the correct comment for it.</w:t>
      </w:r>
    </w:p>
    <w:p w14:paraId="491ED1B5" w14:textId="77777777" w:rsidR="00547B68" w:rsidRPr="00547B68" w:rsidRDefault="00547B68" w:rsidP="00547B68">
      <w:r w:rsidRPr="00547B68">
        <w:rPr>
          <w:b/>
          <w:bCs/>
        </w:rPr>
        <w:t>Design sprint deliverable checklist:</w:t>
      </w:r>
    </w:p>
    <w:p w14:paraId="3E5FE266" w14:textId="77777777" w:rsidR="00547B68" w:rsidRPr="00547B68" w:rsidRDefault="00547B68" w:rsidP="00547B68">
      <w:pPr>
        <w:numPr>
          <w:ilvl w:val="0"/>
          <w:numId w:val="2"/>
        </w:numPr>
      </w:pPr>
      <w:r w:rsidRPr="00547B68">
        <w:t>Message flow documented (diagrams 1 + 2 above)</w:t>
      </w:r>
    </w:p>
    <w:p w14:paraId="7F7D2E21" w14:textId="77777777" w:rsidR="00547B68" w:rsidRPr="00547B68" w:rsidRDefault="00547B68" w:rsidP="00547B68">
      <w:pPr>
        <w:numPr>
          <w:ilvl w:val="0"/>
          <w:numId w:val="2"/>
        </w:numPr>
      </w:pPr>
      <w:r w:rsidRPr="00547B68">
        <w:t>Kafka topic names and partition counts specified (diagram 1)</w:t>
      </w:r>
    </w:p>
    <w:p w14:paraId="005FA858" w14:textId="77777777" w:rsidR="00547B68" w:rsidRPr="00547B68" w:rsidRDefault="00547B68" w:rsidP="00547B68">
      <w:pPr>
        <w:numPr>
          <w:ilvl w:val="0"/>
          <w:numId w:val="2"/>
        </w:numPr>
      </w:pPr>
      <w:r w:rsidRPr="00547B68">
        <w:t>Partition key strategy justified (</w:t>
      </w:r>
      <w:proofErr w:type="spellStart"/>
      <w:r w:rsidRPr="00547B68">
        <w:t>debitAccountId</w:t>
      </w:r>
      <w:proofErr w:type="spellEnd"/>
      <w:r w:rsidRPr="00547B68">
        <w:t xml:space="preserve"> — ordering per account)</w:t>
      </w:r>
    </w:p>
    <w:p w14:paraId="70C9F149" w14:textId="77777777" w:rsidR="00547B68" w:rsidRPr="00547B68" w:rsidRDefault="00547B68" w:rsidP="00547B68">
      <w:pPr>
        <w:numPr>
          <w:ilvl w:val="0"/>
          <w:numId w:val="2"/>
        </w:numPr>
      </w:pPr>
      <w:r w:rsidRPr="00547B68">
        <w:t>Kafka config properties listed with planned values (diagram 4)</w:t>
      </w:r>
    </w:p>
    <w:p w14:paraId="0E3A7C01" w14:textId="77777777" w:rsidR="00547B68" w:rsidRPr="00547B68" w:rsidRDefault="00547B68" w:rsidP="00547B68">
      <w:pPr>
        <w:numPr>
          <w:ilvl w:val="0"/>
          <w:numId w:val="2"/>
        </w:numPr>
      </w:pPr>
      <w:r w:rsidRPr="00547B68">
        <w:t>Error handling strategy documented (diagram 3)</w:t>
      </w:r>
    </w:p>
    <w:p w14:paraId="74B3E53D" w14:textId="77777777" w:rsidR="00547B68" w:rsidRPr="00547B68" w:rsidRDefault="00547B68" w:rsidP="00547B68">
      <w:pPr>
        <w:numPr>
          <w:ilvl w:val="0"/>
          <w:numId w:val="2"/>
        </w:numPr>
      </w:pPr>
      <w:r w:rsidRPr="00547B68">
        <w:t>Database schema confirmed (diagram 5)</w:t>
      </w:r>
    </w:p>
    <w:p w14:paraId="346E3BD0" w14:textId="77777777" w:rsidR="00547B68" w:rsidRPr="00547B68" w:rsidRDefault="00547B68" w:rsidP="00547B68">
      <w:pPr>
        <w:numPr>
          <w:ilvl w:val="0"/>
          <w:numId w:val="2"/>
        </w:numPr>
      </w:pPr>
      <w:r w:rsidRPr="00547B68">
        <w:t>All endpoint contracts listed (diagram 4)</w:t>
      </w:r>
    </w:p>
    <w:p w14:paraId="7F228623" w14:textId="77777777" w:rsidR="00547B68" w:rsidRDefault="00547B68"/>
    <w:sectPr w:rsidR="0054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430"/>
    <w:multiLevelType w:val="multilevel"/>
    <w:tmpl w:val="694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211E9"/>
    <w:multiLevelType w:val="multilevel"/>
    <w:tmpl w:val="821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723074">
    <w:abstractNumId w:val="0"/>
  </w:num>
  <w:num w:numId="2" w16cid:durableId="189839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68"/>
    <w:rsid w:val="0008513A"/>
    <w:rsid w:val="00351E66"/>
    <w:rsid w:val="003D3C5B"/>
    <w:rsid w:val="003D5940"/>
    <w:rsid w:val="00547B68"/>
    <w:rsid w:val="00576F88"/>
    <w:rsid w:val="009A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D190"/>
  <w15:chartTrackingRefBased/>
  <w15:docId w15:val="{91A02AEF-640D-4F0A-8CB3-5210C92D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krishna</dc:creator>
  <cp:keywords/>
  <dc:description/>
  <cp:lastModifiedBy>anand krishna</cp:lastModifiedBy>
  <cp:revision>1</cp:revision>
  <dcterms:created xsi:type="dcterms:W3CDTF">2026-04-18T07:13:00Z</dcterms:created>
  <dcterms:modified xsi:type="dcterms:W3CDTF">2026-04-18T07:28:00Z</dcterms:modified>
</cp:coreProperties>
</file>