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Semibold" w:hAnsi="Segoe UI Semibold"/>
          <w:color w:val="6D28D9"/>
          <w:sz w:val="44"/>
        </w:rPr>
        <w:t>Phase 9 — Dashboards &amp; Advanced Analytics</w:t>
      </w:r>
    </w:p>
    <w:p>
      <w:r>
        <w:rPr>
          <w:rFonts w:ascii="Segoe UI" w:hAnsi="Segoe UI"/>
          <w:color w:val="64748B"/>
          <w:sz w:val="26"/>
        </w:rPr>
        <w:t>Master Implementation Guide &amp; Architectural Specification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5F3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5B21B6"/>
                <w:sz w:val="20"/>
              </w:rPr>
              <w:t>ANALYTICS ENGINE POLICY &amp; DATA TRUTHFULNESS</w:t>
              <w:br/>
            </w:r>
            <w:r>
              <w:rPr>
                <w:color w:val="374151"/>
                <w:sz w:val="19"/>
              </w:rPr>
              <w:t>All analytical metrics displayed across the dashboard are strictly grounded in authenticated database records. Data fabrication is explicitly prohibited. Time-window parameters (7d/14d/30d) aggregate rolling historical metrics cleanly. Insufficient data states are returned with explicit has_data=false flags, and cross-domain insights are explicitly designated as observational non-causal correlations.</w:t>
            </w:r>
          </w:p>
        </w:tc>
      </w:tr>
    </w:tbl>
    <w:p>
      <w:pPr>
        <w:spacing w:after="320"/>
      </w:pPr>
    </w:p>
    <w:p>
      <w:r>
        <w:rPr>
          <w:rFonts w:ascii="Segoe UI Semibold" w:hAnsi="Segoe UI Semibold"/>
          <w:color w:val="4C1D95"/>
          <w:sz w:val="30"/>
        </w:rPr>
        <w:t>1. Executive Summary &amp; Core Requirements</w:t>
      </w:r>
    </w:p>
    <w:p>
      <w:r>
        <w:t>Phase 9 establishes the project's comprehensive Analytics &amp; Dashboard layer. It integrates data from Phase 1 (Profiles), Phase 2 (Workout Sessions), Phase 3 (Performance Scores), Phase 4 (Nutrition Logs &amp; Targets), Phase 6 (Habit Skip Risk), and Phase 8 (Smart Gym IoT Telemetry).</w:t>
      </w:r>
    </w:p>
    <w:p>
      <w:r>
        <w:rPr>
          <w:rFonts w:ascii="Segoe UI Semibold" w:hAnsi="Segoe UI Semibold"/>
          <w:color w:val="4C1D95"/>
          <w:sz w:val="30"/>
        </w:rPr>
        <w:t>2. Derived Analytics &amp; Formula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6D28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Metric Name</w:t>
            </w:r>
          </w:p>
        </w:tc>
        <w:tc>
          <w:tcPr>
            <w:tcW w:type="dxa" w:w="2484"/>
            <w:shd w:val="clear" w:color="auto" w:fill="6D28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Domain Source</w:t>
            </w:r>
          </w:p>
        </w:tc>
        <w:tc>
          <w:tcPr>
            <w:tcW w:type="dxa" w:w="2484"/>
            <w:shd w:val="clear" w:color="auto" w:fill="6D28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Mathematical Formula</w:t>
            </w:r>
          </w:p>
        </w:tc>
        <w:tc>
          <w:tcPr>
            <w:tcW w:type="dxa" w:w="2484"/>
            <w:shd w:val="clear" w:color="auto" w:fill="6D28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Interpretation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 Workouts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2 Workouts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COUNT(WorkoutSession.id)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 completed sessions in window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Average Score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3 Performance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SUM(performance_score) / N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Mean pose quality score [0-100]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Performance Trend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3 Performance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3 PerformanceService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improving (&gt;= +2.5) / declining (&lt;= -2.5) / stable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Calorie Compliance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4 Nutrition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(Compliant Days / Logged Days) * 100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Compliant if intake within 85%–110% of target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Consistency Rate 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6 Habits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min(100.0, (Actual / Expected) * 100)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Expected = (Target Days / 7) * Window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Avg IoT Intensity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Phase 8 Smart Gym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SUM(intensity_score) / N_telem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Mean set intensity % across devices</w:t>
            </w:r>
          </w:p>
        </w:tc>
      </w:tr>
    </w:tbl>
    <w:p>
      <w:pPr>
        <w:spacing w:after="3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