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(1.50) used for the weight ceiling; the paper's dual acute/next-day magnitudes don't map to a single number</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v6.2 -- 'grief' sub-layer, Tier S (Subacute) layer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Still overlaps Family layer's 'stability' sub -- treat jointly with care to avoid double-counting</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Overlaps Social Network layer, not currently cross-linked</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 at its full VERY HIGH (2.00) weight</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Schema &amp; Education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Schema &amp; Education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Schema &amp; Education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Schema &amp; Education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Schema &amp; Education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Schema &amp; Education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Network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Network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Network layer, at its full HIGH (1.50) weight -- confidence-confirmed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but weight (1.5 max in current vectors) understates the cited effect size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Conditions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v6.2 -- 'life_transitions' sub-layer, Tier S (Subacute) layer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 not a protected attribute, distinct from this Domain's excluded cultural/gender-identity rows</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&amp; Upbringing layer, split out from 'parenting' as its own sub-layer</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&amp; Upbringing layer, at its full HIGH (1.50) weight -- confidence-CONFIRMED (not reduced) per 3.2b.4, since this citation is independently verified as one of the best-replicated effects in the whole catalogue. Still overlaps 'stability' sub -- treat jointly with care to avoid double-counting</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&amp; Upbringing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Foundation layer, directly maps to the Decision-Style (DS)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is a genuine architectural gap, not a rounding error. Proposed fix for a v7 engine: a fourth scoring tier -- "Tier S" (Subacute) -- sitting between the Modulator and the structural Layers, with its own re-normalized weight slice and an explicit expiry window (e.g. re-prompt the tester every 4-6 weeks rather than every session or never). IMPLEMENTED in v6.2: BAF_Simulator_v6.html and core-engine.js now carry Tier S as a reserved, undiluted weight slice (proposed at 6%) holding 'grief' and 'life_transitions', with a 35-day expiry flag that is informational only (does not exclude the sub-layer from scoring).</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Continuous Improvement Audit (v6.3+)</w:t>
      </w:r>
    </w:p>
    <w:p>
      <w:pPr>
        <w:pStyle w:val="ListParagraph"/>
        <w:numPr>
          <w:ilvl w:val="0"/>
          <w:numId w:val="2"/>
        </w:numPr>
        <w:spacing w:after="60"/>
      </w:pPr>
      <w:r>
        <w:t xml:space="preserve">A follow-up pass checked every implemented sub-layer's weight ceiling against this section's confidence-multiplier formula, focused on citations never covered by the original 3.2b.4 pass. Four findings, none of which changed a live weight -- see the reasoning per item below for why.</w:t>
      </w:r>
    </w:p>
    <w:p>
      <w:pPr>
        <w:pStyle w:val="ListParagraph"/>
        <w:numPr>
          <w:ilvl w:val="0"/>
          <w:numId w:val="2"/>
        </w:numPr>
        <w:spacing w:after="60"/>
      </w:pPr>
      <w:r>
        <w:t xml:space="preserve">(1) Cognitive style / Kahneman 2011 (Domain 8, 'cognitive_style' sub-layer, implemented v6.1 at HIGH -&gt; 1.50, never confidence-corrected): unlike the 7 citations in 3.2b.4, System 1/System 2 dual-process theory is not a single quantifiable effect size to confirm or downgrade -- it is a foundational, widely-cited framework in cognitive psychology, but the strict two-system dichotomy has drawn legitimate academic critique (e.g. Stanovich's more granular tripartite model; arguments that "System 1/2" is a useful heuristic rather than a literal dual neural architecture). This is a different kind of citation than Danziger or Felitti, not equivalently contested or equivalently confirmed. FLAGGED, not downgraded: the 1.50 ceiling stands because no specific alternative number is defensible from this critique, but future recalibration should not treat this citation as equal-strength evidence to the Domain 5 or Domain 7 findings above.</w:t>
      </w:r>
    </w:p>
    <w:p>
      <w:pPr>
        <w:pStyle w:val="ListParagraph"/>
        <w:numPr>
          <w:ilvl w:val="0"/>
          <w:numId w:val="2"/>
        </w:numPr>
        <w:spacing w:after="60"/>
      </w:pPr>
      <w:r>
        <w:t xml:space="preserve">(2) Loneliness / social isolation (Cacioppo 2008, Domain 2): never independently verified in the original 3.2b.4 pass. Not implemented as its own sub-layer -- status remains "overlaps Social Network layer, not currently cross-linked" -- so no weight ceiling currently rides on this citation and no engine change follows. Flagged as an open verification gap rather than left silently unexamined.</w:t>
      </w:r>
    </w:p>
    <w:p>
      <w:pPr>
        <w:pStyle w:val="ListParagraph"/>
        <w:numPr>
          <w:ilvl w:val="0"/>
          <w:numId w:val="2"/>
        </w:numPr>
        <w:spacing w:after="60"/>
      </w:pPr>
      <w:r>
        <w:t xml:space="preserve">(3) Dunning-Kruger (Domain 3, "lack of relevant knowledge/experience," partially folds into 'education' sub-layer): never independently verified. 'education' predates the 3.2b.1 tier-mapping system entirely -- it is a v1-v4 hand-authored sub-layer, not derived from this section's formula -- so its ceiling was never actually set "from the paper's tier alone" to begin with. This citation is descriptive color in the catalogue, not a load-bearing weight input. No engine change follows.</w:t>
      </w:r>
    </w:p>
    <w:p>
      <w:pPr>
        <w:pStyle w:val="ListParagraph"/>
        <w:numPr>
          <w:ilvl w:val="0"/>
          <w:numId w:val="2"/>
        </w:numPr>
        <w:spacing w:after="60"/>
      </w:pPr>
      <w:r>
        <w:t xml:space="preserve">(4) Correction to this document, not a citation issue: the Domain 5 entry above states current_stability's weight "(1.5 max in current vectors) understates the cited effect size." Re-audited against the live BAF_Simulator_v6.html, current_stability's actual ceiling is 2.00 (VERY HIGH) -- matching the tier this citation was confirmed at. The 1.5-max claim was stale; the code was already correct. Retained here, corrected, rather than silently deleted, per this document's own audit-trail practice.</w:t>
      </w:r>
    </w:p>
    <w:p>
      <w:pPr>
        <w:pStyle w:val="ListParagraph"/>
        <w:numPr>
          <w:ilvl w:val="0"/>
          <w:numId w:val="2"/>
        </w:numPr>
        <w:spacing w:after="60"/>
      </w:pPr>
      <w:r>
        <w:t xml:space="preserve">Scope note: the confidence-multiplier formula above governs only the 27 sub-layers added via the systematic 3.2b.1 catalogue process (v6's nutrition/temperament; v6.1's 24; v6.3's ace -- v6.2 restructured 2 of v6.1's subs into Tier S without adding new ones). The other 20 sub-layers (terrain, climate, density, energy, health, age, parenting, birthorder, stability, collectivism, tradition, density_net, digital_ratio, current_stability, formative_scarcity, education, schema_flex, ego, stress, sleep) predate this framework and were hand-authored under the v1-v4 approach this section's own opening paragraph already calls "an engineering approximation, not a value taken from the text." Auditing them against a formula that postdates their authorship is out of scope; they are not held to a standard they were never built against.</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9.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Current status: 18/18 checks passing. This suite is a regression/consistency backtest -- it proves the code computes the documented formulas correctly and stays internally consistent as the model evolves. Run it any time with: node test-cases.js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-- 18/18 passing,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7. Summary</w:t>
      </w:r>
    </w:p>
    <w:p>
      <w:pPr>
        <w:spacing w:after="120"/>
      </w:pPr>
      <w:r>
        <w:t xml:space="preserve">This architecture operationalizes Layers 1-7 plus the Modulator layer from the Behavioral Algorithm Framework into a working four-tier pipeline: micro-indicator -&gt; sub-layer -&gt; layer -&gt; macro score, with live weight re-normalization on partial input, an exact-value Precision Test Mode, a passing 85-case automated regression suite (including a live check against production code, not a hand-copied fixture), and a standalone questionnaire for human-subject backtesting. Seven load-bearing citations were independently fact-checked; six held up, one (Danziger 2011) was downgraded, and the resulting confidence-corrected weights are now live in the engine for the two inputs this pass covered (nutrition, temperament). The paper's higher-risk domains (physiognomy, criminal-behavior/psychopathy prediction) remain deliberately fenced off from all scoring paths. v6.1 closed 24 of the paper's remaining "Not yet implemented" gaps from the Section 3.2b.1 evidence catalogue (excluding Domain 6's protected-attribute rows, which stay deliberately excluded per Section 6), taking the engine from 22 to 46 sub-layers / 92 micro-indicators. v6.2 added Tier S (Subacute), a fourth scoring tier sitting between the structural layers and the Modulator for inputs that resolve in weeks-months (Section 3.2b.2) -- it carries a reserved, undiluted weight slice when answered and flags its own data stale after 35 days, informational only, not excluded from scoring. Companion deliverables: BAF_Simulator_v6.html (interactive engine, 46 sub-layers / 92 micro-indicators including Tier S), BAF_Questionnaire.docx (respondent form, regenerated directly from the live engine so it cannot drift), core-engine.js + test-cases.js (regression harness, 85/85 passing).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2026-07-11T04:56:44.778Z</dcterms:created>
  <dcterms:modified xsi:type="dcterms:W3CDTF">2026-07-11T04:56:44.793Z</dcterms:modified>
</cp:coreProperties>
</file>

<file path=docProps/custom.xml><?xml version="1.0" encoding="utf-8"?>
<Properties xmlns="http://schemas.openxmlformats.org/officeDocument/2006/custom-properties" xmlns:vt="http://schemas.openxmlformats.org/officeDocument/2006/docPropsVTypes"/>
</file>