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nstruction-bid-proposal"/>
      <w:r>
        <w:t xml:space="preserve">Construction Bid Proposal</w:t>
      </w:r>
      <w:bookmarkEnd w:id="20"/>
    </w:p>
    <w:p>
      <w:pPr>
        <w:pStyle w:val="FirstParagraph"/>
      </w:pPr>
      <w:r>
        <w:rPr>
          <w:b/>
        </w:rPr>
        <w:t xml:space="preserve">Bid Proposal Number:</w:t>
      </w:r>
      <w:r>
        <w:t xml:space="preserve"> </w:t>
      </w:r>
      <w:r>
        <w:t xml:space="preserve">BPR-2025-07-02-38311</w:t>
      </w:r>
      <w:r>
        <w:br/>
      </w:r>
      <w:r>
        <w:rPr>
          <w:b/>
        </w:rPr>
        <w:t xml:space="preserve">Date of Submission:</w:t>
      </w:r>
      <w:r>
        <w:t xml:space="preserve"> </w:t>
      </w:r>
      <w:r>
        <w:t xml:space="preserve">July 2, 2025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ject-information"/>
      <w:r>
        <w:t xml:space="preserve">Project Information</w:t>
      </w:r>
      <w:bookmarkEnd w:id="21"/>
    </w:p>
    <w:p>
      <w:pPr>
        <w:pStyle w:val="FirstParagraph"/>
      </w:pPr>
      <w:r>
        <w:rPr>
          <w:b/>
        </w:rPr>
        <w:t xml:space="preserve">Project Name:</w:t>
      </w:r>
      <w:r>
        <w:t xml:space="preserve"> </w:t>
      </w:r>
      <w:r>
        <w:t xml:space="preserve">Next-Gen AI Research Facility</w:t>
      </w:r>
      <w:r>
        <w:br/>
      </w:r>
      <w:r>
        <w:rPr>
          <w:b/>
        </w:rPr>
        <w:t xml:space="preserve">Project Location:</w:t>
      </w:r>
      <w:r>
        <w:t xml:space="preserve"> </w:t>
      </w:r>
      <w:r>
        <w:t xml:space="preserve">1450 Quantum Drive, Innovation Park, San Jose, CA 95134</w:t>
      </w:r>
      <w:r>
        <w:br/>
      </w:r>
      <w:r>
        <w:rPr>
          <w:b/>
        </w:rPr>
        <w:t xml:space="preserve">Project Description:</w:t>
      </w:r>
      <w:r>
        <w:br/>
      </w:r>
      <w:r>
        <w:t xml:space="preserve">Design and construction of a state-of-the-art, 120,000 sq. ft. commercial research facility dedicated to advanced artificial intelligence research. The facility will include secure laboratories, open-plan workspaces, data centers, conference rooms, collaborative zones, and support infrastructure, with high-performance MEP systems and sustainable landscaping.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lient-contact-information"/>
      <w:r>
        <w:t xml:space="preserve">Client Contact Information</w:t>
      </w:r>
      <w:bookmarkEnd w:id="22"/>
    </w:p>
    <w:p>
      <w:pPr>
        <w:pStyle w:val="FirstParagraph"/>
      </w:pPr>
      <w:r>
        <w:rPr>
          <w:b/>
        </w:rPr>
        <w:t xml:space="preserve">Client:</w:t>
      </w:r>
      <w:r>
        <w:t xml:space="preserve"> </w:t>
      </w:r>
      <w:r>
        <w:t xml:space="preserve">Aurora Solutions</w:t>
      </w:r>
      <w:r>
        <w:br/>
      </w:r>
      <w:r>
        <w:rPr>
          <w:b/>
        </w:rPr>
        <w:t xml:space="preserve">Contact Person:</w:t>
      </w:r>
      <w:r>
        <w:t xml:space="preserve"> </w:t>
      </w:r>
      <w:r>
        <w:t xml:space="preserve">Dr. Evelyn Tran, Director of Facilities</w:t>
      </w:r>
      <w:r>
        <w:br/>
      </w:r>
      <w:r>
        <w:rPr>
          <w:b/>
        </w:rPr>
        <w:t xml:space="preserve">Address:</w:t>
      </w:r>
      <w:r>
        <w:t xml:space="preserve"> </w:t>
      </w:r>
      <w:r>
        <w:t xml:space="preserve">200 Aurora Lane, Suite 400, San Jose, CA 95134</w:t>
      </w:r>
      <w:r>
        <w:br/>
      </w:r>
      <w:r>
        <w:rPr>
          <w:b/>
        </w:rPr>
        <w:t xml:space="preserve">Phone:</w:t>
      </w:r>
      <w:r>
        <w:t xml:space="preserve"> </w:t>
      </w:r>
      <w:r>
        <w:t xml:space="preserve">(408) 555-0199</w:t>
      </w:r>
      <w:r>
        <w:br/>
      </w:r>
      <w:r>
        <w:rPr>
          <w:b/>
        </w:rPr>
        <w:t xml:space="preserve">Email:</w:t>
      </w:r>
      <w:r>
        <w:t xml:space="preserve"> </w:t>
      </w:r>
      <w:r>
        <w:t xml:space="preserve">etran@aurorasolutions.com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cope-of-work"/>
      <w:r>
        <w:t xml:space="preserve">Scope of Work</w:t>
      </w:r>
      <w:bookmarkEnd w:id="23"/>
    </w:p>
    <w:p>
      <w:pPr>
        <w:pStyle w:val="Heading3"/>
      </w:pPr>
      <w:bookmarkStart w:id="24" w:name="demolition"/>
      <w:r>
        <w:t xml:space="preserve">1. Demolition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Removal of existing structures, pavement, and underground utilities as per site plan.</w:t>
      </w:r>
    </w:p>
    <w:p>
      <w:pPr>
        <w:numPr>
          <w:ilvl w:val="0"/>
          <w:numId w:val="1001"/>
        </w:numPr>
        <w:pStyle w:val="Compact"/>
      </w:pPr>
      <w:r>
        <w:t xml:space="preserve">Safe disposal and recycling of debris in compliance with local regulations.</w:t>
      </w:r>
    </w:p>
    <w:p>
      <w:pPr>
        <w:numPr>
          <w:ilvl w:val="0"/>
          <w:numId w:val="1001"/>
        </w:numPr>
        <w:pStyle w:val="Compact"/>
      </w:pPr>
      <w:r>
        <w:t xml:space="preserve">Environmental remediation as required.</w:t>
      </w:r>
    </w:p>
    <w:p>
      <w:pPr>
        <w:pStyle w:val="Heading3"/>
      </w:pPr>
      <w:bookmarkStart w:id="25" w:name="site-preparation"/>
      <w:r>
        <w:t xml:space="preserve">2. Site Preparation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Grading and leveling of site.</w:t>
      </w:r>
    </w:p>
    <w:p>
      <w:pPr>
        <w:numPr>
          <w:ilvl w:val="0"/>
          <w:numId w:val="1002"/>
        </w:numPr>
        <w:pStyle w:val="Compact"/>
      </w:pPr>
      <w:r>
        <w:t xml:space="preserve">Installation of erosion and sediment control measures.</w:t>
      </w:r>
    </w:p>
    <w:p>
      <w:pPr>
        <w:numPr>
          <w:ilvl w:val="0"/>
          <w:numId w:val="1002"/>
        </w:numPr>
        <w:pStyle w:val="Compact"/>
      </w:pPr>
      <w:r>
        <w:t xml:space="preserve">Temporary fencing, signage, and site access roads.</w:t>
      </w:r>
    </w:p>
    <w:p>
      <w:pPr>
        <w:numPr>
          <w:ilvl w:val="0"/>
          <w:numId w:val="1002"/>
        </w:numPr>
        <w:pStyle w:val="Compact"/>
      </w:pPr>
      <w:r>
        <w:t xml:space="preserve">Utility locates and temporary utility connections.</w:t>
      </w:r>
    </w:p>
    <w:p>
      <w:pPr>
        <w:pStyle w:val="Heading3"/>
      </w:pPr>
      <w:bookmarkStart w:id="26" w:name="foundation"/>
      <w:r>
        <w:t xml:space="preserve">3. Foundation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Excavation and soil stabilization.</w:t>
      </w:r>
    </w:p>
    <w:p>
      <w:pPr>
        <w:numPr>
          <w:ilvl w:val="0"/>
          <w:numId w:val="1003"/>
        </w:numPr>
        <w:pStyle w:val="Compact"/>
      </w:pPr>
      <w:r>
        <w:t xml:space="preserve">Installation of deep pile and spread footing foundations.</w:t>
      </w:r>
    </w:p>
    <w:p>
      <w:pPr>
        <w:numPr>
          <w:ilvl w:val="0"/>
          <w:numId w:val="1003"/>
        </w:numPr>
        <w:pStyle w:val="Compact"/>
      </w:pPr>
      <w:r>
        <w:t xml:space="preserve">Pouring of reinforced concrete slabs and grade beams.</w:t>
      </w:r>
    </w:p>
    <w:p>
      <w:pPr>
        <w:numPr>
          <w:ilvl w:val="0"/>
          <w:numId w:val="1003"/>
        </w:numPr>
        <w:pStyle w:val="Compact"/>
      </w:pPr>
      <w:r>
        <w:t xml:space="preserve">Damp-proofing and foundation insulation.</w:t>
      </w:r>
    </w:p>
    <w:p>
      <w:pPr>
        <w:pStyle w:val="Heading3"/>
      </w:pPr>
      <w:bookmarkStart w:id="27" w:name="structural-steel"/>
      <w:r>
        <w:t xml:space="preserve">4. Structural Steel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Fabrication and erection of steel frame superstructure.</w:t>
      </w:r>
    </w:p>
    <w:p>
      <w:pPr>
        <w:numPr>
          <w:ilvl w:val="0"/>
          <w:numId w:val="1004"/>
        </w:numPr>
        <w:pStyle w:val="Compact"/>
      </w:pPr>
      <w:r>
        <w:t xml:space="preserve">Installation of steel decking, stairs, and handrails.</w:t>
      </w:r>
    </w:p>
    <w:p>
      <w:pPr>
        <w:numPr>
          <w:ilvl w:val="0"/>
          <w:numId w:val="1004"/>
        </w:numPr>
        <w:pStyle w:val="Compact"/>
      </w:pPr>
      <w:r>
        <w:t xml:space="preserve">Fireproofing of structural elements.</w:t>
      </w:r>
    </w:p>
    <w:p>
      <w:pPr>
        <w:pStyle w:val="Heading3"/>
      </w:pPr>
      <w:bookmarkStart w:id="28" w:name="mep-mechanical-electrical-plumbing"/>
      <w:r>
        <w:t xml:space="preserve">5. MEP (Mechanical, Electrical, Plumbing)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Installation of HVAC systems, including high-efficiency chillers and air handlers.</w:t>
      </w:r>
    </w:p>
    <w:p>
      <w:pPr>
        <w:numPr>
          <w:ilvl w:val="0"/>
          <w:numId w:val="1005"/>
        </w:numPr>
        <w:pStyle w:val="Compact"/>
      </w:pPr>
      <w:r>
        <w:t xml:space="preserve">Electrical distribution, backup generators, and UPS systems.</w:t>
      </w:r>
    </w:p>
    <w:p>
      <w:pPr>
        <w:numPr>
          <w:ilvl w:val="0"/>
          <w:numId w:val="1005"/>
        </w:numPr>
        <w:pStyle w:val="Compact"/>
      </w:pPr>
      <w:r>
        <w:t xml:space="preserve">Data and communications cabling, server room infrastructure.</w:t>
      </w:r>
    </w:p>
    <w:p>
      <w:pPr>
        <w:numPr>
          <w:ilvl w:val="0"/>
          <w:numId w:val="1005"/>
        </w:numPr>
        <w:pStyle w:val="Compact"/>
      </w:pPr>
      <w:r>
        <w:t xml:space="preserve">Plumbing for labs, restrooms, and kitchens.</w:t>
      </w:r>
    </w:p>
    <w:p>
      <w:pPr>
        <w:numPr>
          <w:ilvl w:val="0"/>
          <w:numId w:val="1005"/>
        </w:numPr>
        <w:pStyle w:val="Compact"/>
      </w:pPr>
      <w:r>
        <w:t xml:space="preserve">Fire protection and alarm systems.</w:t>
      </w:r>
    </w:p>
    <w:p>
      <w:pPr>
        <w:pStyle w:val="Heading3"/>
      </w:pPr>
      <w:bookmarkStart w:id="29" w:name="interior-finishes"/>
      <w:r>
        <w:t xml:space="preserve">6. Interior Finishes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Framing and installation of drywall partitions.</w:t>
      </w:r>
    </w:p>
    <w:p>
      <w:pPr>
        <w:numPr>
          <w:ilvl w:val="0"/>
          <w:numId w:val="1006"/>
        </w:numPr>
        <w:pStyle w:val="Compact"/>
      </w:pPr>
      <w:r>
        <w:t xml:space="preserve">High-performance glazing and acoustic treatments.</w:t>
      </w:r>
    </w:p>
    <w:p>
      <w:pPr>
        <w:numPr>
          <w:ilvl w:val="0"/>
          <w:numId w:val="1006"/>
        </w:numPr>
        <w:pStyle w:val="Compact"/>
      </w:pPr>
      <w:r>
        <w:t xml:space="preserve">Flooring (epoxy, carpet, tile, raised access floors).</w:t>
      </w:r>
    </w:p>
    <w:p>
      <w:pPr>
        <w:numPr>
          <w:ilvl w:val="0"/>
          <w:numId w:val="1006"/>
        </w:numPr>
        <w:pStyle w:val="Compact"/>
      </w:pPr>
      <w:r>
        <w:t xml:space="preserve">Ceilings, millwork, and custom casework.</w:t>
      </w:r>
    </w:p>
    <w:p>
      <w:pPr>
        <w:numPr>
          <w:ilvl w:val="0"/>
          <w:numId w:val="1006"/>
        </w:numPr>
        <w:pStyle w:val="Compact"/>
      </w:pPr>
      <w:r>
        <w:t xml:space="preserve">Painting, wall coverings, and specialty finishes.</w:t>
      </w:r>
    </w:p>
    <w:p>
      <w:pPr>
        <w:pStyle w:val="Heading3"/>
      </w:pPr>
      <w:bookmarkStart w:id="30" w:name="landscaping"/>
      <w:r>
        <w:t xml:space="preserve">7. Landscaping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Site grading and soil preparation for planting.</w:t>
      </w:r>
    </w:p>
    <w:p>
      <w:pPr>
        <w:numPr>
          <w:ilvl w:val="0"/>
          <w:numId w:val="1007"/>
        </w:numPr>
        <w:pStyle w:val="Compact"/>
      </w:pPr>
      <w:r>
        <w:t xml:space="preserve">Installation of native and drought-tolerant plantings.</w:t>
      </w:r>
    </w:p>
    <w:p>
      <w:pPr>
        <w:numPr>
          <w:ilvl w:val="0"/>
          <w:numId w:val="1007"/>
        </w:numPr>
        <w:pStyle w:val="Compact"/>
      </w:pPr>
      <w:r>
        <w:t xml:space="preserve">Irrigation systems and site lighting.</w:t>
      </w:r>
    </w:p>
    <w:p>
      <w:pPr>
        <w:numPr>
          <w:ilvl w:val="0"/>
          <w:numId w:val="1007"/>
        </w:numPr>
        <w:pStyle w:val="Compact"/>
      </w:pPr>
      <w:r>
        <w:t xml:space="preserve">Construction of walkways, plazas, and outdoor seating areas.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st-breakdown"/>
      <w:r>
        <w:t xml:space="preserve">Cost Breakdown</w:t>
      </w:r>
      <w:bookmarkEnd w:id="31"/>
    </w:p>
    <w:tbl>
      <w:tblPr>
        <w:tblStyle w:val="Table"/>
        <w:tblW w:type="pct" w:w="5000.0"/>
        <w:tblLook w:firstRow="1"/>
      </w:tblPr>
      <w:tblGrid>
        <w:gridCol w:w="1307"/>
        <w:gridCol w:w="1017"/>
        <w:gridCol w:w="1525"/>
        <w:gridCol w:w="1235"/>
        <w:gridCol w:w="1525"/>
        <w:gridCol w:w="13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Labor (Hours)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 Cost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Equipment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Subcontractor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Demolition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$180,000.00</w:t>
            </w:r>
          </w:p>
        </w:tc>
        <w:tc>
          <w:p>
            <w:pPr>
              <w:pStyle w:val="Compact"/>
              <w:jc w:val="left"/>
            </w:pPr>
            <w:r>
              <w:t xml:space="preserve">$75,000.00</w:t>
            </w:r>
          </w:p>
        </w:tc>
        <w:tc>
          <w:p>
            <w:pPr>
              <w:pStyle w:val="Compact"/>
              <w:jc w:val="left"/>
            </w:pPr>
            <w:r>
              <w:t xml:space="preserve">$60,000.00</w:t>
            </w:r>
          </w:p>
        </w:tc>
        <w:tc>
          <w:p>
            <w:pPr>
              <w:pStyle w:val="Compact"/>
              <w:jc w:val="left"/>
            </w:pPr>
            <w:r>
              <w:t xml:space="preserve">$315,000.00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Prep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$150,000.00</w:t>
            </w:r>
          </w:p>
        </w:tc>
        <w:tc>
          <w:p>
            <w:pPr>
              <w:pStyle w:val="Compact"/>
              <w:jc w:val="left"/>
            </w:pPr>
            <w:r>
              <w:t xml:space="preserve">$80,000.00</w:t>
            </w:r>
          </w:p>
        </w:tc>
        <w:tc>
          <w:p>
            <w:pPr>
              <w:pStyle w:val="Compact"/>
              <w:jc w:val="left"/>
            </w:pPr>
            <w:r>
              <w:t xml:space="preserve">$50,000.00</w:t>
            </w:r>
          </w:p>
        </w:tc>
        <w:tc>
          <w:p>
            <w:pPr>
              <w:pStyle w:val="Compact"/>
              <w:jc w:val="left"/>
            </w:pPr>
            <w:r>
              <w:t xml:space="preserve">$280,000.00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p>
            <w:pPr>
              <w:pStyle w:val="Compact"/>
              <w:jc w:val="left"/>
            </w:pPr>
            <w:r>
              <w:t xml:space="preserve">$320,000.00</w:t>
            </w:r>
          </w:p>
        </w:tc>
        <w:tc>
          <w:p>
            <w:pPr>
              <w:pStyle w:val="Compact"/>
              <w:jc w:val="left"/>
            </w:pPr>
            <w:r>
              <w:t xml:space="preserve">$120,000.00</w:t>
            </w:r>
          </w:p>
        </w:tc>
        <w:tc>
          <w:p>
            <w:pPr>
              <w:pStyle w:val="Compact"/>
              <w:jc w:val="left"/>
            </w:pPr>
            <w:r>
              <w:t xml:space="preserve">$90,000.00</w:t>
            </w:r>
          </w:p>
        </w:tc>
        <w:tc>
          <w:p>
            <w:pPr>
              <w:pStyle w:val="Compact"/>
              <w:jc w:val="left"/>
            </w:pPr>
            <w:r>
              <w:t xml:space="preserve">$530,000.00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Steel</w:t>
            </w:r>
          </w:p>
        </w:tc>
        <w:tc>
          <w:p>
            <w:pPr>
              <w:pStyle w:val="Compact"/>
              <w:jc w:val="left"/>
            </w:pPr>
            <w:r>
              <w:t xml:space="preserve">2,200</w:t>
            </w:r>
          </w:p>
        </w:tc>
        <w:tc>
          <w:p>
            <w:pPr>
              <w:pStyle w:val="Compact"/>
              <w:jc w:val="left"/>
            </w:pPr>
            <w:r>
              <w:t xml:space="preserve">$600,000.00</w:t>
            </w:r>
          </w:p>
        </w:tc>
        <w:tc>
          <w:p>
            <w:pPr>
              <w:pStyle w:val="Compact"/>
              <w:jc w:val="left"/>
            </w:pPr>
            <w:r>
              <w:t xml:space="preserve">$200,000.00</w:t>
            </w:r>
          </w:p>
        </w:tc>
        <w:tc>
          <w:p>
            <w:pPr>
              <w:pStyle w:val="Compact"/>
              <w:jc w:val="left"/>
            </w:pPr>
            <w:r>
              <w:t xml:space="preserve">$180,000.00</w:t>
            </w:r>
          </w:p>
        </w:tc>
        <w:tc>
          <w:p>
            <w:pPr>
              <w:pStyle w:val="Compact"/>
              <w:jc w:val="left"/>
            </w:pPr>
            <w:r>
              <w:t xml:space="preserve">$980,000.00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MEP</w:t>
            </w:r>
          </w:p>
        </w:tc>
        <w:tc>
          <w:p>
            <w:pPr>
              <w:pStyle w:val="Compact"/>
              <w:jc w:val="left"/>
            </w:pPr>
            <w:r>
              <w:t xml:space="preserve">3,500</w:t>
            </w:r>
          </w:p>
        </w:tc>
        <w:tc>
          <w:p>
            <w:pPr>
              <w:pStyle w:val="Compact"/>
              <w:jc w:val="left"/>
            </w:pPr>
            <w:r>
              <w:t xml:space="preserve">$1,200,000.00</w:t>
            </w:r>
          </w:p>
        </w:tc>
        <w:tc>
          <w:p>
            <w:pPr>
              <w:pStyle w:val="Compact"/>
              <w:jc w:val="left"/>
            </w:pPr>
            <w:r>
              <w:t xml:space="preserve">$350,000.00</w:t>
            </w:r>
          </w:p>
        </w:tc>
        <w:tc>
          <w:p>
            <w:pPr>
              <w:pStyle w:val="Compact"/>
              <w:jc w:val="left"/>
            </w:pPr>
            <w:r>
              <w:t xml:space="preserve">$400,000.00</w:t>
            </w:r>
          </w:p>
        </w:tc>
        <w:tc>
          <w:p>
            <w:pPr>
              <w:pStyle w:val="Compact"/>
              <w:jc w:val="left"/>
            </w:pPr>
            <w:r>
              <w:t xml:space="preserve">$1,950,000.00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Interior Finishes</w:t>
            </w:r>
          </w:p>
        </w:tc>
        <w:tc>
          <w:p>
            <w:pPr>
              <w:pStyle w:val="Compact"/>
              <w:jc w:val="left"/>
            </w:pPr>
            <w:r>
              <w:t xml:space="preserve">2,800</w:t>
            </w:r>
          </w:p>
        </w:tc>
        <w:tc>
          <w:p>
            <w:pPr>
              <w:pStyle w:val="Compact"/>
              <w:jc w:val="left"/>
            </w:pPr>
            <w:r>
              <w:t xml:space="preserve">$700,000.00</w:t>
            </w:r>
          </w:p>
        </w:tc>
        <w:tc>
          <w:p>
            <w:pPr>
              <w:pStyle w:val="Compact"/>
              <w:jc w:val="left"/>
            </w:pPr>
            <w:r>
              <w:t xml:space="preserve">$180,000.00</w:t>
            </w:r>
          </w:p>
        </w:tc>
        <w:tc>
          <w:p>
            <w:pPr>
              <w:pStyle w:val="Compact"/>
              <w:jc w:val="left"/>
            </w:pPr>
            <w:r>
              <w:t xml:space="preserve">$220,000.00</w:t>
            </w:r>
          </w:p>
        </w:tc>
        <w:tc>
          <w:p>
            <w:pPr>
              <w:pStyle w:val="Compact"/>
              <w:jc w:val="left"/>
            </w:pPr>
            <w:r>
              <w:t xml:space="preserve">$1,100,000.00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Landscaping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$120,000.00</w:t>
            </w:r>
          </w:p>
        </w:tc>
        <w:tc>
          <w:p>
            <w:pPr>
              <w:pStyle w:val="Compact"/>
              <w:jc w:val="left"/>
            </w:pPr>
            <w:r>
              <w:t xml:space="preserve">$40,000.00</w:t>
            </w:r>
          </w:p>
        </w:tc>
        <w:tc>
          <w:p>
            <w:pPr>
              <w:pStyle w:val="Compact"/>
              <w:jc w:val="left"/>
            </w:pPr>
            <w:r>
              <w:t xml:space="preserve">$60,000.00</w:t>
            </w:r>
          </w:p>
        </w:tc>
        <w:tc>
          <w:p>
            <w:pPr>
              <w:pStyle w:val="Compact"/>
              <w:jc w:val="left"/>
            </w:pPr>
            <w:r>
              <w:t xml:space="preserve">$220,000.00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</w:t>
            </w:r>
          </w:p>
        </w:tc>
        <w:tc>
          <w:p>
            <w:pPr>
              <w:pStyle w:val="Compact"/>
              <w:jc w:val="left"/>
            </w:pPr>
            <w:r>
              <w:t xml:space="preserve">12,800</w:t>
            </w:r>
          </w:p>
        </w:tc>
        <w:tc>
          <w:p>
            <w:pPr>
              <w:pStyle w:val="Compact"/>
              <w:jc w:val="left"/>
            </w:pPr>
            <w:r>
              <w:t xml:space="preserve">$3,270,000.00</w:t>
            </w:r>
          </w:p>
        </w:tc>
        <w:tc>
          <w:p>
            <w:pPr>
              <w:pStyle w:val="Compact"/>
              <w:jc w:val="left"/>
            </w:pPr>
            <w:r>
              <w:t xml:space="preserve">$1,045,000.00</w:t>
            </w:r>
          </w:p>
        </w:tc>
        <w:tc>
          <w:p>
            <w:pPr>
              <w:pStyle w:val="Compact"/>
              <w:jc w:val="left"/>
            </w:pPr>
            <w:r>
              <w:t xml:space="preserve">$1,060,000.00</w:t>
            </w:r>
          </w:p>
        </w:tc>
        <w:tc>
          <w:p>
            <w:pPr>
              <w:pStyle w:val="Compact"/>
              <w:jc w:val="left"/>
            </w:pPr>
            <w:r>
              <w:t xml:space="preserve">$5,375,000.00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Permits &amp; Fees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$150,000.00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$150,000.00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Overhead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$215,000.00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$215,000.00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Contingency (313%)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$16,825,375.00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$16,825,375.00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Bid Amount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$22,565,375.00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ayment-schedule"/>
      <w:r>
        <w:t xml:space="preserve">Payment Schedule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Monthly Progress Payments:</w:t>
      </w:r>
      <w:r>
        <w:t xml:space="preserve"> </w:t>
      </w:r>
      <w:r>
        <w:t xml:space="preserve">Based on percentage of work completed, certified by project manager.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Retention:</w:t>
      </w:r>
      <w:r>
        <w:t xml:space="preserve"> </w:t>
      </w:r>
      <w:r>
        <w:t xml:space="preserve">10% of each progress payment retained until final completion and acceptance.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Final Payment:</w:t>
      </w:r>
      <w:r>
        <w:t xml:space="preserve"> </w:t>
      </w:r>
      <w:r>
        <w:t xml:space="preserve">Upon substantial completion, punch list resolution, and submission of all closeout documents.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roject-timeline"/>
      <w:r>
        <w:t xml:space="preserve">Project Timeline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Estimated Start Date:</w:t>
      </w:r>
      <w:r>
        <w:t xml:space="preserve"> </w:t>
      </w:r>
      <w:r>
        <w:t xml:space="preserve">September 1, 2025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Estimated Completion Date:</w:t>
      </w:r>
      <w:r>
        <w:t xml:space="preserve"> </w:t>
      </w:r>
      <w:r>
        <w:t xml:space="preserve">December 15,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arranty-information"/>
      <w:r>
        <w:t xml:space="preserve">Warranty Information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General Warranty:</w:t>
      </w:r>
      <w:r>
        <w:t xml:space="preserve"> </w:t>
      </w:r>
      <w:r>
        <w:t xml:space="preserve">1-year warranty on all workmanship and materials from date of substantial completion.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Manufacturer Warranties:</w:t>
      </w:r>
      <w:r>
        <w:t xml:space="preserve"> </w:t>
      </w:r>
      <w:r>
        <w:t xml:space="preserve">As provided by product suppliers.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xclusions"/>
      <w:r>
        <w:t xml:space="preserve">Exclusions</w:t>
      </w:r>
      <w:bookmarkEnd w:id="35"/>
    </w:p>
    <w:p>
      <w:pPr>
        <w:numPr>
          <w:ilvl w:val="0"/>
          <w:numId w:val="1011"/>
        </w:numPr>
        <w:pStyle w:val="Compact"/>
      </w:pPr>
      <w:r>
        <w:t xml:space="preserve">Unforeseen site conditions (e.g., hazardous materials not identified in pre-construction surveys)</w:t>
      </w:r>
    </w:p>
    <w:p>
      <w:pPr>
        <w:numPr>
          <w:ilvl w:val="0"/>
          <w:numId w:val="1011"/>
        </w:numPr>
        <w:pStyle w:val="Compact"/>
      </w:pPr>
      <w:r>
        <w:t xml:space="preserve">Owner-furnished equipment and furniture</w:t>
      </w:r>
    </w:p>
    <w:p>
      <w:pPr>
        <w:numPr>
          <w:ilvl w:val="0"/>
          <w:numId w:val="1011"/>
        </w:numPr>
        <w:pStyle w:val="Compact"/>
      </w:pPr>
      <w:r>
        <w:t xml:space="preserve">Utility company connection fees</w:t>
      </w:r>
    </w:p>
    <w:p>
      <w:pPr>
        <w:numPr>
          <w:ilvl w:val="0"/>
          <w:numId w:val="1011"/>
        </w:numPr>
        <w:pStyle w:val="Compact"/>
      </w:pPr>
      <w:r>
        <w:t xml:space="preserve">Design changes after contract execution</w:t>
      </w:r>
    </w:p>
    <w:p>
      <w:pPr>
        <w:numPr>
          <w:ilvl w:val="0"/>
          <w:numId w:val="1011"/>
        </w:numPr>
        <w:pStyle w:val="Compact"/>
      </w:pPr>
      <w:r>
        <w:t xml:space="preserve">Security services during construction</w:t>
      </w:r>
    </w:p>
    <w:p>
      <w:pPr>
        <w:numPr>
          <w:ilvl w:val="0"/>
          <w:numId w:val="1011"/>
        </w:numPr>
        <w:pStyle w:val="Compact"/>
      </w:pPr>
      <w:r>
        <w:t xml:space="preserve">Sales tax (unless otherwise specified)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bid-validity-period"/>
      <w:r>
        <w:t xml:space="preserve">Bid Validity Period</w:t>
      </w:r>
      <w:bookmarkEnd w:id="36"/>
    </w:p>
    <w:p>
      <w:pPr>
        <w:pStyle w:val="FirstParagraph"/>
      </w:pPr>
      <w:r>
        <w:t xml:space="preserve">This proposal is valid for 60 days from the date of submission.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mpany-authorization"/>
      <w:r>
        <w:t xml:space="preserve">Company Authorization</w:t>
      </w:r>
      <w:bookmarkEnd w:id="37"/>
    </w:p>
    <w:p>
      <w:pPr>
        <w:pStyle w:val="FirstParagraph"/>
      </w:pPr>
      <w:r>
        <w:rPr>
          <w:b/>
        </w:rPr>
        <w:t xml:space="preserve">Axiom BioPharma Construction Group</w:t>
      </w:r>
      <w:r>
        <w:br/>
      </w:r>
      <w:r>
        <w:t xml:space="preserve">1450 Meridian Avenue, Suite 500</w:t>
      </w:r>
      <w:r>
        <w:br/>
      </w:r>
      <w:r>
        <w:t xml:space="preserve">San Jose, CA 95134</w:t>
      </w:r>
      <w:r>
        <w:br/>
      </w:r>
      <w:r>
        <w:t xml:space="preserve">Phone: (408) 555-0123</w:t>
      </w:r>
      <w:r>
        <w:br/>
      </w:r>
      <w:r>
        <w:t xml:space="preserve">Email: bids@axiombiopharma.com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Authorized Signature:</w:t>
      </w:r>
      <w:r>
        <w:br/>
      </w:r>
      <w:r>
        <w:t xml:space="preserve">______________________________</w:t>
      </w:r>
      <w:r>
        <w:br/>
      </w:r>
      <w:r>
        <w:rPr>
          <w:b/>
        </w:rPr>
        <w:t xml:space="preserve">Name:</w:t>
      </w:r>
      <w:r>
        <w:t xml:space="preserve"> </w:t>
      </w:r>
      <w:r>
        <w:t xml:space="preserve">Jordan Lee</w:t>
      </w:r>
      <w:r>
        <w:br/>
      </w:r>
      <w:r>
        <w:rPr>
          <w:b/>
        </w:rPr>
        <w:t xml:space="preserve">Title:</w:t>
      </w:r>
      <w:r>
        <w:t xml:space="preserve"> </w:t>
      </w:r>
      <w:r>
        <w:t xml:space="preserve">Director of Preconstruction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July 2,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E685915-444A-4855-A49B-E3508F9434FB}"/>
</file>

<file path=customXml/itemProps2.xml><?xml version="1.0" encoding="utf-8"?>
<ds:datastoreItem xmlns:ds="http://schemas.openxmlformats.org/officeDocument/2006/customXml" ds:itemID="{985C70E7-C016-4154-A5B8-1F4B2DBAB323}"/>
</file>

<file path=customXml/itemProps3.xml><?xml version="1.0" encoding="utf-8"?>
<ds:datastoreItem xmlns:ds="http://schemas.openxmlformats.org/officeDocument/2006/customXml" ds:itemID="{4A8C8488-6BEC-4722-BA51-E0E79E252A00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2025-07-03T02:08:40Z</dcterms:created>
  <dcterms:modified xsi:type="dcterms:W3CDTF">2025-07-03T02:08:40Z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