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 Id="rId6" Type="http://schemas.microsoft.com/office/2020/02/relationships/classificationlabels" Target="docMetadata/LabelInfo.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Solara Energy Group</w:t>
      </w:r>
      <w:r>
        <w:br/>
      </w:r>
      <w:r>
        <w:t xml:space="preserve">1234 Solar Drive, Suite 200</w:t>
      </w:r>
      <w:r>
        <w:br/>
      </w:r>
      <w:r>
        <w:t xml:space="preserve">San Francisco, CA 94107</w:t>
      </w:r>
      <w:r>
        <w:br/>
      </w:r>
      <w:r>
        <w:t xml:space="preserve">Phone: (415) 555-0199</w:t>
      </w:r>
      <w:r>
        <w:br/>
      </w:r>
      <w:r>
        <w:t xml:space="preserve">Email: bids@solaraenergygroup.com</w:t>
      </w:r>
    </w:p>
    <w:p>
      <w:r>
        <w:pict>
          <v:rect style="width:0;height:1.5pt" o:hralign="center" o:hrstd="t" o:hr="t"/>
        </w:pict>
      </w:r>
    </w:p>
    <w:p>
      <w:pPr>
        <w:pStyle w:val="Heading3"/>
      </w:pPr>
      <w:bookmarkStart w:id="20" w:name="construction-bid-proposal"/>
      <w:r>
        <w:t xml:space="preserve">Construction Bid Proposal</w:t>
      </w:r>
      <w:bookmarkEnd w:id="20"/>
    </w:p>
    <w:p>
      <w:pPr>
        <w:pStyle w:val="FirstParagraph"/>
      </w:pPr>
      <w:r>
        <w:rPr>
          <w:b/>
        </w:rPr>
        <w:t xml:space="preserve">Bid Proposal Number:</w:t>
      </w:r>
      <w:r>
        <w:t xml:space="preserve"> </w:t>
      </w:r>
      <w:r>
        <w:t xml:space="preserve">BPR-2025-07-02-80497</w:t>
      </w:r>
      <w:r>
        <w:br/>
      </w:r>
      <w:r>
        <w:rPr>
          <w:b/>
        </w:rPr>
        <w:t xml:space="preserve">Date of Submission:</w:t>
      </w:r>
      <w:r>
        <w:t xml:space="preserve"> </w:t>
      </w:r>
      <w:r>
        <w:t xml:space="preserve">July 2, 2025</w:t>
      </w:r>
    </w:p>
    <w:p>
      <w:r>
        <w:pict>
          <v:rect style="width:0;height:1.5pt" o:hralign="center" o:hrstd="t" o:hr="t"/>
        </w:pict>
      </w:r>
    </w:p>
    <w:p>
      <w:pPr>
        <w:pStyle w:val="Heading4"/>
      </w:pPr>
      <w:bookmarkStart w:id="21" w:name="project-location-and-description"/>
      <w:r>
        <w:t xml:space="preserve">Project Location and Description</w:t>
      </w:r>
      <w:bookmarkEnd w:id="21"/>
    </w:p>
    <w:p>
      <w:pPr>
        <w:pStyle w:val="FirstParagraph"/>
      </w:pPr>
      <w:r>
        <w:rPr>
          <w:b/>
        </w:rPr>
        <w:t xml:space="preserve">Project Name:</w:t>
      </w:r>
      <w:r>
        <w:t xml:space="preserve"> </w:t>
      </w:r>
      <w:r>
        <w:t xml:space="preserve">Next-Gen AI Research Facility</w:t>
      </w:r>
      <w:r>
        <w:br/>
      </w:r>
      <w:r>
        <w:rPr>
          <w:b/>
        </w:rPr>
        <w:t xml:space="preserve">Project Address:</w:t>
      </w:r>
      <w:r>
        <w:t xml:space="preserve"> </w:t>
      </w:r>
      <w:r>
        <w:t xml:space="preserve">800 Innovation Parkway, Palo Alto, CA 94303</w:t>
      </w:r>
      <w:r>
        <w:br/>
      </w:r>
      <w:r>
        <w:rPr>
          <w:b/>
        </w:rPr>
        <w:t xml:space="preserve">Project Description:</w:t>
      </w:r>
      <w:r>
        <w:br/>
      </w:r>
      <w:r>
        <w:t xml:space="preserve">Construction of a state-of-the-art, 120,000 sq. ft. commercial research facility designed for advanced artificial intelligence research and development. The project includes demolition of existing structures, site preparation, new foundation and structural steel, full MEP systems, high-performance interior finishes, and sustainable landscaping.</w:t>
      </w:r>
    </w:p>
    <w:p>
      <w:r>
        <w:pict>
          <v:rect style="width:0;height:1.5pt" o:hralign="center" o:hrstd="t" o:hr="t"/>
        </w:pict>
      </w:r>
    </w:p>
    <w:p>
      <w:pPr>
        <w:pStyle w:val="Heading4"/>
      </w:pPr>
      <w:bookmarkStart w:id="22" w:name="client-contact-information"/>
      <w:r>
        <w:t xml:space="preserve">Client Contact Information</w:t>
      </w:r>
      <w:bookmarkEnd w:id="22"/>
    </w:p>
    <w:p>
      <w:pPr>
        <w:pStyle w:val="FirstParagraph"/>
      </w:pPr>
      <w:r>
        <w:rPr>
          <w:b/>
        </w:rPr>
        <w:t xml:space="preserve">Client:</w:t>
      </w:r>
      <w:r>
        <w:t xml:space="preserve"> </w:t>
      </w:r>
      <w:r>
        <w:t xml:space="preserve">Apex Innovations</w:t>
      </w:r>
      <w:r>
        <w:br/>
      </w:r>
      <w:r>
        <w:rPr>
          <w:b/>
        </w:rPr>
        <w:t xml:space="preserve">Contact Person:</w:t>
      </w:r>
      <w:r>
        <w:t xml:space="preserve"> </w:t>
      </w:r>
      <w:r>
        <w:t xml:space="preserve">Dr. Emily Chen, Director of Facilities</w:t>
      </w:r>
      <w:r>
        <w:br/>
      </w:r>
      <w:r>
        <w:rPr>
          <w:b/>
        </w:rPr>
        <w:t xml:space="preserve">Address:</w:t>
      </w:r>
      <w:r>
        <w:t xml:space="preserve"> </w:t>
      </w:r>
      <w:r>
        <w:t xml:space="preserve">500 Tech Lane, Palo Alto, CA 94303</w:t>
      </w:r>
      <w:r>
        <w:br/>
      </w:r>
      <w:r>
        <w:rPr>
          <w:b/>
        </w:rPr>
        <w:t xml:space="preserve">Phone:</w:t>
      </w:r>
      <w:r>
        <w:t xml:space="preserve"> </w:t>
      </w:r>
      <w:r>
        <w:t xml:space="preserve">(650) 555-0123</w:t>
      </w:r>
      <w:r>
        <w:br/>
      </w:r>
      <w:r>
        <w:rPr>
          <w:b/>
        </w:rPr>
        <w:t xml:space="preserve">Email:</w:t>
      </w:r>
      <w:r>
        <w:t xml:space="preserve"> </w:t>
      </w:r>
      <w:r>
        <w:t xml:space="preserve">echen@apexinnovations.com</w:t>
      </w:r>
    </w:p>
    <w:p>
      <w:r>
        <w:pict>
          <v:rect style="width:0;height:1.5pt" o:hralign="center" o:hrstd="t" o:hr="t"/>
        </w:pict>
      </w:r>
    </w:p>
    <w:p>
      <w:pPr>
        <w:pStyle w:val="Heading3"/>
      </w:pPr>
      <w:bookmarkStart w:id="23" w:name="scope-of-work"/>
      <w:r>
        <w:t xml:space="preserve">Scope of Work</w:t>
      </w:r>
      <w:bookmarkEnd w:id="23"/>
    </w:p>
    <w:p>
      <w:pPr>
        <w:pStyle w:val="Heading4"/>
      </w:pPr>
      <w:bookmarkStart w:id="24" w:name="demolition"/>
      <w:r>
        <w:t xml:space="preserve">1. Demolition</w:t>
      </w:r>
      <w:bookmarkEnd w:id="24"/>
    </w:p>
    <w:p>
      <w:pPr>
        <w:numPr>
          <w:ilvl w:val="0"/>
          <w:numId w:val="1001"/>
        </w:numPr>
        <w:pStyle w:val="Compact"/>
      </w:pPr>
      <w:r>
        <w:t xml:space="preserve">Secure site and obtain necessary demolition permits.</w:t>
      </w:r>
    </w:p>
    <w:p>
      <w:pPr>
        <w:numPr>
          <w:ilvl w:val="0"/>
          <w:numId w:val="1001"/>
        </w:numPr>
        <w:pStyle w:val="Compact"/>
      </w:pPr>
      <w:r>
        <w:t xml:space="preserve">Disconnect and cap all utilities.</w:t>
      </w:r>
    </w:p>
    <w:p>
      <w:pPr>
        <w:numPr>
          <w:ilvl w:val="0"/>
          <w:numId w:val="1001"/>
        </w:numPr>
        <w:pStyle w:val="Compact"/>
      </w:pPr>
      <w:r>
        <w:t xml:space="preserve">Demolish existing 40,000 sq. ft. structure and remove debris.</w:t>
      </w:r>
    </w:p>
    <w:p>
      <w:pPr>
        <w:numPr>
          <w:ilvl w:val="0"/>
          <w:numId w:val="1001"/>
        </w:numPr>
        <w:pStyle w:val="Compact"/>
      </w:pPr>
      <w:r>
        <w:t xml:space="preserve">Remediate hazardous materials as required.</w:t>
      </w:r>
    </w:p>
    <w:p>
      <w:pPr>
        <w:numPr>
          <w:ilvl w:val="0"/>
          <w:numId w:val="1001"/>
        </w:numPr>
        <w:pStyle w:val="Compact"/>
      </w:pPr>
      <w:r>
        <w:t xml:space="preserve">Grade site to prepare for new construction.</w:t>
      </w:r>
    </w:p>
    <w:p>
      <w:pPr>
        <w:pStyle w:val="Heading4"/>
      </w:pPr>
      <w:bookmarkStart w:id="25" w:name="site-preparation"/>
      <w:r>
        <w:t xml:space="preserve">2. Site Preparation</w:t>
      </w:r>
      <w:bookmarkEnd w:id="25"/>
    </w:p>
    <w:p>
      <w:pPr>
        <w:numPr>
          <w:ilvl w:val="0"/>
          <w:numId w:val="1002"/>
        </w:numPr>
        <w:pStyle w:val="Compact"/>
      </w:pPr>
      <w:r>
        <w:t xml:space="preserve">Survey and stake out building footprint.</w:t>
      </w:r>
    </w:p>
    <w:p>
      <w:pPr>
        <w:numPr>
          <w:ilvl w:val="0"/>
          <w:numId w:val="1002"/>
        </w:numPr>
        <w:pStyle w:val="Compact"/>
      </w:pPr>
      <w:r>
        <w:t xml:space="preserve">Excavate and backfill as per geotechnical report.</w:t>
      </w:r>
    </w:p>
    <w:p>
      <w:pPr>
        <w:numPr>
          <w:ilvl w:val="0"/>
          <w:numId w:val="1002"/>
        </w:numPr>
        <w:pStyle w:val="Compact"/>
      </w:pPr>
      <w:r>
        <w:t xml:space="preserve">Install temporary fencing, signage, and erosion control measures.</w:t>
      </w:r>
    </w:p>
    <w:p>
      <w:pPr>
        <w:numPr>
          <w:ilvl w:val="0"/>
          <w:numId w:val="1002"/>
        </w:numPr>
        <w:pStyle w:val="Compact"/>
      </w:pPr>
      <w:r>
        <w:t xml:space="preserve">Prepare access roads and staging areas.</w:t>
      </w:r>
    </w:p>
    <w:p>
      <w:pPr>
        <w:pStyle w:val="Heading4"/>
      </w:pPr>
      <w:bookmarkStart w:id="26" w:name="foundation"/>
      <w:r>
        <w:t xml:space="preserve">3. Foundation</w:t>
      </w:r>
      <w:bookmarkEnd w:id="26"/>
    </w:p>
    <w:p>
      <w:pPr>
        <w:numPr>
          <w:ilvl w:val="0"/>
          <w:numId w:val="1003"/>
        </w:numPr>
        <w:pStyle w:val="Compact"/>
      </w:pPr>
      <w:r>
        <w:t xml:space="preserve">Excavate for footings and grade beams.</w:t>
      </w:r>
    </w:p>
    <w:p>
      <w:pPr>
        <w:numPr>
          <w:ilvl w:val="0"/>
          <w:numId w:val="1003"/>
        </w:numPr>
        <w:pStyle w:val="Compact"/>
      </w:pPr>
      <w:r>
        <w:t xml:space="preserve">Install formwork, rebar, and vapor barriers.</w:t>
      </w:r>
    </w:p>
    <w:p>
      <w:pPr>
        <w:numPr>
          <w:ilvl w:val="0"/>
          <w:numId w:val="1003"/>
        </w:numPr>
        <w:pStyle w:val="Compact"/>
      </w:pPr>
      <w:r>
        <w:t xml:space="preserve">Pour and cure concrete for foundations and slab-on-grade.</w:t>
      </w:r>
    </w:p>
    <w:p>
      <w:pPr>
        <w:numPr>
          <w:ilvl w:val="0"/>
          <w:numId w:val="1003"/>
        </w:numPr>
        <w:pStyle w:val="Compact"/>
      </w:pPr>
      <w:r>
        <w:t xml:space="preserve">Conduct compaction and concrete testing.</w:t>
      </w:r>
    </w:p>
    <w:p>
      <w:pPr>
        <w:pStyle w:val="Heading4"/>
      </w:pPr>
      <w:bookmarkStart w:id="27" w:name="structural-steel"/>
      <w:r>
        <w:t xml:space="preserve">4. Structural Steel</w:t>
      </w:r>
      <w:bookmarkEnd w:id="27"/>
    </w:p>
    <w:p>
      <w:pPr>
        <w:numPr>
          <w:ilvl w:val="0"/>
          <w:numId w:val="1004"/>
        </w:numPr>
        <w:pStyle w:val="Compact"/>
      </w:pPr>
      <w:r>
        <w:t xml:space="preserve">Fabricate and erect steel columns, beams, and joists.</w:t>
      </w:r>
    </w:p>
    <w:p>
      <w:pPr>
        <w:numPr>
          <w:ilvl w:val="0"/>
          <w:numId w:val="1004"/>
        </w:numPr>
        <w:pStyle w:val="Compact"/>
      </w:pPr>
      <w:r>
        <w:t xml:space="preserve">Install metal decking and shear connectors.</w:t>
      </w:r>
    </w:p>
    <w:p>
      <w:pPr>
        <w:numPr>
          <w:ilvl w:val="0"/>
          <w:numId w:val="1004"/>
        </w:numPr>
        <w:pStyle w:val="Compact"/>
      </w:pPr>
      <w:r>
        <w:t xml:space="preserve">Apply fireproofing to structural steel.</w:t>
      </w:r>
    </w:p>
    <w:p>
      <w:pPr>
        <w:numPr>
          <w:ilvl w:val="0"/>
          <w:numId w:val="1004"/>
        </w:numPr>
        <w:pStyle w:val="Compact"/>
      </w:pPr>
      <w:r>
        <w:t xml:space="preserve">Coordinate with MEP penetrations.</w:t>
      </w:r>
    </w:p>
    <w:p>
      <w:pPr>
        <w:pStyle w:val="Heading4"/>
      </w:pPr>
      <w:bookmarkStart w:id="28" w:name="mechanical-electrical-and-plumbing-mep"/>
      <w:r>
        <w:t xml:space="preserve">5. Mechanical, Electrical, and Plumbing (MEP)</w:t>
      </w:r>
      <w:bookmarkEnd w:id="28"/>
    </w:p>
    <w:p>
      <w:pPr>
        <w:numPr>
          <w:ilvl w:val="0"/>
          <w:numId w:val="1005"/>
        </w:numPr>
        <w:pStyle w:val="Compact"/>
      </w:pPr>
      <w:r>
        <w:t xml:space="preserve">Install underground utilities (water, sewer, electrical).</w:t>
      </w:r>
    </w:p>
    <w:p>
      <w:pPr>
        <w:numPr>
          <w:ilvl w:val="0"/>
          <w:numId w:val="1005"/>
        </w:numPr>
        <w:pStyle w:val="Compact"/>
      </w:pPr>
      <w:r>
        <w:t xml:space="preserve">Rough-in and finish HVAC, electrical, and plumbing systems.</w:t>
      </w:r>
    </w:p>
    <w:p>
      <w:pPr>
        <w:numPr>
          <w:ilvl w:val="0"/>
          <w:numId w:val="1005"/>
        </w:numPr>
        <w:pStyle w:val="Compact"/>
      </w:pPr>
      <w:r>
        <w:t xml:space="preserve">Set rooftop units, switchgear, and main panels.</w:t>
      </w:r>
    </w:p>
    <w:p>
      <w:pPr>
        <w:numPr>
          <w:ilvl w:val="0"/>
          <w:numId w:val="1005"/>
        </w:numPr>
        <w:pStyle w:val="Compact"/>
      </w:pPr>
      <w:r>
        <w:t xml:space="preserve">Commission all MEP systems for occupancy.</w:t>
      </w:r>
    </w:p>
    <w:p>
      <w:pPr>
        <w:pStyle w:val="Heading4"/>
      </w:pPr>
      <w:bookmarkStart w:id="29" w:name="interior-finishes"/>
      <w:r>
        <w:t xml:space="preserve">6. Interior Finishes</w:t>
      </w:r>
      <w:bookmarkEnd w:id="29"/>
    </w:p>
    <w:p>
      <w:pPr>
        <w:numPr>
          <w:ilvl w:val="0"/>
          <w:numId w:val="1006"/>
        </w:numPr>
        <w:pStyle w:val="Compact"/>
      </w:pPr>
      <w:r>
        <w:t xml:space="preserve">Frame and drywall all interior partitions.</w:t>
      </w:r>
    </w:p>
    <w:p>
      <w:pPr>
        <w:numPr>
          <w:ilvl w:val="0"/>
          <w:numId w:val="1006"/>
        </w:numPr>
        <w:pStyle w:val="Compact"/>
      </w:pPr>
      <w:r>
        <w:t xml:space="preserve">Install acoustic ceilings, flooring, and wall finishes.</w:t>
      </w:r>
    </w:p>
    <w:p>
      <w:pPr>
        <w:numPr>
          <w:ilvl w:val="0"/>
          <w:numId w:val="1006"/>
        </w:numPr>
        <w:pStyle w:val="Compact"/>
      </w:pPr>
      <w:r>
        <w:t xml:space="preserve">Fit out restrooms, break rooms, and specialty lab spaces.</w:t>
      </w:r>
    </w:p>
    <w:p>
      <w:pPr>
        <w:numPr>
          <w:ilvl w:val="0"/>
          <w:numId w:val="1006"/>
        </w:numPr>
        <w:pStyle w:val="Compact"/>
      </w:pPr>
      <w:r>
        <w:t xml:space="preserve">Install doors, hardware, and glazing.</w:t>
      </w:r>
    </w:p>
    <w:p>
      <w:pPr>
        <w:pStyle w:val="Heading4"/>
      </w:pPr>
      <w:bookmarkStart w:id="30" w:name="landscaping"/>
      <w:r>
        <w:t xml:space="preserve">7. Landscaping</w:t>
      </w:r>
      <w:bookmarkEnd w:id="30"/>
    </w:p>
    <w:p>
      <w:pPr>
        <w:numPr>
          <w:ilvl w:val="0"/>
          <w:numId w:val="1007"/>
        </w:numPr>
        <w:pStyle w:val="Compact"/>
      </w:pPr>
      <w:r>
        <w:t xml:space="preserve">Grade and amend soils for planting.</w:t>
      </w:r>
    </w:p>
    <w:p>
      <w:pPr>
        <w:numPr>
          <w:ilvl w:val="0"/>
          <w:numId w:val="1007"/>
        </w:numPr>
        <w:pStyle w:val="Compact"/>
      </w:pPr>
      <w:r>
        <w:t xml:space="preserve">Install irrigation systems and drainage.</w:t>
      </w:r>
    </w:p>
    <w:p>
      <w:pPr>
        <w:numPr>
          <w:ilvl w:val="0"/>
          <w:numId w:val="1007"/>
        </w:numPr>
        <w:pStyle w:val="Compact"/>
      </w:pPr>
      <w:r>
        <w:t xml:space="preserve">Plant trees, shrubs, and groundcover per landscape plan.</w:t>
      </w:r>
    </w:p>
    <w:p>
      <w:pPr>
        <w:numPr>
          <w:ilvl w:val="0"/>
          <w:numId w:val="1007"/>
        </w:numPr>
        <w:pStyle w:val="Compact"/>
      </w:pPr>
      <w:r>
        <w:t xml:space="preserve">Construct walkways, plazas, and site lighting.</w:t>
      </w:r>
    </w:p>
    <w:p>
      <w:r>
        <w:pict>
          <v:rect style="width:0;height:1.5pt" o:hralign="center" o:hrstd="t" o:hr="t"/>
        </w:pict>
      </w:r>
    </w:p>
    <w:p>
      <w:pPr>
        <w:pStyle w:val="Heading3"/>
      </w:pPr>
      <w:bookmarkStart w:id="31" w:name="cost-breakdown"/>
      <w:r>
        <w:t xml:space="preserve">Cost Breakdown</w:t>
      </w:r>
      <w:bookmarkEnd w:id="31"/>
    </w:p>
    <w:tbl>
      <w:tblPr>
        <w:tblStyle w:val="Table"/>
        <w:tblW w:type="pct" w:w="5000.0"/>
        <w:tblLook w:firstRow="1"/>
      </w:tblPr>
      <w:tblGrid>
        <w:gridCol w:w="1246"/>
        <w:gridCol w:w="1026"/>
        <w:gridCol w:w="1540"/>
        <w:gridCol w:w="1246"/>
        <w:gridCol w:w="1540"/>
        <w:gridCol w:w="132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Labor (Hours)</w:t>
            </w:r>
          </w:p>
        </w:tc>
        <w:tc>
          <w:tcPr>
            <w:tcBorders>
              <w:bottom w:val="single"/>
            </w:tcBorders>
            <w:vAlign w:val="bottom"/>
          </w:tcPr>
          <w:p>
            <w:pPr>
              <w:pStyle w:val="Compact"/>
              <w:jc w:val="left"/>
            </w:pPr>
            <w:r>
              <w:t xml:space="preserve">Material Cost (USD)</w:t>
            </w:r>
          </w:p>
        </w:tc>
        <w:tc>
          <w:tcPr>
            <w:tcBorders>
              <w:bottom w:val="single"/>
            </w:tcBorders>
            <w:vAlign w:val="bottom"/>
          </w:tcPr>
          <w:p>
            <w:pPr>
              <w:pStyle w:val="Compact"/>
              <w:jc w:val="left"/>
            </w:pPr>
            <w:r>
              <w:t xml:space="preserve">Equipment (USD)</w:t>
            </w:r>
          </w:p>
        </w:tc>
        <w:tc>
          <w:tcPr>
            <w:tcBorders>
              <w:bottom w:val="single"/>
            </w:tcBorders>
            <w:vAlign w:val="bottom"/>
          </w:tcPr>
          <w:p>
            <w:pPr>
              <w:pStyle w:val="Compact"/>
              <w:jc w:val="left"/>
            </w:pPr>
            <w:r>
              <w:t xml:space="preserve">Subcontractor (USD)</w:t>
            </w:r>
          </w:p>
        </w:tc>
        <w:tc>
          <w:tcPr>
            <w:tcBorders>
              <w:bottom w:val="single"/>
            </w:tcBorders>
            <w:vAlign w:val="bottom"/>
          </w:tcPr>
          <w:p>
            <w:pPr>
              <w:pStyle w:val="Compact"/>
              <w:jc w:val="left"/>
            </w:pPr>
            <w:r>
              <w:t xml:space="preserve">Total Cost (USD)</w:t>
            </w:r>
          </w:p>
        </w:tc>
      </w:tr>
      <w:tr>
        <w:tc>
          <w:p>
            <w:pPr>
              <w:pStyle w:val="Compact"/>
              <w:jc w:val="left"/>
            </w:pPr>
            <w:r>
              <w:t xml:space="preserve">Demolition</w:t>
            </w:r>
          </w:p>
        </w:tc>
        <w:tc>
          <w:p>
            <w:pPr>
              <w:pStyle w:val="Compact"/>
              <w:jc w:val="left"/>
            </w:pPr>
            <w:r>
              <w:t xml:space="preserve">420</w:t>
            </w:r>
          </w:p>
        </w:tc>
        <w:tc>
          <w:p>
            <w:pPr>
              <w:pStyle w:val="Compact"/>
              <w:jc w:val="left"/>
            </w:pPr>
            <w:r>
              <w:t xml:space="preserve">$48,500.00</w:t>
            </w:r>
          </w:p>
        </w:tc>
        <w:tc>
          <w:p>
            <w:pPr>
              <w:pStyle w:val="Compact"/>
              <w:jc w:val="left"/>
            </w:pPr>
            <w:r>
              <w:t xml:space="preserve">$22,000.00</w:t>
            </w:r>
          </w:p>
        </w:tc>
        <w:tc>
          <w:p>
            <w:pPr>
              <w:pStyle w:val="Compact"/>
              <w:jc w:val="left"/>
            </w:pPr>
            <w:r>
              <w:t xml:space="preserve">$35,000.00</w:t>
            </w:r>
          </w:p>
        </w:tc>
        <w:tc>
          <w:p>
            <w:pPr>
              <w:pStyle w:val="Compact"/>
              <w:jc w:val="left"/>
            </w:pPr>
            <w:r>
              <w:t xml:space="preserve">$105,500.00</w:t>
            </w:r>
          </w:p>
        </w:tc>
      </w:tr>
      <w:tr>
        <w:tc>
          <w:p>
            <w:pPr>
              <w:pStyle w:val="Compact"/>
              <w:jc w:val="left"/>
            </w:pPr>
            <w:r>
              <w:t xml:space="preserve">Site Prep</w:t>
            </w:r>
          </w:p>
        </w:tc>
        <w:tc>
          <w:p>
            <w:pPr>
              <w:pStyle w:val="Compact"/>
              <w:jc w:val="left"/>
            </w:pPr>
            <w:r>
              <w:t xml:space="preserve">534</w:t>
            </w:r>
          </w:p>
        </w:tc>
        <w:tc>
          <w:p>
            <w:pPr>
              <w:pStyle w:val="Compact"/>
              <w:jc w:val="left"/>
            </w:pPr>
            <w:r>
              <w:t xml:space="preserve">$62,000.00</w:t>
            </w:r>
          </w:p>
        </w:tc>
        <w:tc>
          <w:p>
            <w:pPr>
              <w:pStyle w:val="Compact"/>
              <w:jc w:val="left"/>
            </w:pPr>
            <w:r>
              <w:t xml:space="preserve">$28,000.00</w:t>
            </w:r>
          </w:p>
        </w:tc>
        <w:tc>
          <w:p>
            <w:pPr>
              <w:pStyle w:val="Compact"/>
              <w:jc w:val="left"/>
            </w:pPr>
            <w:r>
              <w:t xml:space="preserve">$40,000.00</w:t>
            </w:r>
          </w:p>
        </w:tc>
        <w:tc>
          <w:p>
            <w:pPr>
              <w:pStyle w:val="Compact"/>
              <w:jc w:val="left"/>
            </w:pPr>
            <w:r>
              <w:t xml:space="preserve">$130,000.00</w:t>
            </w:r>
          </w:p>
        </w:tc>
      </w:tr>
      <w:tr>
        <w:tc>
          <w:p>
            <w:pPr>
              <w:pStyle w:val="Compact"/>
              <w:jc w:val="left"/>
            </w:pPr>
            <w:r>
              <w:t xml:space="preserve">Foundation</w:t>
            </w:r>
          </w:p>
        </w:tc>
        <w:tc>
          <w:p>
            <w:pPr>
              <w:pStyle w:val="Compact"/>
              <w:jc w:val="left"/>
            </w:pPr>
            <w:r>
              <w:t xml:space="preserve">610</w:t>
            </w:r>
          </w:p>
        </w:tc>
        <w:tc>
          <w:p>
            <w:pPr>
              <w:pStyle w:val="Compact"/>
              <w:jc w:val="left"/>
            </w:pPr>
            <w:r>
              <w:t xml:space="preserve">$110,000.00</w:t>
            </w:r>
          </w:p>
        </w:tc>
        <w:tc>
          <w:p>
            <w:pPr>
              <w:pStyle w:val="Compact"/>
              <w:jc w:val="left"/>
            </w:pPr>
            <w:r>
              <w:t xml:space="preserve">$35,000.00</w:t>
            </w:r>
          </w:p>
        </w:tc>
        <w:tc>
          <w:p>
            <w:pPr>
              <w:pStyle w:val="Compact"/>
              <w:jc w:val="left"/>
            </w:pPr>
            <w:r>
              <w:t xml:space="preserve">$55,000.00</w:t>
            </w:r>
          </w:p>
        </w:tc>
        <w:tc>
          <w:p>
            <w:pPr>
              <w:pStyle w:val="Compact"/>
              <w:jc w:val="left"/>
            </w:pPr>
            <w:r>
              <w:t xml:space="preserve">$200,000.00</w:t>
            </w:r>
          </w:p>
        </w:tc>
      </w:tr>
      <w:tr>
        <w:tc>
          <w:p>
            <w:pPr>
              <w:pStyle w:val="Compact"/>
              <w:jc w:val="left"/>
            </w:pPr>
            <w:r>
              <w:t xml:space="preserve">Structural Steel</w:t>
            </w:r>
          </w:p>
        </w:tc>
        <w:tc>
          <w:p>
            <w:pPr>
              <w:pStyle w:val="Compact"/>
              <w:jc w:val="left"/>
            </w:pPr>
            <w:r>
              <w:t xml:space="preserve">780</w:t>
            </w:r>
          </w:p>
        </w:tc>
        <w:tc>
          <w:p>
            <w:pPr>
              <w:pStyle w:val="Compact"/>
              <w:jc w:val="left"/>
            </w:pPr>
            <w:r>
              <w:t xml:space="preserve">$220,000.00</w:t>
            </w:r>
          </w:p>
        </w:tc>
        <w:tc>
          <w:p>
            <w:pPr>
              <w:pStyle w:val="Compact"/>
              <w:jc w:val="left"/>
            </w:pPr>
            <w:r>
              <w:t xml:space="preserve">$60,000.00</w:t>
            </w:r>
          </w:p>
        </w:tc>
        <w:tc>
          <w:p>
            <w:pPr>
              <w:pStyle w:val="Compact"/>
              <w:jc w:val="left"/>
            </w:pPr>
            <w:r>
              <w:t xml:space="preserve">$120,000.00</w:t>
            </w:r>
          </w:p>
        </w:tc>
        <w:tc>
          <w:p>
            <w:pPr>
              <w:pStyle w:val="Compact"/>
              <w:jc w:val="left"/>
            </w:pPr>
            <w:r>
              <w:t xml:space="preserve">$400,000.00</w:t>
            </w:r>
          </w:p>
        </w:tc>
      </w:tr>
      <w:tr>
        <w:tc>
          <w:p>
            <w:pPr>
              <w:pStyle w:val="Compact"/>
              <w:jc w:val="left"/>
            </w:pPr>
            <w:r>
              <w:t xml:space="preserve">MEP</w:t>
            </w:r>
          </w:p>
        </w:tc>
        <w:tc>
          <w:p>
            <w:pPr>
              <w:pStyle w:val="Compact"/>
              <w:jc w:val="left"/>
            </w:pPr>
            <w:r>
              <w:t xml:space="preserve">1,200</w:t>
            </w:r>
          </w:p>
        </w:tc>
        <w:tc>
          <w:p>
            <w:pPr>
              <w:pStyle w:val="Compact"/>
              <w:jc w:val="left"/>
            </w:pPr>
            <w:r>
              <w:t xml:space="preserve">$350,000.00</w:t>
            </w:r>
          </w:p>
        </w:tc>
        <w:tc>
          <w:p>
            <w:pPr>
              <w:pStyle w:val="Compact"/>
              <w:jc w:val="left"/>
            </w:pPr>
            <w:r>
              <w:t xml:space="preserve">$80,000.00</w:t>
            </w:r>
          </w:p>
        </w:tc>
        <w:tc>
          <w:p>
            <w:pPr>
              <w:pStyle w:val="Compact"/>
              <w:jc w:val="left"/>
            </w:pPr>
            <w:r>
              <w:t xml:space="preserve">$220,000.00</w:t>
            </w:r>
          </w:p>
        </w:tc>
        <w:tc>
          <w:p>
            <w:pPr>
              <w:pStyle w:val="Compact"/>
              <w:jc w:val="left"/>
            </w:pPr>
            <w:r>
              <w:t xml:space="preserve">$650,000.00</w:t>
            </w:r>
          </w:p>
        </w:tc>
      </w:tr>
      <w:tr>
        <w:tc>
          <w:p>
            <w:pPr>
              <w:pStyle w:val="Compact"/>
              <w:jc w:val="left"/>
            </w:pPr>
            <w:r>
              <w:t xml:space="preserve">Interior Finishes</w:t>
            </w:r>
          </w:p>
        </w:tc>
        <w:tc>
          <w:p>
            <w:pPr>
              <w:pStyle w:val="Compact"/>
              <w:jc w:val="left"/>
            </w:pPr>
            <w:r>
              <w:t xml:space="preserve">1,100</w:t>
            </w:r>
          </w:p>
        </w:tc>
        <w:tc>
          <w:p>
            <w:pPr>
              <w:pStyle w:val="Compact"/>
              <w:jc w:val="left"/>
            </w:pPr>
            <w:r>
              <w:t xml:space="preserve">$180,000.00</w:t>
            </w:r>
          </w:p>
        </w:tc>
        <w:tc>
          <w:p>
            <w:pPr>
              <w:pStyle w:val="Compact"/>
              <w:jc w:val="left"/>
            </w:pPr>
            <w:r>
              <w:t xml:space="preserve">$45,000.00</w:t>
            </w:r>
          </w:p>
        </w:tc>
        <w:tc>
          <w:p>
            <w:pPr>
              <w:pStyle w:val="Compact"/>
              <w:jc w:val="left"/>
            </w:pPr>
            <w:r>
              <w:t xml:space="preserve">$125,000.00</w:t>
            </w:r>
          </w:p>
        </w:tc>
        <w:tc>
          <w:p>
            <w:pPr>
              <w:pStyle w:val="Compact"/>
              <w:jc w:val="left"/>
            </w:pPr>
            <w:r>
              <w:t xml:space="preserve">$350,000.00</w:t>
            </w:r>
          </w:p>
        </w:tc>
      </w:tr>
      <w:tr>
        <w:tc>
          <w:p>
            <w:pPr>
              <w:pStyle w:val="Compact"/>
              <w:jc w:val="left"/>
            </w:pPr>
            <w:r>
              <w:t xml:space="preserve">Landscaping</w:t>
            </w:r>
          </w:p>
        </w:tc>
        <w:tc>
          <w:p>
            <w:pPr>
              <w:pStyle w:val="Compact"/>
              <w:jc w:val="left"/>
            </w:pPr>
            <w:r>
              <w:t xml:space="preserve">320</w:t>
            </w:r>
          </w:p>
        </w:tc>
        <w:tc>
          <w:p>
            <w:pPr>
              <w:pStyle w:val="Compact"/>
              <w:jc w:val="left"/>
            </w:pPr>
            <w:r>
              <w:t xml:space="preserve">$40,000.00</w:t>
            </w:r>
          </w:p>
        </w:tc>
        <w:tc>
          <w:p>
            <w:pPr>
              <w:pStyle w:val="Compact"/>
              <w:jc w:val="left"/>
            </w:pPr>
            <w:r>
              <w:t xml:space="preserve">$12,000.00</w:t>
            </w:r>
          </w:p>
        </w:tc>
        <w:tc>
          <w:p>
            <w:pPr>
              <w:pStyle w:val="Compact"/>
              <w:jc w:val="left"/>
            </w:pPr>
            <w:r>
              <w:t xml:space="preserve">$28,000.00</w:t>
            </w:r>
          </w:p>
        </w:tc>
        <w:tc>
          <w:p>
            <w:pPr>
              <w:pStyle w:val="Compact"/>
              <w:jc w:val="left"/>
            </w:pPr>
            <w:r>
              <w:t xml:space="preserve">$80,000.00</w:t>
            </w:r>
          </w:p>
        </w:tc>
      </w:tr>
      <w:tr>
        <w:tc>
          <w:p>
            <w:pPr>
              <w:pStyle w:val="Compact"/>
              <w:jc w:val="left"/>
            </w:pPr>
            <w:r>
              <w:rPr>
                <w:b/>
              </w:rPr>
              <w:t xml:space="preserve">Permits &amp; Fees</w:t>
            </w:r>
          </w:p>
        </w:tc>
        <w:tc>
          <w:p>
            <w:pPr>
              <w:pStyle w:val="Compact"/>
              <w:jc w:val="left"/>
            </w:pPr>
            <w:r>
              <w:t xml:space="preserve">-</w:t>
            </w:r>
          </w:p>
        </w:tc>
        <w:tc>
          <w:p>
            <w:pPr>
              <w:pStyle w:val="Compact"/>
              <w:jc w:val="left"/>
            </w:pPr>
            <w:r>
              <w:t xml:space="preserve">$75,000.00</w:t>
            </w:r>
          </w:p>
        </w:tc>
        <w:tc>
          <w:p>
            <w:pPr>
              <w:pStyle w:val="Compact"/>
              <w:jc w:val="left"/>
            </w:pPr>
            <w:r>
              <w:t xml:space="preserve">-</w:t>
            </w:r>
          </w:p>
        </w:tc>
        <w:tc>
          <w:p>
            <w:pPr>
              <w:pStyle w:val="Compact"/>
              <w:jc w:val="left"/>
            </w:pPr>
            <w:r>
              <w:t xml:space="preserve">-</w:t>
            </w:r>
          </w:p>
        </w:tc>
        <w:tc>
          <w:p>
            <w:pPr>
              <w:pStyle w:val="Compact"/>
              <w:jc w:val="left"/>
            </w:pPr>
            <w:r>
              <w:t xml:space="preserve">$75,000.00</w:t>
            </w:r>
          </w:p>
        </w:tc>
      </w:tr>
      <w:tr>
        <w:tc>
          <w:p>
            <w:pPr>
              <w:pStyle w:val="Compact"/>
              <w:jc w:val="left"/>
            </w:pPr>
            <w:r>
              <w:rPr>
                <w:b/>
              </w:rPr>
              <w:t xml:space="preserve">Overhead</w:t>
            </w:r>
          </w:p>
        </w:tc>
        <w:tc>
          <w:p>
            <w:pPr>
              <w:pStyle w:val="Compact"/>
              <w:jc w:val="left"/>
            </w:pPr>
            <w:r>
              <w:t xml:space="preserve">-</w:t>
            </w:r>
          </w:p>
        </w:tc>
        <w:tc>
          <w:p>
            <w:pPr>
              <w:pStyle w:val="Compact"/>
              <w:jc w:val="left"/>
            </w:pPr>
            <w:r>
              <w:t xml:space="preserve">$120,000.00</w:t>
            </w:r>
          </w:p>
        </w:tc>
        <w:tc>
          <w:p>
            <w:pPr>
              <w:pStyle w:val="Compact"/>
              <w:jc w:val="left"/>
            </w:pPr>
            <w:r>
              <w:t xml:space="preserve">-</w:t>
            </w:r>
          </w:p>
        </w:tc>
        <w:tc>
          <w:p>
            <w:pPr>
              <w:pStyle w:val="Compact"/>
              <w:jc w:val="left"/>
            </w:pPr>
            <w:r>
              <w:t xml:space="preserve">-</w:t>
            </w:r>
          </w:p>
        </w:tc>
        <w:tc>
          <w:p>
            <w:pPr>
              <w:pStyle w:val="Compact"/>
              <w:jc w:val="left"/>
            </w:pPr>
            <w:r>
              <w:t xml:space="preserve">$120,000.00</w:t>
            </w:r>
          </w:p>
        </w:tc>
      </w:tr>
      <w:tr>
        <w:tc>
          <w:p>
            <w:pPr>
              <w:pStyle w:val="Compact"/>
              <w:jc w:val="left"/>
            </w:pPr>
            <w:r>
              <w:rPr>
                <w:b/>
              </w:rPr>
              <w:t xml:space="preserve">Contingency (534%)</w:t>
            </w:r>
          </w:p>
        </w:tc>
        <w:tc>
          <w:p>
            <w:pPr>
              <w:pStyle w:val="Compact"/>
              <w:jc w:val="left"/>
            </w:pPr>
            <w:r>
              <w:t xml:space="preserve">-</w:t>
            </w:r>
          </w:p>
        </w:tc>
        <w:tc>
          <w:p>
            <w:pPr>
              <w:pStyle w:val="Compact"/>
              <w:jc w:val="left"/>
            </w:pPr>
            <w:r>
              <w:t xml:space="preserve">$1,180,527.00</w:t>
            </w:r>
          </w:p>
        </w:tc>
        <w:tc>
          <w:p>
            <w:pPr>
              <w:pStyle w:val="Compact"/>
              <w:jc w:val="left"/>
            </w:pPr>
            <w:r>
              <w:t xml:space="preserve">-</w:t>
            </w:r>
          </w:p>
        </w:tc>
        <w:tc>
          <w:p>
            <w:pPr>
              <w:pStyle w:val="Compact"/>
              <w:jc w:val="left"/>
            </w:pPr>
            <w:r>
              <w:t xml:space="preserve">-</w:t>
            </w:r>
          </w:p>
        </w:tc>
        <w:tc>
          <w:p>
            <w:pPr>
              <w:pStyle w:val="Compact"/>
              <w:jc w:val="left"/>
            </w:pPr>
            <w:r>
              <w:t xml:space="preserve">$1,180,527.00</w:t>
            </w:r>
          </w:p>
        </w:tc>
      </w:tr>
      <w:tr>
        <w:tc>
          <w:p>
            <w:pPr>
              <w:pStyle w:val="Compact"/>
              <w:jc w:val="left"/>
            </w:pPr>
            <w:r>
              <w:rPr>
                <w:b/>
              </w:rPr>
              <w:t xml:space="preserve">TOTAL</w:t>
            </w:r>
          </w:p>
        </w:tc>
        <w:tc>
          <w:p>
            <w:pPr>
              <w:pStyle w:val="Compact"/>
              <w:jc w:val="left"/>
            </w:pPr>
            <w:r>
              <w:t xml:space="preserve">4,964</w:t>
            </w:r>
          </w:p>
        </w:tc>
        <w:tc>
          <w:p>
            <w:pPr>
              <w:pStyle w:val="Compact"/>
              <w:jc w:val="left"/>
            </w:pPr>
            <w:r>
              <w:t xml:space="preserve">$2,285,027.00</w:t>
            </w:r>
          </w:p>
        </w:tc>
        <w:tc>
          <w:p>
            <w:pPr>
              <w:pStyle w:val="Compact"/>
              <w:jc w:val="left"/>
            </w:pPr>
            <w:r>
              <w:t xml:space="preserve">$282,000.00</w:t>
            </w:r>
          </w:p>
        </w:tc>
        <w:tc>
          <w:p>
            <w:pPr>
              <w:pStyle w:val="Compact"/>
              <w:jc w:val="left"/>
            </w:pPr>
            <w:r>
              <w:t xml:space="preserve">$623,000.00</w:t>
            </w:r>
          </w:p>
        </w:tc>
        <w:tc>
          <w:p>
            <w:pPr>
              <w:pStyle w:val="Compact"/>
              <w:jc w:val="left"/>
            </w:pPr>
            <w:r>
              <w:t xml:space="preserve">$3,190,027.00</w:t>
            </w:r>
          </w:p>
        </w:tc>
      </w:tr>
    </w:tbl>
    <w:p>
      <w:r>
        <w:pict>
          <v:rect style="width:0;height:1.5pt" o:hralign="center" o:hrstd="t" o:hr="t"/>
        </w:pict>
      </w:r>
    </w:p>
    <w:p>
      <w:pPr>
        <w:pStyle w:val="Heading3"/>
      </w:pPr>
      <w:bookmarkStart w:id="32" w:name="total-bid-amount"/>
      <w:r>
        <w:t xml:space="preserve">Total Bid Amount</w:t>
      </w:r>
      <w:bookmarkEnd w:id="32"/>
    </w:p>
    <w:p>
      <w:pPr>
        <w:pStyle w:val="FirstParagraph"/>
      </w:pPr>
      <w:r>
        <w:rPr>
          <w:b/>
        </w:rPr>
        <w:t xml:space="preserve">$3,190,027.00 USD</w:t>
      </w:r>
      <w:r>
        <w:br/>
      </w:r>
      <w:r>
        <w:rPr>
          <w:i/>
        </w:rPr>
        <w:t xml:space="preserve">(Includes all labor, materials, equipment, subcontractors, permits, fees, overhead, and contingency)</w:t>
      </w:r>
    </w:p>
    <w:p>
      <w:r>
        <w:pict>
          <v:rect style="width:0;height:1.5pt" o:hralign="center" o:hrstd="t" o:hr="t"/>
        </w:pict>
      </w:r>
    </w:p>
    <w:p>
      <w:pPr>
        <w:pStyle w:val="Heading3"/>
      </w:pPr>
      <w:bookmarkStart w:id="33" w:name="payment-schedule"/>
      <w:r>
        <w:t xml:space="preserve">Payment Schedule</w:t>
      </w:r>
      <w:bookmarkEnd w:id="33"/>
    </w:p>
    <w:p>
      <w:pPr>
        <w:numPr>
          <w:ilvl w:val="0"/>
          <w:numId w:val="1008"/>
        </w:numPr>
        <w:pStyle w:val="Compact"/>
      </w:pPr>
      <w:r>
        <w:rPr>
          <w:b/>
        </w:rPr>
        <w:t xml:space="preserve">Monthly Progress Payments:</w:t>
      </w:r>
      <w:r>
        <w:t xml:space="preserve"> </w:t>
      </w:r>
      <w:r>
        <w:t xml:space="preserve">Based on percentage of work completed, certified by project manager.</w:t>
      </w:r>
    </w:p>
    <w:p>
      <w:pPr>
        <w:numPr>
          <w:ilvl w:val="0"/>
          <w:numId w:val="1008"/>
        </w:numPr>
        <w:pStyle w:val="Compact"/>
      </w:pPr>
      <w:r>
        <w:rPr>
          <w:b/>
        </w:rPr>
        <w:t xml:space="preserve">Retention:</w:t>
      </w:r>
      <w:r>
        <w:t xml:space="preserve"> </w:t>
      </w:r>
      <w:r>
        <w:t xml:space="preserve">10% of each progress payment retained until final completion and acceptance.</w:t>
      </w:r>
    </w:p>
    <w:p>
      <w:pPr>
        <w:numPr>
          <w:ilvl w:val="0"/>
          <w:numId w:val="1008"/>
        </w:numPr>
        <w:pStyle w:val="Compact"/>
      </w:pPr>
      <w:r>
        <w:rPr>
          <w:b/>
        </w:rPr>
        <w:t xml:space="preserve">Final Payment:</w:t>
      </w:r>
      <w:r>
        <w:t xml:space="preserve"> </w:t>
      </w:r>
      <w:r>
        <w:t xml:space="preserve">Upon substantial completion, punch list resolution, and delivery of all closeout documents.</w:t>
      </w:r>
    </w:p>
    <w:p>
      <w:r>
        <w:pict>
          <v:rect style="width:0;height:1.5pt" o:hralign="center" o:hrstd="t" o:hr="t"/>
        </w:pict>
      </w:r>
    </w:p>
    <w:p>
      <w:pPr>
        <w:pStyle w:val="Heading3"/>
      </w:pPr>
      <w:bookmarkStart w:id="34" w:name="estimated-project-timeline"/>
      <w:r>
        <w:t xml:space="preserve">Estimated Project Timeline</w:t>
      </w:r>
      <w:bookmarkEnd w:id="34"/>
    </w:p>
    <w:p>
      <w:pPr>
        <w:numPr>
          <w:ilvl w:val="0"/>
          <w:numId w:val="1009"/>
        </w:numPr>
        <w:pStyle w:val="Compact"/>
      </w:pPr>
      <w:r>
        <w:rPr>
          <w:b/>
        </w:rPr>
        <w:t xml:space="preserve">Estimated Start Date:</w:t>
      </w:r>
      <w:r>
        <w:t xml:space="preserve"> </w:t>
      </w:r>
      <w:r>
        <w:t xml:space="preserve">September 1, 2025</w:t>
      </w:r>
      <w:r>
        <w:br/>
      </w:r>
    </w:p>
    <w:p>
      <w:pPr>
        <w:numPr>
          <w:ilvl w:val="0"/>
          <w:numId w:val="1009"/>
        </w:numPr>
        <w:pStyle w:val="Compact"/>
      </w:pPr>
      <w:r>
        <w:rPr>
          <w:b/>
        </w:rPr>
        <w:t xml:space="preserve">Estimated Completion Date:</w:t>
      </w:r>
      <w:r>
        <w:t xml:space="preserve"> </w:t>
      </w:r>
      <w:r>
        <w:t xml:space="preserve">December 15, 2026</w:t>
      </w:r>
    </w:p>
    <w:p>
      <w:r>
        <w:pict>
          <v:rect style="width:0;height:1.5pt" o:hralign="center" o:hrstd="t" o:hr="t"/>
        </w:pict>
      </w:r>
    </w:p>
    <w:p>
      <w:pPr>
        <w:pStyle w:val="Heading3"/>
      </w:pPr>
      <w:bookmarkStart w:id="35" w:name="warranty-information"/>
      <w:r>
        <w:t xml:space="preserve">Warranty Information</w:t>
      </w:r>
      <w:bookmarkEnd w:id="35"/>
    </w:p>
    <w:p>
      <w:pPr>
        <w:numPr>
          <w:ilvl w:val="0"/>
          <w:numId w:val="1010"/>
        </w:numPr>
        <w:pStyle w:val="Compact"/>
      </w:pPr>
      <w:r>
        <w:rPr>
          <w:b/>
        </w:rPr>
        <w:t xml:space="preserve">General Warranty:</w:t>
      </w:r>
      <w:r>
        <w:t xml:space="preserve"> </w:t>
      </w:r>
      <w:r>
        <w:t xml:space="preserve">1-year warranty on all workmanship and materials from date of substantial completion.</w:t>
      </w:r>
    </w:p>
    <w:p>
      <w:pPr>
        <w:numPr>
          <w:ilvl w:val="0"/>
          <w:numId w:val="1010"/>
        </w:numPr>
        <w:pStyle w:val="Compact"/>
      </w:pPr>
      <w:r>
        <w:rPr>
          <w:b/>
        </w:rPr>
        <w:t xml:space="preserve">Manufacturer Warranties:</w:t>
      </w:r>
      <w:r>
        <w:t xml:space="preserve"> </w:t>
      </w:r>
      <w:r>
        <w:t xml:space="preserve">All applicable manufacturer warranties will be transferred to the owner.</w:t>
      </w:r>
    </w:p>
    <w:p>
      <w:r>
        <w:pict>
          <v:rect style="width:0;height:1.5pt" o:hralign="center" o:hrstd="t" o:hr="t"/>
        </w:pict>
      </w:r>
    </w:p>
    <w:p>
      <w:pPr>
        <w:pStyle w:val="Heading3"/>
      </w:pPr>
      <w:bookmarkStart w:id="36" w:name="exclusions"/>
      <w:r>
        <w:t xml:space="preserve">Exclusions</w:t>
      </w:r>
      <w:bookmarkEnd w:id="36"/>
    </w:p>
    <w:p>
      <w:pPr>
        <w:numPr>
          <w:ilvl w:val="0"/>
          <w:numId w:val="1011"/>
        </w:numPr>
        <w:pStyle w:val="Compact"/>
      </w:pPr>
      <w:r>
        <w:t xml:space="preserve">Unforeseen site conditions (e.g., contaminated soils, hidden utilities)</w:t>
      </w:r>
    </w:p>
    <w:p>
      <w:pPr>
        <w:numPr>
          <w:ilvl w:val="0"/>
          <w:numId w:val="1011"/>
        </w:numPr>
        <w:pStyle w:val="Compact"/>
      </w:pPr>
      <w:r>
        <w:t xml:space="preserve">Owner-furnished equipment and furniture</w:t>
      </w:r>
    </w:p>
    <w:p>
      <w:pPr>
        <w:numPr>
          <w:ilvl w:val="0"/>
          <w:numId w:val="1011"/>
        </w:numPr>
        <w:pStyle w:val="Compact"/>
      </w:pPr>
      <w:r>
        <w:t xml:space="preserve">Utility company connection fees</w:t>
      </w:r>
    </w:p>
    <w:p>
      <w:pPr>
        <w:numPr>
          <w:ilvl w:val="0"/>
          <w:numId w:val="1011"/>
        </w:numPr>
        <w:pStyle w:val="Compact"/>
      </w:pPr>
      <w:r>
        <w:t xml:space="preserve">Special permits or variances not listed</w:t>
      </w:r>
    </w:p>
    <w:p>
      <w:pPr>
        <w:numPr>
          <w:ilvl w:val="0"/>
          <w:numId w:val="1011"/>
        </w:numPr>
        <w:pStyle w:val="Compact"/>
      </w:pPr>
      <w:r>
        <w:t xml:space="preserve">Overtime or after-hours work unless specifically requested</w:t>
      </w:r>
    </w:p>
    <w:p>
      <w:pPr>
        <w:numPr>
          <w:ilvl w:val="0"/>
          <w:numId w:val="1011"/>
        </w:numPr>
        <w:pStyle w:val="Compact"/>
      </w:pPr>
      <w:r>
        <w:t xml:space="preserve">Security services beyond standard site fencing</w:t>
      </w:r>
    </w:p>
    <w:p>
      <w:r>
        <w:pict>
          <v:rect style="width:0;height:1.5pt" o:hralign="center" o:hrstd="t" o:hr="t"/>
        </w:pict>
      </w:r>
    </w:p>
    <w:p>
      <w:pPr>
        <w:pStyle w:val="Heading3"/>
      </w:pPr>
      <w:bookmarkStart w:id="37" w:name="bid-validity-period"/>
      <w:r>
        <w:t xml:space="preserve">Bid Validity Period</w:t>
      </w:r>
      <w:bookmarkEnd w:id="37"/>
    </w:p>
    <w:p>
      <w:pPr>
        <w:pStyle w:val="FirstParagraph"/>
      </w:pPr>
      <w:r>
        <w:t xml:space="preserve">This proposal is valid for</w:t>
      </w:r>
      <w:r>
        <w:t xml:space="preserve"> </w:t>
      </w:r>
      <w:r>
        <w:rPr>
          <w:b/>
        </w:rPr>
        <w:t xml:space="preserve">60 days</w:t>
      </w:r>
      <w:r>
        <w:t xml:space="preserve"> </w:t>
      </w:r>
      <w:r>
        <w:t xml:space="preserve">from the date of submission.</w:t>
      </w:r>
    </w:p>
    <w:p>
      <w:r>
        <w:pict>
          <v:rect style="width:0;height:1.5pt" o:hralign="center" o:hrstd="t" o:hr="t"/>
        </w:pict>
      </w:r>
    </w:p>
    <w:p>
      <w:pPr>
        <w:pStyle w:val="Heading3"/>
      </w:pPr>
      <w:bookmarkStart w:id="38" w:name="company-authorization"/>
      <w:r>
        <w:t xml:space="preserve">Company Authorization</w:t>
      </w:r>
      <w:bookmarkEnd w:id="38"/>
    </w:p>
    <w:p>
      <w:pPr>
        <w:pStyle w:val="FirstParagraph"/>
      </w:pPr>
      <w:r>
        <w:rPr>
          <w:b/>
        </w:rPr>
        <w:t xml:space="preserve">Solara Energy Group</w:t>
      </w:r>
      <w:r>
        <w:br/>
      </w:r>
      <w:r>
        <w:t xml:space="preserve">By: ___________________________</w:t>
      </w:r>
      <w:r>
        <w:br/>
      </w:r>
      <w:r>
        <w:t xml:space="preserve">Name: Michael Torres</w:t>
      </w:r>
      <w:r>
        <w:br/>
      </w:r>
      <w:r>
        <w:t xml:space="preserve">Title: Director of Preconstruction</w:t>
      </w:r>
      <w:r>
        <w:br/>
      </w:r>
      <w:r>
        <w:t xml:space="preserve">Date: _________________________</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D62F4279A20549833A9677C0521D8F" ma:contentTypeVersion="6" ma:contentTypeDescription="Create a new document." ma:contentTypeScope="" ma:versionID="6142eba5f02867f7e816805b137420d2">
  <xsd:schema xmlns:xsd="http://www.w3.org/2001/XMLSchema" xmlns:xs="http://www.w3.org/2001/XMLSchema" xmlns:p="http://schemas.microsoft.com/office/2006/metadata/properties" xmlns:ns1="http://schemas.microsoft.com/sharepoint/v3" xmlns:ns2="2c367148-cbcc-4263-9e3c-b231511c6d08" targetNamespace="http://schemas.microsoft.com/office/2006/metadata/properties" ma:root="true" ma:fieldsID="a717157ef599eb1ea2d3914fc60352f4" ns1:_="" ns2:_="">
    <xsd:import namespace="http://schemas.microsoft.com/sharepoint/v3"/>
    <xsd:import namespace="2c367148-cbcc-4263-9e3c-b231511c6d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367148-cbcc-4263-9e3c-b231511c6d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DC3A10C-4921-4B20-860F-02584D4D94BE}"/>
</file>

<file path=customXml/itemProps2.xml><?xml version="1.0" encoding="utf-8"?>
<ds:datastoreItem xmlns:ds="http://schemas.openxmlformats.org/officeDocument/2006/customXml" ds:itemID="{C54D78C3-760D-4DEC-B10A-E0F5BD3E6245}"/>
</file>

<file path=customXml/itemProps3.xml><?xml version="1.0" encoding="utf-8"?>
<ds:datastoreItem xmlns:ds="http://schemas.openxmlformats.org/officeDocument/2006/customXml" ds:itemID="{7EAB7B63-E463-4193-BDF5-DEAB789C65FA}"/>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2025-07-03T02:08:19Z</dcterms:created>
  <dcterms:modified xsi:type="dcterms:W3CDTF">2025-07-03T02:08:19Z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0x01010052D62F4279A20549833A9677C0521D8F</vt:lpwstr>
  </property>
  <property fmtid="{D5CDD505-2E9C-101B-9397-08002B2CF9AE}" pid="3" name="MediaServiceImageTags">
    <vt:lpwstr/>
  </property>
</Properties>
</file>