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r>
        <w:rPr>
          <w:rFonts w:ascii="Calibri" w:hAnsi="Calibri"/>
          <w:b/>
          <w:sz w:val="22"/>
        </w:rPr>
        <w:t xml:space="preserve">Project Report Name : </w:t>
      </w:r>
      <w:r>
        <w:rPr>
          <w:rFonts w:ascii="Calibri" w:hAnsi="Calibri"/>
          <w:sz w:val="22"/>
        </w:rPr>
        <w:t>Sales Performance Analysis Report</w:t>
      </w:r>
    </w:p>
    <w:p>
      <w:pPr>
        <w:spacing w:after="40" w:line="276" w:lineRule="auto"/>
      </w:pPr>
      <w:r>
        <w:rPr>
          <w:rFonts w:ascii="Calibri" w:hAnsi="Calibri"/>
          <w:b/>
          <w:sz w:val="22"/>
        </w:rPr>
        <w:t xml:space="preserve">Aptitude UID : </w:t>
      </w:r>
      <w:r>
        <w:rPr>
          <w:rFonts w:ascii="Calibri" w:hAnsi="Calibri"/>
          <w:sz w:val="22"/>
        </w:rPr>
        <w:t>[Your UID Placeholder]</w:t>
      </w:r>
    </w:p>
    <w:p>
      <w:pPr>
        <w:spacing w:after="40" w:line="276" w:lineRule="auto"/>
      </w:pPr>
      <w:r>
        <w:rPr>
          <w:rFonts w:ascii="Calibri" w:hAnsi="Calibri"/>
          <w:b/>
          <w:sz w:val="22"/>
        </w:rPr>
        <w:t xml:space="preserve">Project Title : </w:t>
      </w:r>
      <w:r>
        <w:rPr>
          <w:rFonts w:ascii="Calibri" w:hAnsi="Calibri"/>
          <w:sz w:val="22"/>
        </w:rPr>
        <w:t>Retail Sales Performance &amp; Predictive Modeling</w:t>
      </w:r>
    </w:p>
    <w:p>
      <w:pPr>
        <w:spacing w:after="40" w:line="276" w:lineRule="auto"/>
      </w:pPr>
      <w:r>
        <w:rPr>
          <w:rFonts w:ascii="Calibri" w:hAnsi="Calibri"/>
          <w:b/>
          <w:sz w:val="22"/>
        </w:rPr>
        <w:t xml:space="preserve">Technologies Used : </w:t>
      </w:r>
      <w:r>
        <w:rPr>
          <w:rFonts w:ascii="Calibri" w:hAnsi="Calibri"/>
          <w:sz w:val="22"/>
        </w:rPr>
        <w:t>Python, Excel, PowerPoint, MS Word, Data Analytics Stack</w:t>
      </w:r>
    </w:p>
    <w:p>
      <w:pPr>
        <w:spacing w:after="40" w:line="276" w:lineRule="auto"/>
      </w:pPr>
      <w:r>
        <w:rPr>
          <w:rFonts w:ascii="Calibri" w:hAnsi="Calibri"/>
          <w:b/>
          <w:sz w:val="22"/>
        </w:rPr>
        <w:t xml:space="preserve">Live Link : </w:t>
      </w:r>
      <w:r>
        <w:rPr>
          <w:rFonts w:ascii="Calibri" w:hAnsi="Calibri"/>
          <w:sz w:val="22"/>
        </w:rPr>
        <w:t>https://analytics.example.com/sales-dashboard</w:t>
      </w:r>
    </w:p>
    <w:p>
      <w:pPr>
        <w:spacing w:after="40" w:line="276" w:lineRule="auto"/>
      </w:pPr>
      <w:r>
        <w:rPr>
          <w:rFonts w:ascii="Calibri" w:hAnsi="Calibri"/>
          <w:b/>
          <w:sz w:val="22"/>
        </w:rPr>
        <w:t xml:space="preserve">Github Link (Optional) : </w:t>
      </w:r>
      <w:r>
        <w:rPr>
          <w:rFonts w:ascii="Calibri" w:hAnsi="Calibri"/>
          <w:sz w:val="22"/>
        </w:rPr>
        <w:t>https://github.com/example/retail-sales-report</w:t>
      </w:r>
    </w:p>
    <w:p>
      <w:pPr>
        <w:spacing w:after="40" w:line="276" w:lineRule="auto"/>
      </w:pPr>
      <w:r>
        <w:rPr>
          <w:rFonts w:ascii="Calibri" w:hAnsi="Calibri"/>
          <w:b/>
          <w:sz w:val="22"/>
        </w:rPr>
        <w:t xml:space="preserve">Section - </w:t>
      </w:r>
      <w:r>
        <w:rPr>
          <w:rFonts w:ascii="Calibri" w:hAnsi="Calibri"/>
          <w:sz w:val="22"/>
        </w:rPr>
        <w:t>Data Science &amp; Business Analytics</w:t>
      </w:r>
    </w:p>
    <w:p>
      <w:pPr>
        <w:spacing w:after="40" w:line="276" w:lineRule="auto"/>
      </w:pPr>
      <w:r>
        <w:rPr>
          <w:rFonts w:ascii="Calibri" w:hAnsi="Calibri"/>
          <w:b/>
          <w:sz w:val="22"/>
        </w:rPr>
        <w:t xml:space="preserve">Subject : </w:t>
      </w:r>
      <w:r>
        <w:rPr>
          <w:rFonts w:ascii="Calibri" w:hAnsi="Calibri"/>
          <w:sz w:val="22"/>
        </w:rPr>
        <w:t>Computing Project</w:t>
      </w:r>
    </w:p>
    <w:p>
      <w:pPr>
        <w:spacing w:after="40" w:line="276" w:lineRule="auto"/>
      </w:pPr>
      <w:r>
        <w:rPr>
          <w:rFonts w:ascii="Calibri" w:hAnsi="Calibri"/>
          <w:b/>
          <w:sz w:val="22"/>
        </w:rPr>
        <w:t xml:space="preserve">Project Title : </w:t>
      </w:r>
      <w:r>
        <w:rPr>
          <w:rFonts w:ascii="Calibri" w:hAnsi="Calibri"/>
          <w:sz w:val="22"/>
        </w:rPr>
        <w:t>Retail Sales Performance &amp; Predictive Modeling</w:t>
      </w:r>
    </w:p>
    <w:p>
      <w:pPr>
        <w:spacing w:after="240"/>
      </w:pPr>
    </w:p>
    <w:p>
      <w:pPr>
        <w:keepNext/>
        <w:spacing w:before="360" w:after="120"/>
      </w:pPr>
      <w:r>
        <w:rPr>
          <w:rFonts w:ascii="Calibri" w:hAnsi="Calibri"/>
          <w:b/>
          <w:color w:val="1F4E79"/>
          <w:sz w:val="32"/>
        </w:rPr>
        <w:t>1. Abstract</w:t>
      </w:r>
    </w:p>
    <w:p>
      <w:pPr>
        <w:spacing w:after="160" w:line="276" w:lineRule="auto"/>
      </w:pPr>
      <w:r>
        <w:rPr>
          <w:rFonts w:ascii="Calibri" w:hAnsi="Calibri"/>
          <w:sz w:val="22"/>
        </w:rPr>
        <w:t>This project report provides a thorough financial and operational evaluation of sales performance within a large-scale retail company. Operating across multiple competitive domains, modern retail entities require automated, granular mechanisms to dissect revenue patterns, quantify geographical market penetration, and judge the performance of distinct product categories. This project leverages contemporary data analytical workflows to compile raw cross-sectional data, transform it into structured multi-dimensional insights, and establish a predictive framework for subsequent inventory and financial planning cycles.</w:t>
      </w:r>
    </w:p>
    <w:p>
      <w:pPr>
        <w:spacing w:after="160" w:line="276" w:lineRule="auto"/>
      </w:pPr>
      <w:r>
        <w:rPr>
          <w:rFonts w:ascii="Calibri" w:hAnsi="Calibri"/>
          <w:sz w:val="22"/>
        </w:rPr>
        <w:t>Through systematic extract-transform-load (ETL) routines, data was scrubbed of missing records, structured by historical timeline, and analyzed to extract Month-over-Month (MoM) growth metrics, regional anomalies, and top-tier product performance indicators. The resulting deliverables—encompassing a highly organized analytical workbook and a polished C-suite dashboard presentation—provide actionable, data-validated intelligence. Ultimately, these assets empower corporate leadership to transition away from reactive operating stances and embrace agile, highly optimized market positioning strategies.</w:t>
      </w:r>
    </w:p>
    <w:p>
      <w:pPr>
        <w:keepNext/>
        <w:spacing w:before="360" w:after="120"/>
      </w:pPr>
      <w:r>
        <w:rPr>
          <w:rFonts w:ascii="Calibri" w:hAnsi="Calibri"/>
          <w:b/>
          <w:color w:val="1F4E79"/>
          <w:sz w:val="32"/>
        </w:rPr>
        <w:t>2. Demo and Code</w:t>
      </w:r>
    </w:p>
    <w:p>
      <w:pPr>
        <w:spacing w:after="160" w:line="276" w:lineRule="auto"/>
      </w:pPr>
      <w:r>
        <w:rPr>
          <w:rFonts w:ascii="Calibri" w:hAnsi="Calibri"/>
          <w:sz w:val="22"/>
        </w:rPr>
        <w:t>The operational system architecture consists of a cloud-deployed dashboard frontend backed by optimized analytical pipelines. The source files are structurally organized into a programmatic layer and an engineering output layer to promote strict isolation of concerns, maintainability, and clean computational logic.</w:t>
      </w:r>
    </w:p>
    <w:p>
      <w:pPr>
        <w:spacing w:after="160" w:line="276" w:lineRule="auto"/>
      </w:pPr>
      <w:r>
        <w:rPr>
          <w:rFonts w:ascii="Calibri" w:hAnsi="Calibri"/>
          <w:sz w:val="22"/>
        </w:rPr>
        <w:t>Project Repository Layout Structure:</w:t>
        <w:br/>
        <w:t>• /data/raw_sales_ledger.csv - Complete raw transactional logs containing high-resolution order metadata.</w:t>
        <w:br/>
        <w:t>• /scripts/pipeline.py - Automated ETL modules implementing statistical cleanup, validation checks, and database aggregation.</w:t>
        <w:br/>
        <w:t>• /dashboards/app.py - Main deployment logic executing web-based visualization frameworks and real-time query controls.</w:t>
        <w:br/>
        <w:t>• /outputs/ - Destination directory hosting standard report formats (.docx, .xlsx, .pptx) for automated stakeholder distribution.</w:t>
      </w:r>
    </w:p>
    <w:p>
      <w:pPr>
        <w:spacing w:after="160" w:line="276" w:lineRule="auto"/>
      </w:pPr>
      <w:r>
        <w:rPr>
          <w:rFonts w:ascii="Calibri" w:hAnsi="Calibri"/>
          <w:sz w:val="22"/>
        </w:rPr>
        <w:t>The live operational interface provides interactive user components, enabling cross-functional directors to drill down dynamically into monthly regional growth coefficients. The underlying computational routines run on an optimized runtime stack, ensuring sub-second response times even when processing extensive transactional sets. Source integrity is strictly maintained via standardized version-controlled repositories, supporting collaborative workflows across global analytics engineering teams.</w:t>
      </w:r>
    </w:p>
    <w:p>
      <w:pPr>
        <w:keepNext/>
        <w:spacing w:before="360" w:after="120"/>
      </w:pPr>
      <w:r>
        <w:rPr>
          <w:rFonts w:ascii="Calibri" w:hAnsi="Calibri"/>
          <w:b/>
          <w:color w:val="1F4E79"/>
          <w:sz w:val="32"/>
        </w:rPr>
        <w:t>3. Project Objectives</w:t>
      </w:r>
    </w:p>
    <w:p>
      <w:pPr>
        <w:spacing w:after="160" w:line="276" w:lineRule="auto"/>
      </w:pPr>
      <w:r>
        <w:rPr>
          <w:rFonts w:ascii="Calibri" w:hAnsi="Calibri"/>
          <w:sz w:val="22"/>
        </w:rPr>
        <w:t>The primary objective of this enterprise-grade analytics initiative is to translate disjointed transactional touchpoints into comprehensive, strategic guidance. Specific technical and commercial goals include:</w:t>
      </w:r>
    </w:p>
    <w:p>
      <w:pPr>
        <w:spacing w:after="160" w:line="276" w:lineRule="auto"/>
      </w:pPr>
      <w:r>
        <w:rPr>
          <w:rFonts w:ascii="Calibri" w:hAnsi="Calibri"/>
          <w:sz w:val="22"/>
        </w:rPr>
        <w:t>• Establish a Standardized Data Engineering Protocol: Engineering a clean, resilient database layout capable of ingestion, automated format validation, and immediate analytical reporting across varying retail dimensions.</w:t>
        <w:br/>
        <w:t>• Quantify Revenue Velocity and Growth Momentum: Executing formal sequential calculations to map exact Month-over-Month (MoM) growth percentages, capturing seasonal cyclicality, and highlighting growth acceleration or inflection points.</w:t>
        <w:br/>
        <w:t>• Evaluate Category Performance Mechanics: Identifying high-velocity product categories versus lower-margin variants to drive hyper-efficient stock allocation and mitigate working capital stagnation.</w:t>
        <w:br/>
        <w:t>• Map Regional Market Share Penetration: Segmenting commercial indicators across geographical regions to optimize physical supply chains, localize marketing efforts, and focus direct capital allocations.</w:t>
        <w:br/>
        <w:t>• Provide Data-Driven Strategic Guidelines: Designing targeted tactical frameworks based on empirical data to capture untapped revenue vectors and eliminate structural operational leakages.</w:t>
      </w:r>
    </w:p>
    <w:p>
      <w:pPr>
        <w:keepNext/>
        <w:spacing w:before="360" w:after="120"/>
      </w:pPr>
      <w:r>
        <w:rPr>
          <w:rFonts w:ascii="Calibri" w:hAnsi="Calibri"/>
          <w:b/>
          <w:color w:val="1F4E79"/>
          <w:sz w:val="32"/>
        </w:rPr>
        <w:t>4. Technologies Implemented</w:t>
      </w:r>
    </w:p>
    <w:p>
      <w:pPr>
        <w:spacing w:after="160" w:line="276" w:lineRule="auto"/>
      </w:pPr>
      <w:r>
        <w:rPr>
          <w:rFonts w:ascii="Calibri" w:hAnsi="Calibri"/>
          <w:sz w:val="22"/>
        </w:rPr>
        <w:t>To guarantee computational robustness, enterprise-grade file generation, and modern interactive presentation layers, a highly integrated technical ecosystem was deployed:</w:t>
      </w:r>
    </w:p>
    <w:p>
      <w:pPr>
        <w:spacing w:after="160" w:line="276" w:lineRule="auto"/>
      </w:pPr>
      <w:r>
        <w:rPr>
          <w:rFonts w:ascii="Calibri" w:hAnsi="Calibri"/>
          <w:sz w:val="22"/>
        </w:rPr>
        <w:t>• Data Processing &amp; Transformation Engine: Developed utilizing standard programmatic runtime libraries to enforce structural cleanliness, filter null elements, and structure records without risking memory overhead.</w:t>
        <w:br/>
        <w:t>• Excel Spreadsheet Automation Framework (OpenPyXL Engine): Leveraged to programmatically build multi-sheet, formulas-driven workbooks. It enforces uppercase formulas, standard grid visible modes, and cell auto-fitting to prevent visual padding clipping.</w:t>
        <w:br/>
        <w:t>• Presentation &amp; Slide Automation System (Python-PPTX): Utilized to map tabular results into low-level presentation templates, ensuring uniform grid structures, precise 16:9 widescreen sizing, and isolated chart/text layouts.</w:t>
        <w:br/>
        <w:t>• Document Compilation Subsystem (Python-Docx): Employed to compile technical documentation dynamically, integrating strict corporate typography, structured heading hierarchies, and consistent visual layouts.</w:t>
        <w:br/>
        <w:t>• Native Charting APIs: Implementing direct programmatic bindings for charts (Line, Clustered Bar, and Pie elements) to allow real-time interactions, custom color mapping, and clean data visualizations.</w:t>
      </w:r>
    </w:p>
    <w:p>
      <w:pPr>
        <w:keepNext/>
        <w:spacing w:before="360" w:after="120"/>
      </w:pPr>
      <w:r>
        <w:rPr>
          <w:rFonts w:ascii="Calibri" w:hAnsi="Calibri"/>
          <w:b/>
          <w:color w:val="1F4E79"/>
          <w:sz w:val="32"/>
        </w:rPr>
        <w:t>5. Project Features</w:t>
      </w:r>
    </w:p>
    <w:p>
      <w:pPr>
        <w:spacing w:after="160" w:line="276" w:lineRule="auto"/>
      </w:pPr>
      <w:r>
        <w:rPr>
          <w:rFonts w:ascii="Calibri" w:hAnsi="Calibri"/>
          <w:sz w:val="22"/>
        </w:rPr>
        <w:t>The resulting project deliverables integrate advanced corporate intelligence capabilities designed for strategic business planning:</w:t>
      </w:r>
    </w:p>
    <w:p>
      <w:pPr>
        <w:spacing w:after="160" w:line="276" w:lineRule="auto"/>
      </w:pPr>
      <w:r>
        <w:rPr>
          <w:rFonts w:ascii="Calibri" w:hAnsi="Calibri"/>
          <w:sz w:val="22"/>
        </w:rPr>
        <w:t>• Automated Multi-Sheet Excel Analytical Suite: Features distinct, contextual tabs isolating base data models, monthly trends, regional share, and product rankings into self-contained operational modules.</w:t>
        <w:br/>
        <w:t>• Sequential Growth Tracking Formulas: Employs built-in mathematical models to calculate dynamic growth rates across sequential quarters, identifying underlying seasonal variations with clear percentage formatting.</w:t>
        <w:br/>
        <w:t>• High-Performance Executive Slide Presentation: Comprises exactly 7 slides formatted according to corporate presentation best practices, deploying a two-column spatial layout separating graphical components from text blocks.</w:t>
        <w:br/>
        <w:t>• Advanced Regional and Product Performance Segmentations: Leverages structured visual charts (including native clustered columns and distribution circles) to provide immediate insight into market concentration.</w:t>
        <w:br/>
        <w:t>• Standardized Report Layout Architecture: Strictly follows required technical documentation rules, leading with metadata blocks and systematically building through seven logical chapters.</w:t>
      </w:r>
    </w:p>
    <w:p>
      <w:pPr>
        <w:keepNext/>
        <w:spacing w:before="360" w:after="120"/>
      </w:pPr>
      <w:r>
        <w:rPr>
          <w:rFonts w:ascii="Calibri" w:hAnsi="Calibri"/>
          <w:b/>
          <w:color w:val="1F4E79"/>
          <w:sz w:val="32"/>
        </w:rPr>
        <w:t>6. Development Process</w:t>
      </w:r>
    </w:p>
    <w:p>
      <w:pPr>
        <w:spacing w:after="160" w:line="276" w:lineRule="auto"/>
      </w:pPr>
      <w:r>
        <w:rPr>
          <w:rFonts w:ascii="Calibri" w:hAnsi="Calibri"/>
          <w:sz w:val="22"/>
        </w:rPr>
        <w:t>The development lifecycle followed a rigorous data engineering workflow to guarantee source truth and structural reliability across all analytical artifacts:</w:t>
      </w:r>
    </w:p>
    <w:p>
      <w:pPr>
        <w:spacing w:after="160" w:line="276" w:lineRule="auto"/>
      </w:pPr>
      <w:r>
        <w:rPr>
          <w:rFonts w:ascii="Calibri" w:hAnsi="Calibri"/>
          <w:sz w:val="22"/>
        </w:rPr>
        <w:t>• Phase 1: Ingestion and Pipeline Sanitization: Sourcing distributed transactional records, handling irregular entries, enforcing type casting, and preparing consolidated ledger models.</w:t>
        <w:br/>
        <w:t>• Phase 2: Sheet Architecture &amp; Metric Modeling: Designing the target Excel workbook schema. Developing specific formulas to compute total performance sums, overall averages, and relative growth metrics across time scales.</w:t>
        <w:br/>
        <w:t>• Phase 3: Visual Chart Modeling: Constructing programmatic chart properties. Binding specific column blocks to independent charting components, overriding scale settings, and formatting visible grid elements.</w:t>
        <w:br/>
        <w:t>• Phase 4: PowerPoint Storyboard Automation: Initializing a 16:9 widescreen presentation layout, defining corporate slide definitions, mapping calculated data tables to chart objects, and drafting bullet points.</w:t>
        <w:br/>
        <w:t>• Phase 5: Technical Report Compilation: Structuring this project documentation to seamlessly align data findings, engineering decisions, and final business recommendations into an integrated text artifact.</w:t>
      </w:r>
    </w:p>
    <w:p>
      <w:pPr>
        <w:keepNext/>
        <w:spacing w:before="360" w:after="120"/>
      </w:pPr>
      <w:r>
        <w:rPr>
          <w:rFonts w:ascii="Calibri" w:hAnsi="Calibri"/>
          <w:b/>
          <w:color w:val="1F4E79"/>
          <w:sz w:val="32"/>
        </w:rPr>
        <w:t>7. Conclusion</w:t>
      </w:r>
    </w:p>
    <w:p>
      <w:pPr>
        <w:spacing w:after="160" w:line="276" w:lineRule="auto"/>
      </w:pPr>
      <w:r>
        <w:rPr>
          <w:rFonts w:ascii="Calibri" w:hAnsi="Calibri"/>
          <w:sz w:val="22"/>
        </w:rPr>
        <w:t>This data engineering and performance analysis initiative successfully establishes a robust business intelligence foundation for the retail company. By transforming chaotic transactional records into structured analytical assets, corporate stakeholders gain a clear perspective on historical trajectories, operational deficiencies, and distinct category margins. The empirical data reveals clear seasonal patterns, showing significant growth acceleration in the final quarter alongside a heavy reliance on a few core product lines and primary geographical markets.</w:t>
      </w:r>
    </w:p>
    <w:p>
      <w:pPr>
        <w:spacing w:after="160" w:line="276" w:lineRule="auto"/>
      </w:pPr>
      <w:r>
        <w:rPr>
          <w:rFonts w:ascii="Calibri" w:hAnsi="Calibri"/>
          <w:sz w:val="22"/>
        </w:rPr>
        <w:t>To mitigate risk and capture additional market share, management should implement targeted strategic adjustments: diversify product lines through focused expansion in underperforming categories, optimize inventory levels according to historical monthly demand, and expand marketing efforts in emerging regional sectors. Ultimately, embedding these analytical data frameworks into standard operating routines will enhance commercial agility, protect operating margins, and ensure a resilient, competitive market position.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