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AI-LMS UI Explanation Document</w:t>
      </w:r>
    </w:p>
    <w:p>
      <w:pPr>
        <w:pStyle w:val="Heading2"/>
      </w:pPr>
      <w:r>
        <w:t>Image 1</w:t>
      </w:r>
    </w:p>
    <w:p>
      <w:r>
        <w:t>Overall platform flow diagram showing navigation between landing page, authentication, dashboards, and feature modules.</w:t>
      </w:r>
    </w:p>
    <w:p>
      <w:r>
        <w:drawing>
          <wp:inline xmlns:a="http://schemas.openxmlformats.org/drawingml/2006/main" xmlns:pic="http://schemas.openxmlformats.org/drawingml/2006/picture">
            <wp:extent cx="4572000" cy="29326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18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32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Image 2</w:t>
      </w:r>
    </w:p>
    <w:p>
      <w:r>
        <w:t>Landing page UI highlighting value proposition, statistics cards, course categories, and primary CTA (Get a Free Consultation).</w:t>
      </w:r>
    </w:p>
    <w:p>
      <w:r>
        <w:drawing>
          <wp:inline xmlns:a="http://schemas.openxmlformats.org/drawingml/2006/main" xmlns:pic="http://schemas.openxmlformats.org/drawingml/2006/picture">
            <wp:extent cx="4572000" cy="29769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18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76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Image 3</w:t>
      </w:r>
    </w:p>
    <w:p>
      <w:r>
        <w:t>Student Login page UI with email/password fields, social login options, and promotional cards.</w:t>
      </w:r>
    </w:p>
    <w:p>
      <w:r>
        <w:drawing>
          <wp:inline xmlns:a="http://schemas.openxmlformats.org/drawingml/2006/main" xmlns:pic="http://schemas.openxmlformats.org/drawingml/2006/picture">
            <wp:extent cx="4572000" cy="29429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18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42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Image 4</w:t>
      </w:r>
    </w:p>
    <w:p>
      <w:r>
        <w:t>Student Registration page UI with form fields, terms acceptance, and social signup options.</w:t>
      </w:r>
    </w:p>
    <w:p>
      <w:r>
        <w:drawing>
          <wp:inline xmlns:a="http://schemas.openxmlformats.org/drawingml/2006/main" xmlns:pic="http://schemas.openxmlformats.org/drawingml/2006/picture">
            <wp:extent cx="4572000" cy="29867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184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86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Image 5</w:t>
      </w:r>
    </w:p>
    <w:p>
      <w:r>
        <w:t>Organization (College/School) Login UI with institution branding and credential-based access.</w:t>
      </w:r>
    </w:p>
    <w:p>
      <w:r>
        <w:drawing>
          <wp:inline xmlns:a="http://schemas.openxmlformats.org/drawingml/2006/main" xmlns:pic="http://schemas.openxmlformats.org/drawingml/2006/picture">
            <wp:extent cx="4572000" cy="29797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185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79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Image 6</w:t>
      </w:r>
    </w:p>
    <w:p>
      <w:r>
        <w:t>About Scoriant section explaining the organization overview with descriptive text and supporting imagery.</w:t>
      </w:r>
    </w:p>
    <w:p>
      <w:r>
        <w:drawing>
          <wp:inline xmlns:a="http://schemas.openxmlformats.org/drawingml/2006/main" xmlns:pic="http://schemas.openxmlformats.org/drawingml/2006/picture">
            <wp:extent cx="4572000" cy="26964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186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96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Image 7</w:t>
      </w:r>
    </w:p>
    <w:p>
      <w:r>
        <w:t>Promotional banner and client statistics section highlighting partnerships, learners, tutors, and CTA to join.</w:t>
      </w:r>
    </w:p>
    <w:p>
      <w:r>
        <w:drawing>
          <wp:inline xmlns:a="http://schemas.openxmlformats.org/drawingml/2006/main" xmlns:pic="http://schemas.openxmlformats.org/drawingml/2006/picture">
            <wp:extent cx="4572000" cy="28201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187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20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Image 8</w:t>
      </w:r>
    </w:p>
    <w:p>
      <w:r>
        <w:t>Advanced tools showcase section displaying AI Agent LLM, multilingual teacher, and other featured offerings.</w:t>
      </w:r>
    </w:p>
    <w:p>
      <w:r>
        <w:drawing>
          <wp:inline xmlns:a="http://schemas.openxmlformats.org/drawingml/2006/main" xmlns:pic="http://schemas.openxmlformats.org/drawingml/2006/picture">
            <wp:extent cx="4572000" cy="26889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188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8892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