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2" w:lineRule="auto"/>
        <w:jc w:val="center"/>
      </w:pPr>
      <w:r>
        <w:rPr>
          <w:rFonts w:ascii="DejaVu Sans" w:hAnsi="DejaVu Sans" w:eastAsia="DejaVu Sans"/>
        </w:rPr>
        <w:t>04-р үе шатны ажлын дэлгэрэнгүй заавар</w:t>
        <w:br/>
      </w:r>
      <w:r>
        <w:rPr>
          <w:rFonts w:ascii="DejaVu Sans" w:hAnsi="DejaVu Sans" w:eastAsia="DejaVu Sans"/>
          <w:color w:val="1F4E79"/>
          <w:sz w:val="36"/>
        </w:rPr>
        <w:t>Preliminary Prospect Delineation and Ranking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Энэхүү баримт бичиг нь “04. Phase 4 — Preliminary Prospect Delineation and Ranking” ажлыг бодитоор гүйцэтгэх дэлгэрэнгүй аргачлал, folder structure, QGIS болон scoring spreadsheet-ийн шаардлага, QA/QC шалгалт, expected output болон decision gate-ийг бүрэн тусгасан заавар юм.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Subsection</w:t>
            </w:r>
          </w:p>
        </w:tc>
        <w:tc>
          <w:tcPr>
            <w:tcW w:type="dxa" w:w="8496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Methodology detail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Зорилго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Desktop evidence-үүдийг 100 онооны scoring matrix-аар preliminary prospect болгох.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Input files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Input files: Phase 1–3 processed outputs + source raw inputs №1–78 as traceable evidence basis. Key direct evidence sources: №47–52 geochemistry/field observations, №53–68 geology/occurrence/prospectivity/source materials, №69–72 metallogenic context, №9–46 and №73–78 terrain/remote sensing support, №8 license boundary.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Software / equipment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QGIS, scoring spreadsheet, prospect register.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DejaVu Sans" w:hAnsi="DejaVu Sans" w:eastAsia="DejaVu Sans"/>
        </w:rPr>
        <w:t>1. Ажлын зорилго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Энэ ажлын зорилго нь хайгуулын өмнөх үе шатуудаас боловсруулсан геологи, структур, эрдэсжилт, геохими, remote sensing, DEM terrain, field observation болон CMCS/лицензийн мэдээллийг нэгтгэж дараах үр дүнг гаргах явдал юм.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Боломжит prospect polygon-уудыг зурж тогтоох;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Prospect бүрт нотлох баримтын давхаргуудыг холбох;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100 онооны scoring matrix ашиглан үнэлгээ хийх;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Prospect бүрийг A/B/C/D ангилалд оруулах;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Дараагийн шатанд drone survey, reconnaissance mapping, эсвэл data gap нөхөх ажлыг санал болгох;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Go / No-Go шийдвэрийн үндэслэл гаргах.</w:t>
      </w:r>
    </w:p>
    <w:p>
      <w:pPr>
        <w:pStyle w:val="Heading1"/>
        <w:spacing w:after="80" w:line="252" w:lineRule="auto"/>
      </w:pPr>
      <w:r>
        <w:rPr>
          <w:rFonts w:ascii="DejaVu Sans" w:hAnsi="DejaVu Sans" w:eastAsia="DejaVu Sans"/>
        </w:rPr>
        <w:t>2. Ашиглах үндсэн input файлууд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2.1 Phase 1–3-аас гарсан боловсруулсан output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Үүнд дараах боловсруулсан үр дүн, spatial layer болон тайлбар материалууд орно.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Геологийн нэгтгэсэн зураглал;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Литологи, структур, fault, shear zone, contact zone;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Alteration / mineralization indication;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Remote sensing interpretation;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DEM terrain analysis;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Deposit model preparation;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Existing occurrence / mineral showing мэдээлэл;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Field observation point;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Stream sediment / heavy mineral / geochemical anomaly;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License boundary болон access нөхцөл.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2.2 Source raw input evidence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Зурагт дурдсан evidence эх сурвалжуудыг prospect polygon бүртэй traceable байдлаар холбож өгөх шаардлагатай.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№1–78: traceable evidence basis;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№47–52: geochemistry / field observations;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№53–68: geology / occurrence / prospectivity source materials;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№69–72: metallogenic context;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№9–46 болон №73–78: terrain / remote sensing support;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№8: license boundary.</w:t>
      </w:r>
    </w:p>
    <w:p>
      <w:pPr>
        <w:pStyle w:val="Heading1"/>
        <w:spacing w:after="80" w:line="252" w:lineRule="auto"/>
      </w:pPr>
      <w:r>
        <w:rPr>
          <w:rFonts w:ascii="DejaVu Sans" w:hAnsi="DejaVu Sans" w:eastAsia="DejaVu Sans"/>
        </w:rPr>
        <w:t>3. Ажлын folder structure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Phase 4-ийн бүх файлыг дараах бүтэцтэй хадгална.</w:t>
      </w:r>
    </w:p>
    <w:p>
      <w:pPr>
        <w:pStyle w:val="CodeBlock"/>
        <w:shd w:fill="F2F2F2"/>
        <w:spacing w:after="80" w:line="252" w:lineRule="auto"/>
      </w:pPr>
      <w:r>
        <w:rPr>
          <w:rFonts w:ascii="DejaVu Sans" w:hAnsi="DejaVu Sans" w:eastAsia="DejaVu Sans"/>
        </w:rPr>
        <w:t>04_Phase_4_Preliminary_Prospect_Delineation_and_Ranking/</w:t>
        <w:br/>
        <w:t>├── 01_Evidence_Overlay/</w:t>
        <w:br/>
        <w:t>├── 02_Prospect_Polygon_Delineation/</w:t>
        <w:br/>
        <w:t>├── 03_Scoring_Matrix/</w:t>
        <w:br/>
        <w:t>├── 04_Confidence_DataGap_NextAction/</w:t>
        <w:br/>
        <w:t>└── 05_A_B_C_D_Field_Priority/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Folder бүрийн зориулалт</w:t>
      </w:r>
    </w:p>
    <w:p>
      <w:pPr>
        <w:pStyle w:val="Heading3"/>
        <w:spacing w:after="80" w:line="252" w:lineRule="auto"/>
      </w:pPr>
      <w:r>
        <w:rPr>
          <w:rFonts w:ascii="DejaVu Sans" w:hAnsi="DejaVu Sans" w:eastAsia="DejaVu Sans"/>
        </w:rPr>
        <w:t>01_Evidence_Overlay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Бүх нотлох давхаргуудыг нэг QGIS project-д давхарлаж харуулах folder.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Evidence overlay QGIS project;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Geology layer;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Occurrence layer;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Geochemistry anomaly layer;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Stream / heavy mineral layer;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ASTER / Sentinel interpretation;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KOMPSAT lineament / outcrop interpretation;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DEM terrain layer;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CMCS context;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License boundary.</w:t>
      </w:r>
    </w:p>
    <w:p>
      <w:pPr>
        <w:pStyle w:val="Heading3"/>
        <w:spacing w:after="80" w:line="252" w:lineRule="auto"/>
      </w:pPr>
      <w:r>
        <w:rPr>
          <w:rFonts w:ascii="DejaVu Sans" w:hAnsi="DejaVu Sans" w:eastAsia="DejaVu Sans"/>
        </w:rPr>
        <w:t>02_Prospect_Polygon_Delineation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Prospect polygon зурсан үндсэн spatial dataset-ууд хадгалагдана.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Prospect polygon geopackage;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Polygon drawing version history;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Prospect boundary notes;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Draft target areas;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Final preliminary prospect polygons.</w:t>
      </w:r>
    </w:p>
    <w:p>
      <w:pPr>
        <w:pStyle w:val="Heading3"/>
        <w:spacing w:after="80" w:line="252" w:lineRule="auto"/>
      </w:pPr>
      <w:r>
        <w:rPr>
          <w:rFonts w:ascii="DejaVu Sans" w:hAnsi="DejaVu Sans" w:eastAsia="DejaVu Sans"/>
        </w:rPr>
        <w:t>03_Scoring_Matrix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100 онооны үнэлгээний spreadsheet хадгалагдана.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Prospect бүрийн оноо;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Evidence category score;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Confidence score;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Data gap;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Ranking;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A/B/C/D ангилал;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Reviewer note;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Decision log.</w:t>
      </w:r>
    </w:p>
    <w:p>
      <w:pPr>
        <w:pStyle w:val="Heading3"/>
        <w:spacing w:after="80" w:line="252" w:lineRule="auto"/>
      </w:pPr>
      <w:r>
        <w:rPr>
          <w:rFonts w:ascii="DejaVu Sans" w:hAnsi="DejaVu Sans" w:eastAsia="DejaVu Sans"/>
        </w:rPr>
        <w:t>04_Confidence_DataGap_NextAction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Prospect бүрийн итгэлцүүр, дутуу мэдээлэл, дараагийн хийх ажлын санал хадгалагдана.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Confidence flag;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Missing evidence;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Recommended validation work;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Drone survey requirement;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Recon mapping requirement;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Sampling requirement;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Access / safety note.</w:t>
      </w:r>
    </w:p>
    <w:p>
      <w:pPr>
        <w:pStyle w:val="Heading3"/>
        <w:spacing w:after="80" w:line="252" w:lineRule="auto"/>
      </w:pPr>
      <w:r>
        <w:rPr>
          <w:rFonts w:ascii="DejaVu Sans" w:hAnsi="DejaVu Sans" w:eastAsia="DejaVu Sans"/>
        </w:rPr>
        <w:t>05_A_B_C_D_Field_Priority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Эцсийн эрэмбэлсэн prospect жагсаалт болон field priority map хадгална.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 priority prospect;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B priority prospect;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C retained with data gap;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 low priority / no-go;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Field campaign planning map;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Go / No-Go decision matrix.</w:t>
      </w:r>
    </w:p>
    <w:p>
      <w:pPr>
        <w:pStyle w:val="Heading1"/>
        <w:spacing w:after="80" w:line="252" w:lineRule="auto"/>
      </w:pPr>
      <w:r>
        <w:rPr>
          <w:rFonts w:ascii="DejaVu Sans" w:hAnsi="DejaVu Sans" w:eastAsia="DejaVu Sans"/>
        </w:rPr>
        <w:t>4. Програм, хэрэгсэл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4.1 QGIS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QGIS дээр дараах ажлуудыг гүйцэтгэнэ.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Evidence layer-үүдийг overlay хийх;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Prospect polygon зурах;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Атрибут хүснэгт үүсгэх;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Score-ийг spatial layer-тэй холбох;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Ranking map гаргах;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Layout map экспортлох.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4.2 Excel / Google Sheets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Spreadsheet дээр дараах ажлуудыг гүйцэтгэнэ.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100 онооны scoring matrix боловсруулах;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Prospect бүрийн оноо бодох;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A/B/C/D ангилал автоматаар гаргах;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Data gap болон next action бүртгэх;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QA/QC log хөтлөх.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4.3 Prospect register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Prospect бүрийн үндсэн бүртгэлийг хөтөлнө.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Талбар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Тайлбар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Prospect_ID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Жишээ: PR-01, PR-02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Prospect_Name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Талбайн нэр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License_No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Лицензийн дугаар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Area_ha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Талбайн хэмжээ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Dominant_Deposit_Model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Гол deposit model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Model_Confidence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High / Medium / Low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Evidence_Score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Нотлох мэдээллийн оноо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Total_Score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Нийт 100 оноо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Class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 / B / C / D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Data_Gap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Дутуу мэдээлэл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Next_Action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Drone / Recon / Sampling / Hold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Access_Risk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Low / Medium / High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Safety_Risk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Low / Medium / High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Reviewer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Хянасан хүн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Decision_Date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Шийдвэрийн огноо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DejaVu Sans" w:hAnsi="DejaVu Sans" w:eastAsia="DejaVu Sans"/>
        </w:rPr>
        <w:t>5. Алхамчилсан ажлын аргачлал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Алхам 1. Phase 1–3 output-уудыг шалгах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Юуны өмнө Phase 1, Phase 2, Phase 3-аас гарсан бүх output бүрэн байгаа эсэхийг шалгана.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Шалгах зүйлс: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Геологийн layer бүрэн эсэх;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Occurrence / mineral showing dataset байгаа эсэх;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Geochemistry anomaly dataset байгаа эсэх;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Remote sensing interpretation layer байгаа эсэх;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DEM terrain result байгаа эсэх;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Deposit model preparation output байгаа эсэх;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License boundary зөв эсэх;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Coordinate reference system нэг стандартад байгаа эсэх;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Файлын нэршил project naming convention-тэй нийцэж байгаа эсэх.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Хэрэв CRS өөр байвал бүх spatial layer-ийг нэг CRS-д хөрвүүлнэ. Жишээ нь Mongolia-д ихэвчлэн UTM zone-based projection ашиглаж болно.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Алхам 2. Evidence overlay үүсгэх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QGIS дээр шинэ project үүсгээд дараах layer-үүдийг нэг дор оруулна.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Давхарлах layer-үүд:</w:t>
      </w:r>
    </w:p>
    <w:p>
      <w:pPr>
        <w:pStyle w:val="ListNumber"/>
        <w:spacing w:after="80" w:line="252" w:lineRule="auto"/>
      </w:pPr>
      <w:r>
        <w:rPr>
          <w:rFonts w:ascii="DejaVu Sans" w:hAnsi="DejaVu Sans" w:eastAsia="DejaVu Sans"/>
        </w:rPr>
        <w:t>License boundary;</w:t>
      </w:r>
    </w:p>
    <w:p>
      <w:pPr>
        <w:pStyle w:val="ListNumber"/>
        <w:spacing w:after="80" w:line="252" w:lineRule="auto"/>
      </w:pPr>
      <w:r>
        <w:rPr>
          <w:rFonts w:ascii="DejaVu Sans" w:hAnsi="DejaVu Sans" w:eastAsia="DejaVu Sans"/>
        </w:rPr>
        <w:t>Geological units;</w:t>
      </w:r>
    </w:p>
    <w:p>
      <w:pPr>
        <w:pStyle w:val="ListNumber"/>
        <w:spacing w:after="80" w:line="252" w:lineRule="auto"/>
      </w:pPr>
      <w:r>
        <w:rPr>
          <w:rFonts w:ascii="DejaVu Sans" w:hAnsi="DejaVu Sans" w:eastAsia="DejaVu Sans"/>
        </w:rPr>
        <w:t>Fault / structure / lineament;</w:t>
      </w:r>
    </w:p>
    <w:p>
      <w:pPr>
        <w:pStyle w:val="ListNumber"/>
        <w:spacing w:after="80" w:line="252" w:lineRule="auto"/>
      </w:pPr>
      <w:r>
        <w:rPr>
          <w:rFonts w:ascii="DejaVu Sans" w:hAnsi="DejaVu Sans" w:eastAsia="DejaVu Sans"/>
        </w:rPr>
        <w:t>Known mineral occurrence;</w:t>
      </w:r>
    </w:p>
    <w:p>
      <w:pPr>
        <w:pStyle w:val="ListNumber"/>
        <w:spacing w:after="80" w:line="252" w:lineRule="auto"/>
      </w:pPr>
      <w:r>
        <w:rPr>
          <w:rFonts w:ascii="DejaVu Sans" w:hAnsi="DejaVu Sans" w:eastAsia="DejaVu Sans"/>
        </w:rPr>
        <w:t>Geochemical anomaly;</w:t>
      </w:r>
    </w:p>
    <w:p>
      <w:pPr>
        <w:pStyle w:val="ListNumber"/>
        <w:spacing w:after="80" w:line="252" w:lineRule="auto"/>
      </w:pPr>
      <w:r>
        <w:rPr>
          <w:rFonts w:ascii="DejaVu Sans" w:hAnsi="DejaVu Sans" w:eastAsia="DejaVu Sans"/>
        </w:rPr>
        <w:t>Stream sediment result;</w:t>
      </w:r>
    </w:p>
    <w:p>
      <w:pPr>
        <w:pStyle w:val="ListNumber"/>
        <w:spacing w:after="80" w:line="252" w:lineRule="auto"/>
      </w:pPr>
      <w:r>
        <w:rPr>
          <w:rFonts w:ascii="DejaVu Sans" w:hAnsi="DejaVu Sans" w:eastAsia="DejaVu Sans"/>
        </w:rPr>
        <w:t>Heavy mineral result;</w:t>
      </w:r>
    </w:p>
    <w:p>
      <w:pPr>
        <w:pStyle w:val="ListNumber"/>
        <w:spacing w:after="80" w:line="252" w:lineRule="auto"/>
      </w:pPr>
      <w:r>
        <w:rPr>
          <w:rFonts w:ascii="DejaVu Sans" w:hAnsi="DejaVu Sans" w:eastAsia="DejaVu Sans"/>
        </w:rPr>
        <w:t>Alteration / ASTER;</w:t>
      </w:r>
    </w:p>
    <w:p>
      <w:pPr>
        <w:pStyle w:val="ListNumber"/>
        <w:spacing w:after="80" w:line="252" w:lineRule="auto"/>
      </w:pPr>
      <w:r>
        <w:rPr>
          <w:rFonts w:ascii="DejaVu Sans" w:hAnsi="DejaVu Sans" w:eastAsia="DejaVu Sans"/>
        </w:rPr>
        <w:t>Sentinel interpretation;</w:t>
      </w:r>
    </w:p>
    <w:p>
      <w:pPr>
        <w:pStyle w:val="ListNumber"/>
        <w:spacing w:after="80" w:line="252" w:lineRule="auto"/>
      </w:pPr>
      <w:r>
        <w:rPr>
          <w:rFonts w:ascii="DejaVu Sans" w:hAnsi="DejaVu Sans" w:eastAsia="DejaVu Sans"/>
        </w:rPr>
        <w:t>KOMPSAT lineament / outcrop;</w:t>
      </w:r>
    </w:p>
    <w:p>
      <w:pPr>
        <w:pStyle w:val="ListNumber"/>
        <w:spacing w:after="80" w:line="252" w:lineRule="auto"/>
      </w:pPr>
      <w:r>
        <w:rPr>
          <w:rFonts w:ascii="DejaVu Sans" w:hAnsi="DejaVu Sans" w:eastAsia="DejaVu Sans"/>
        </w:rPr>
        <w:t>DEM slope / ridge / drainage;</w:t>
      </w:r>
    </w:p>
    <w:p>
      <w:pPr>
        <w:pStyle w:val="ListNumber"/>
        <w:spacing w:after="80" w:line="252" w:lineRule="auto"/>
      </w:pPr>
      <w:r>
        <w:rPr>
          <w:rFonts w:ascii="DejaVu Sans" w:hAnsi="DejaVu Sans" w:eastAsia="DejaVu Sans"/>
        </w:rPr>
        <w:t>Access road / track;</w:t>
      </w:r>
    </w:p>
    <w:p>
      <w:pPr>
        <w:pStyle w:val="ListNumber"/>
        <w:spacing w:after="80" w:line="252" w:lineRule="auto"/>
      </w:pPr>
      <w:r>
        <w:rPr>
          <w:rFonts w:ascii="DejaVu Sans" w:hAnsi="DejaVu Sans" w:eastAsia="DejaVu Sans"/>
        </w:rPr>
        <w:t>Field observation point;</w:t>
      </w:r>
    </w:p>
    <w:p>
      <w:pPr>
        <w:pStyle w:val="ListNumber"/>
        <w:spacing w:after="80" w:line="252" w:lineRule="auto"/>
      </w:pPr>
      <w:r>
        <w:rPr>
          <w:rFonts w:ascii="DejaVu Sans" w:hAnsi="DejaVu Sans" w:eastAsia="DejaVu Sans"/>
        </w:rPr>
        <w:t>CMCS / regional metallogenic context.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Энэ overlay-ийн зорилго нь нэг газар дээр олон төрлийн эерэг нотолгоо давхцаж байгаа хэсгүүдийг илрүүлэх юм.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Алхам 3. Evidence давхцлын бүсүүдийг тодорхойлох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QGIS дээр дараах асуултаар талбайг шинжилнэ.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Геохимийн anomaly нь fault эсвэл contact zone-той давхцаж байна уу?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Known occurrence-тэй ойролцоо байна уу?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ASTER alteration signature илэрч байна уу?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DEM terrain нь structural control-той нийцэж байна уу?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Remote sensing lineament нь geological structure-тэй давхцаж байна уу?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Stream / heavy mineral result тухайн drainage basin-д эерэг байна уу?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Field observation point дээр mineralization, alteration, vein, gossan, quartz zone тэмдэглэгдсэн үү?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Deposit model-той нийцэх geological setting байна уу?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Access болон safety condition field work хийх боломжтой юу?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Эдгээр асуултын хариултаар preliminary prospect candidate area-уудыг сонгоно.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Алхам 4. Prospect polygon зурах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Evidence давхцсан хэсгүүд дээр prospect polygon зурна.</w:t>
      </w:r>
    </w:p>
    <w:p>
      <w:pPr>
        <w:pStyle w:val="Heading3"/>
        <w:spacing w:after="80" w:line="252" w:lineRule="auto"/>
      </w:pPr>
      <w:r>
        <w:rPr>
          <w:rFonts w:ascii="DejaVu Sans" w:hAnsi="DejaVu Sans" w:eastAsia="DejaVu Sans"/>
        </w:rPr>
        <w:t>Polygon зурах үндсэн зарчим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Prospect polygon нь дараах шаардлагыг хангана.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Геологийн хувьд утгатай байх;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Нэг deposit model эсвэл нэг structural trend-тэй холбоотой байх;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Evidence concentration бүхий хэсгийг хамрах;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Хэт том, ерөнхий boundary биш байх;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Хэт жижиг, ганц point-д тулгуурласан биш байх;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Field validation хийх боломжтой хэмжээтэй байх;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Лицензийн boundary дотор байх;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Access болон terrain нөхцөлтэй уялдах.</w:t>
      </w:r>
    </w:p>
    <w:p>
      <w:pPr>
        <w:pStyle w:val="Heading3"/>
        <w:spacing w:after="80" w:line="252" w:lineRule="auto"/>
      </w:pPr>
      <w:r>
        <w:rPr>
          <w:rFonts w:ascii="DejaVu Sans" w:hAnsi="DejaVu Sans" w:eastAsia="DejaVu Sans"/>
        </w:rPr>
        <w:t>Polygon зурахад анхаарах зүйл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Prospect boundary-г дараах шалтгаанаар тогтооно.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Fault / shear zone дагасан trend;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Lithological contact;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Alteration zone;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Geochemical anomaly envelope;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Occurrence cluster;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Drainage catchment;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Remote sensing lineament;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Terrain expression;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Outcrop distribution.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Polygon бүрт заавал Prospect_ID өгнө.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Жишээ:</w:t>
      </w:r>
    </w:p>
    <w:p>
      <w:pPr>
        <w:pStyle w:val="CodeBlock"/>
        <w:shd w:fill="F2F2F2"/>
        <w:spacing w:after="80" w:line="252" w:lineRule="auto"/>
      </w:pPr>
      <w:r>
        <w:rPr>
          <w:rFonts w:ascii="DejaVu Sans" w:hAnsi="DejaVu Sans" w:eastAsia="DejaVu Sans"/>
        </w:rPr>
        <w:t>PR-01</w:t>
        <w:br/>
        <w:t>PR-02</w:t>
        <w:br/>
        <w:t>PR-03</w:t>
        <w:br/>
        <w:t>PR-04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Алхам 5. Prospect polygon attribute table үүсгэх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QGIS-ийн polygon layer дээр дараах attribute талбаруудыг үүсгэнэ.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Field name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Type</w:t>
            </w:r>
          </w:p>
        </w:tc>
        <w:tc>
          <w:tcPr>
            <w:tcW w:type="dxa" w:w="6192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Тайлбар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Prospect_ID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Text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PR-01 гэх мэт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Prospect_Name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Text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Prospect нэр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Area_ha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Decimal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Га талбай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License_No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Text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Лицензийн дугаар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Dominant_Model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Text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Гол deposit model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Model_Confidence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Text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High / Medium / Low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Geo_Evidence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Integer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Геологийн оноо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Geochem_Evidence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Integer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Геохимийн оноо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Occurrence_Evidence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Integer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Occurrence оноо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RS_Evidence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Integer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Remote sensing оноо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Terrain_Evidence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Integer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DEM/terrain оноо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Access_Score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Integer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Access score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Safety_Risk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Text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Low / Medium / High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Data_Gap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Text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Дутуу мэдээлэл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Next_Action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Text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Drone / Recon / Sampling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Total_Score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Integer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Нийт оноо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Class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Text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 / B / C / 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Reviewer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Text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Хянасан хүн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Decision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Text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Go / Hold / No-Go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DejaVu Sans" w:hAnsi="DejaVu Sans" w:eastAsia="DejaVu Sans"/>
        </w:rPr>
        <w:t>6. 100 онооны scoring matrix боловсруулах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Prospect бүрийг нийт 100 оноогоор үнэлнэ. Доорх жишиг матрицыг ашиглаж болно.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6.1 Санал болгож буй scoring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608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Үнэлгээний бүлэг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Дээд оноо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Тайлбар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Geological setting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20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Литологи, contact, structure, alteration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Mineral occurrence evidence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15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Known occurrence, showing, field observation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Geochemical evidence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20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Stream, soil, rock, heavy mineral anomaly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Remote sensing evidence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15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ASTER, Sentinel, KOMPSAT indication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Structural / lineament control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10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Fault, shear, fold, lineament density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Deposit model fit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10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Phase 3 deposit model-той нийцэл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Access / field practicality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5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Зам, terrain, logistics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Confidence / data completeness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5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Evidence-ийн бүрэн байдал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Нийт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100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6.2 Geological setting score — 20 оноо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0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Нөхцөл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Оноо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Favorable lithology + structure + alteration бүгд илэрсэн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17–20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Favorable lithology + structure байгаа, alteration сул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13–16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Зөвхөн favorable lithology эсвэл structure байгаа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8–12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Геологийн үндэслэл сул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1–7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Нотлох мэдээлэл байхгүй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6.3 Mineral occurrence evidence — 15 оноо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0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Нөхцөл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Оноо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Prospect дотор known mineral occurrence / showing байгаа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12–15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Prospect-той шууд ойролцоо occurrence байгаа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8–11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Regional occurrence trend-тэй холбоотой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4–7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Occurrence evidence сул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1–3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Байхгүй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6.4 Geochemical evidence — 20 оноо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0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Нөхцөл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Оноо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Олон element anomaly + coherent spatial pattern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17–20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Нэгээс дээш sample type дээр anomaly батлагдсан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13–16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Нэг төрлийн geochemical anomaly байгаа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8–12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Сул эсвэл isolated anomaly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1–7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Байхгүй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6.5 Remote sensing evidence — 15 оноо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0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Нөхцөл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Оноо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ASTER/Sentinel alteration + KOMPSAT lineament/outcrop давхцсан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12–15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Хоёр remote sensing evidence давхцсан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8–11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Нэг төрлийн RS evidence байгаа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4–7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Сул indication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1–3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Байхгүй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6.6 Structural / lineament control — 10 оноо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0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Нөхцөл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Оноо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Major structure, intersection, fault corridor дээр байрласан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8–10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Structure-тэй тодорхой холбоотой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5–7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Regional trend-тэй сул холбоотой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2–4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Structural evidence байхгүй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0–1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6.7 Deposit model fit — 10 оноо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Phase 3-ийн Deposit Model Preparation-аас гарсан model score-ийг энд заавал холбож оруулна.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0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Нөхцөл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Оноо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Deposit model-той маш сайн нийцсэн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8–10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Дунд зэрэг нийцсэн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5–7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Сул нийцсэн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2–4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Нийцэл тодорхойгүй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0–1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rFonts w:ascii="DejaVu Sans" w:hAnsi="DejaVu Sans" w:eastAsia="DejaVu Sans"/>
        </w:rPr>
        <w:t>Prospect бүрт дараах талбаруудыг нэмнэ: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dominant_deposit_model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model_confidence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missing_model_evidence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validation_priority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6.8 Access / field practicality — 5 оноо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0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Нөхцөл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Оноо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Хялбар хүрэх боломжтой, field validation хийхэд тохиромжтой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5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Дунд зэргийн access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3–4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Хүнд access, terrain risk өндөр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1–2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Field access боломжгүй эсвэл аюултай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6.9 Confidence / data completeness — 5 оноо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0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Нөхцөл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Оноо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Олон төрлийн evidence бүрэн, traceable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5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Ихэнх evidence байгаа боловч minor gap байна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3–4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Гол evidence дутуу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1–2</w:t>
            </w:r>
          </w:p>
        </w:tc>
      </w:tr>
      <w:tr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Маш их data gap байна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DejaVu Sans" w:hAnsi="DejaVu Sans" w:eastAsia="DejaVu Sans"/>
        </w:rPr>
        <w:t>7. A/B/C/D ангиллын дүрэм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Нийт оноог дараах байдлаар ангилна.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Ангилал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Оноо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Тайлбар</w:t>
            </w:r>
          </w:p>
        </w:tc>
        <w:tc>
          <w:tcPr>
            <w:tcW w:type="dxa" w:w="4176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Дараагийн арга хэмжээ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≥75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Өндөр ач холбогдолтой prospect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Drone survey + recon mapping + sampling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B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55–74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Дунд-өндөр ач холбогдолтой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Recon mapping + selective sampling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35–54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Data gap ихтэй, хадгалж ажиглах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Нэмэлт мэдээлэл цуглуулах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&lt;35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Бага ач холбогдолтой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No-Go эсвэл low priority archive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DejaVu Sans" w:hAnsi="DejaVu Sans" w:eastAsia="DejaVu Sans"/>
        </w:rPr>
        <w:t>8. Confidence flag, data gap, next action бөглөх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Prospect polygon бүр дээр оноо өгөхөөс гадна дараах гурван зүйлийг заавал бөглөнө.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8.1 Confidence flag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Flag</w:t>
            </w:r>
          </w:p>
        </w:tc>
        <w:tc>
          <w:tcPr>
            <w:tcW w:type="dxa" w:w="8640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Тайлбар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High</w:t>
            </w:r>
          </w:p>
        </w:tc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Олон эх сурвалжийн evidence давхцсан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Medium</w:t>
            </w:r>
          </w:p>
        </w:tc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Зарим evidence байгаа боловч баталгаажуулалт хэрэгтэй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Low</w:t>
            </w:r>
          </w:p>
        </w:tc>
        <w:tc>
          <w:tcPr>
            <w:tcW w:type="dxa" w:w="86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Evidence сул, data gap өндөр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8.2 Data gap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Жишээ data gap: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Геохимийн sample density хангалтгүй;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Field observation point байхгүй;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Alteration interpretation баталгаажаагүй;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Occurrence мэдээлэл хуучин;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Deposit model evidence дутуу;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Access road тодорхойгүй;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DEM terrain risk шалгаагүй;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License boundary overlap шалгах шаардлагатай.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8.3 Next action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Жишээ next action: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Drone survey;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Reconnaissance mapping;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Rock chip sampling;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Stream sediment infill sampling;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Soil sampling;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Ground truthing of alteration;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Structural traverse;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Access route inspection;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No immediate action.</w:t>
      </w:r>
    </w:p>
    <w:p>
      <w:pPr>
        <w:pStyle w:val="Heading1"/>
        <w:spacing w:after="80" w:line="252" w:lineRule="auto"/>
      </w:pPr>
      <w:r>
        <w:rPr>
          <w:rFonts w:ascii="DejaVu Sans" w:hAnsi="DejaVu Sans" w:eastAsia="DejaVu Sans"/>
        </w:rPr>
        <w:t>9. QA/QC шалгалт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Phase 4-ийн QA/QC нь зөвхөн map харах биш, scoring болон decision process зөв эсэхийг шалгах зорилготой.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QA/QC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QA/QC item</w:t>
            </w:r>
          </w:p>
        </w:tc>
        <w:tc>
          <w:tcPr>
            <w:tcW w:type="dxa" w:w="6192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Шалгах зүйл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100-point matrix calculated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Prospect бүрийн оноо бүрэн бодогдсон эсэх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Confidence / data gap / next action filled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Дутуу талбар үлдээгүй эсэх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A/B/C/D class reviewed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Ангилал оноотой нийцэж байгаа эсэх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Field access and safety checked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Field ажил хийх боломж, эрсдэл шалгасан эсэх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Deposit model score linked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Phase 3 deposit model score орсон эсэх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Evidence traceability checked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Prospect бүр ямар эх сурвалжаар дэмжигдсэн нь тодорхой эсэх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Reviewer / date / decision recorded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Хэн, хэзээ, ямар шийдвэр гаргасан нь бүртгэгдсэн эсэх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rFonts w:ascii="DejaVu Sans" w:hAnsi="DejaVu Sans" w:eastAsia="DejaVu Sans"/>
        </w:rPr>
        <w:t>QA/QC бүрийг phase QA/QC log-д бүртгэнэ.</w:t>
      </w:r>
    </w:p>
    <w:p>
      <w:pPr>
        <w:pStyle w:val="Heading1"/>
        <w:spacing w:after="80" w:line="252" w:lineRule="auto"/>
      </w:pPr>
      <w:r>
        <w:rPr>
          <w:rFonts w:ascii="DejaVu Sans" w:hAnsi="DejaVu Sans" w:eastAsia="DejaVu Sans"/>
        </w:rPr>
        <w:t>10. Expected outputs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Эцэст нь дараах output файлуудыг гаргана.</w:t>
      </w:r>
    </w:p>
    <w:p>
      <w:pPr>
        <w:pStyle w:val="CodeBlock"/>
        <w:shd w:fill="F2F2F2"/>
        <w:spacing w:after="80" w:line="252" w:lineRule="auto"/>
      </w:pPr>
      <w:r>
        <w:rPr>
          <w:rFonts w:ascii="DejaVu Sans" w:hAnsi="DejaVu Sans" w:eastAsia="DejaVu Sans"/>
        </w:rPr>
        <w:t>XV-023222_Buduunkhad_Preliminary_Prospect_Ranking_Map.pdf</w:t>
        <w:br/>
        <w:t>XV-023222_Buduunkhad_Prospect_Polygons.gpkg</w:t>
        <w:br/>
        <w:t>XV-023222_Buduunkhad_Prospect_Ranking_Table.xlsx</w:t>
        <w:br/>
        <w:t>XV-023222_Buduunkhad_Go_NoGo_Desktop_Decision_Matrix.xlsx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Output бүрийн агуулга</w:t>
      </w:r>
    </w:p>
    <w:p>
      <w:pPr>
        <w:pStyle w:val="Heading3"/>
        <w:spacing w:after="80" w:line="252" w:lineRule="auto"/>
      </w:pPr>
      <w:r>
        <w:rPr>
          <w:rFonts w:ascii="DejaVu Sans" w:hAnsi="DejaVu Sans" w:eastAsia="DejaVu Sans"/>
        </w:rPr>
        <w:t>10.1 Preliminary Prospect Ranking Map PDF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Энэ зурагт дараах зүйлс орно.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License boundary;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Prospect polygon;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A/B/C/D color-coded ангилал;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Key evidence layer;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Major structure;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Occurrence;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Geochemical anomaly;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Remote sensing evidence;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Access route;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North arrow, scale bar, legend;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Coordinate grid;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Data source note;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Reviewer/date.</w:t>
      </w:r>
    </w:p>
    <w:p>
      <w:pPr>
        <w:pStyle w:val="Heading3"/>
        <w:spacing w:after="80" w:line="252" w:lineRule="auto"/>
      </w:pPr>
      <w:r>
        <w:rPr>
          <w:rFonts w:ascii="DejaVu Sans" w:hAnsi="DejaVu Sans" w:eastAsia="DejaVu Sans"/>
        </w:rPr>
        <w:t>10.2 Prospect Polygons GPKG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GeoPackage файлд дараах зүйлс орно.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Prospect polygon geometry;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Prospect_ID;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Total_Score;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Class;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Dominant_Model;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Confidence;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Data_Gap;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Next_Action;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QA/QC status.</w:t>
      </w:r>
    </w:p>
    <w:p>
      <w:pPr>
        <w:pStyle w:val="Heading3"/>
        <w:spacing w:after="80" w:line="252" w:lineRule="auto"/>
      </w:pPr>
      <w:r>
        <w:rPr>
          <w:rFonts w:ascii="DejaVu Sans" w:hAnsi="DejaVu Sans" w:eastAsia="DejaVu Sans"/>
        </w:rPr>
        <w:t>10.3 Prospect Ranking Table XLSX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Excel хүснэгтэд дараах зүйлс орно.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Prospect бүрийн scoring;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Evidence category оноо;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Нийт оноо;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A/B/C/D ангилал;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Data gap;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Next action;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Reviewer decision.</w:t>
      </w:r>
    </w:p>
    <w:p>
      <w:pPr>
        <w:pStyle w:val="Heading3"/>
        <w:spacing w:after="80" w:line="252" w:lineRule="auto"/>
      </w:pPr>
      <w:r>
        <w:rPr>
          <w:rFonts w:ascii="DejaVu Sans" w:hAnsi="DejaVu Sans" w:eastAsia="DejaVu Sans"/>
        </w:rPr>
        <w:t>10.4 Go / No-Go Desktop Decision Matrix XLSX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Энэ файл нь удирдлагын шийдвэр гаргах зориулалттай.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96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Prospect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Score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Class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Confidence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Key evidence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Data gap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Next action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/>
                <w:sz w:val="16"/>
              </w:rPr>
              <w:t>Decision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PR-01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A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High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Geo + geochem + RS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Minor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Drone + recon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Go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PR-02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63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B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Medium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Geo + structure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Geochem gap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Recon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Go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PR-03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44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C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Low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RS only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Field gap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Data infill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Hold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PR-04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28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D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Low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Weak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Major gap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None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</w:r>
            <w:r>
              <w:rPr>
                <w:rFonts w:ascii="DejaVu Sans" w:hAnsi="DejaVu Sans" w:eastAsia="DejaVu Sans"/>
                <w:b w:val="0"/>
                <w:sz w:val="16"/>
              </w:rPr>
              <w:t>No-Go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DejaVu Sans" w:hAnsi="DejaVu Sans" w:eastAsia="DejaVu Sans"/>
        </w:rPr>
        <w:t>11. Field priority decision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Эцсийн шийдвэрийг дараах байдлаар гаргана.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A ангилал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A prospect нь хамгийн түрүүнд шалгах талбай.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Шаардлагатай ажил: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Drone survey;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Recon mapping;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Rock chip sampling;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Structural mapping;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Ground truthing;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Detailed field photo log.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B ангилал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B prospect нь боломжийн талбай боловч A-аас бага priority.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Шаардлагатай ажил: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Recon mapping;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Selective sampling;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Access шалгалт;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Data gap нөхөх.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C ангилал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C prospect нь шууд field campaign-д оруулахгүй байж болно. Гэхдээ хадгалж, data gap нөхсөний дараа дахин үнэлнэ.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Шаардлагатай ажил: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Remote review;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Additional sampling design;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Evidence re-check;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Deposit model reassessment.</w:t>
      </w:r>
    </w:p>
    <w:p>
      <w:pPr>
        <w:pStyle w:val="Heading2"/>
        <w:spacing w:after="80" w:line="252" w:lineRule="auto"/>
      </w:pPr>
      <w:r>
        <w:rPr>
          <w:rFonts w:ascii="DejaVu Sans" w:hAnsi="DejaVu Sans" w:eastAsia="DejaVu Sans"/>
        </w:rPr>
        <w:t>D ангилал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D prospect нь одоогоор бага ач холбогдолтой.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Шийдвэр: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No-Go;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Archive;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Дараагийн шатанд оруулахгүй;</w:t>
      </w:r>
    </w:p>
    <w:p>
      <w:pPr>
        <w:pStyle w:val="ListBullet"/>
        <w:spacing w:after="80" w:line="252" w:lineRule="auto"/>
      </w:pPr>
      <w:r>
        <w:rPr>
          <w:rFonts w:ascii="DejaVu Sans" w:hAnsi="DejaVu Sans" w:eastAsia="DejaVu Sans"/>
        </w:rPr>
        <w:t>Зөвхөн шинэ evidence гарвал дахин нээж үнэлнэ.</w:t>
      </w:r>
    </w:p>
    <w:p>
      <w:pPr>
        <w:pStyle w:val="Heading1"/>
        <w:spacing w:after="80" w:line="252" w:lineRule="auto"/>
      </w:pPr>
      <w:r>
        <w:rPr>
          <w:rFonts w:ascii="DejaVu Sans" w:hAnsi="DejaVu Sans" w:eastAsia="DejaVu Sans"/>
        </w:rPr>
        <w:t>12. Ажлын чанарын үндсэн зарчим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Энэ үе шатанд хамгийн чухал зарчим нь оноо бүр evidence-тэй холбогдсон байх юм.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Буруу арга:</w:t>
      </w:r>
    </w:p>
    <w:p>
      <w:pPr>
        <w:pStyle w:val="CodeBlock"/>
        <w:shd w:fill="F2F2F2"/>
        <w:spacing w:after="80" w:line="252" w:lineRule="auto"/>
      </w:pPr>
      <w:r>
        <w:rPr>
          <w:rFonts w:ascii="DejaVu Sans" w:hAnsi="DejaVu Sans" w:eastAsia="DejaVu Sans"/>
        </w:rPr>
        <w:t>PR-01 = 85 оноо</w:t>
        <w:br/>
        <w:t>Учир нь сайн харагдаж байна.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Зөв арга:</w:t>
      </w:r>
    </w:p>
    <w:p>
      <w:pPr>
        <w:pStyle w:val="CodeBlock"/>
        <w:shd w:fill="F2F2F2"/>
        <w:spacing w:after="80" w:line="252" w:lineRule="auto"/>
      </w:pPr>
      <w:r>
        <w:rPr>
          <w:rFonts w:ascii="DejaVu Sans" w:hAnsi="DejaVu Sans" w:eastAsia="DejaVu Sans"/>
        </w:rPr>
        <w:t>PR-01 = 85 оноо</w:t>
        <w:br/>
        <w:t>Учир нь:</w:t>
        <w:br/>
        <w:t>- Favorable lithology + fault intersection байна;</w:t>
        <w:br/>
        <w:t>- Stream geochemical anomaly давхцсан;</w:t>
        <w:br/>
        <w:t>- ASTER alteration signature илэрсэн;</w:t>
        <w:br/>
        <w:t>- Known occurrence 500 м дотор байна;</w:t>
        <w:br/>
        <w:t>- Phase 3 deposit model score өндөр;</w:t>
        <w:br/>
        <w:t>- Access боломжтой.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Өөрөөр хэлбэл prospect ranking нь зөвхөн мэргэжлийн таамаг биш, харин traceable evidence-based decision байх ёстой.</w:t>
      </w:r>
    </w:p>
    <w:p>
      <w:pPr>
        <w:pStyle w:val="Heading1"/>
        <w:spacing w:after="80" w:line="252" w:lineRule="auto"/>
      </w:pPr>
      <w:r>
        <w:rPr>
          <w:rFonts w:ascii="DejaVu Sans" w:hAnsi="DejaVu Sans" w:eastAsia="DejaVu Sans"/>
        </w:rPr>
        <w:t>13. Гүйцэтгэх дарааллын товч workflow</w:t>
      </w:r>
    </w:p>
    <w:p>
      <w:pPr>
        <w:pStyle w:val="CodeBlock"/>
        <w:shd w:fill="F2F2F2"/>
        <w:spacing w:after="80" w:line="252" w:lineRule="auto"/>
      </w:pPr>
      <w:r>
        <w:rPr>
          <w:rFonts w:ascii="DejaVu Sans" w:hAnsi="DejaVu Sans" w:eastAsia="DejaVu Sans"/>
        </w:rPr>
        <w:t>1. Phase 1–3 output шалгах</w:t>
        <w:br/>
        <w:t>2. Бүх spatial layer-ийг QGIS-д нэг CRS-д оруулах</w:t>
        <w:br/>
        <w:t>3. Evidence overlay project үүсгэх</w:t>
        <w:br/>
        <w:t>4. Evidence давхцлын бүсүүдийг тодорхойлох</w:t>
        <w:br/>
        <w:t>5. Prospect polygon зурах</w:t>
        <w:br/>
        <w:t>6. Polygon attribute table бөглөх</w:t>
        <w:br/>
        <w:t>7. Phase 3 deposit model score холбох</w:t>
        <w:br/>
        <w:t>8. 100 онооны scoring matrix бөглөх</w:t>
        <w:br/>
        <w:t>9. Total score тооцох</w:t>
        <w:br/>
        <w:t>10. A/B/C/D ангилал гаргах</w:t>
        <w:br/>
        <w:t>11. Confidence flag, data gap, next action бөглөх</w:t>
        <w:br/>
        <w:t>12. Field access болон safety risk шалгах</w:t>
        <w:br/>
        <w:t>13. QA/QC review хийх</w:t>
        <w:br/>
        <w:t>14. Prospect ranking map экспортлох</w:t>
        <w:br/>
        <w:t>15. Prospect ranking table болон Go/No-Go matrix гаргах</w:t>
        <w:br/>
        <w:t>16. A/B prospect-уудыг дараагийн field work-д санал болгох</w:t>
      </w:r>
    </w:p>
    <w:p>
      <w:pPr>
        <w:pStyle w:val="Heading1"/>
        <w:spacing w:after="80" w:line="252" w:lineRule="auto"/>
      </w:pPr>
      <w:r>
        <w:rPr>
          <w:rFonts w:ascii="DejaVu Sans" w:hAnsi="DejaVu Sans" w:eastAsia="DejaVu Sans"/>
        </w:rPr>
        <w:t>14. Эцсийн decision gate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Phase 4 дуусахад дараах шийдвэр гарсан байх ёстой.</w:t>
      </w:r>
    </w:p>
    <w:p>
      <w:pPr>
        <w:pStyle w:val="CodeBlock"/>
        <w:shd w:fill="F2F2F2"/>
        <w:spacing w:after="80" w:line="252" w:lineRule="auto"/>
      </w:pPr>
      <w:r>
        <w:rPr>
          <w:rFonts w:ascii="DejaVu Sans" w:hAnsi="DejaVu Sans" w:eastAsia="DejaVu Sans"/>
        </w:rPr>
        <w:t>A/B prospects → drone survey болон reconnaissance mapping-д шилжинэ.</w:t>
        <w:br/>
        <w:t>C/D prospects → data gap-тайгаар хадгална эсвэл low priority/no-go болгоно.</w:t>
      </w:r>
    </w:p>
    <w:p>
      <w:pPr>
        <w:spacing w:after="80" w:line="252" w:lineRule="auto"/>
      </w:pPr>
      <w:r>
        <w:rPr>
          <w:rFonts w:ascii="DejaVu Sans" w:hAnsi="DejaVu Sans" w:eastAsia="DejaVu Sans"/>
        </w:rPr>
        <w:t>Ингэснээр Phase 5 буюу field validation / drone / reconnaissance ажилд зөвхөн хамгийн өндөр үндэслэлтэй prospect-уудыг сонгон оруулах боломжтой болно.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/>
        <w:color w:val="808080"/>
        <w:sz w:val="16"/>
      </w:rPr>
      <w:t>Phase 4 detailed work instruction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DejaVu Sans" w:hAnsi="DejaVu Sans" w:eastAsia="DejaVu Sans"/>
        <w:color w:val="595959"/>
        <w:sz w:val="18"/>
      </w:rPr>
      <w:t>04. Phase 4 — Preliminary Prospect Delineation and Ranking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 Preliminary Prospect Delineation and Ranking ажлын дэлгэрэнгүй заавар</dc:title>
  <dc:subject>Mineral exploration workflow instruction</dc:subject>
  <dc:creator>OpenAI</dc:creator>
  <cp:keywords>Phase 4, preliminary prospect, scoring matrix, QGIS, A/B/C/D ranking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