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color w:val="1F4E79"/>
          <w:sz w:val="36"/>
        </w:rPr>
        <w:t>09. Phase 9 — Systematic Soil Grid and Laboratory QA/QC</w:t>
      </w:r>
    </w:p>
    <w:p>
      <w:pPr>
        <w:jc w:val="center"/>
      </w:pPr>
      <w:r>
        <w:rPr>
          <w:rFonts w:ascii="DejaVu Sans" w:hAnsi="DejaVu Sans" w:eastAsia="DejaVu Sans"/>
          <w:b/>
          <w:sz w:val="24"/>
        </w:rPr>
        <w:t>Системтэй хөрсний торлолын дээжлэлт, лабораторийн шинжилгээ, QA/QC баталгаажуулалт хийх дэлгэрэнгүй ажлын заавар</w:t>
      </w:r>
    </w:p>
    <w:p/>
    <w:p>
      <w:pPr>
        <w:pStyle w:val="Heading1"/>
      </w:pPr>
      <w:r>
        <w:t>1. Ажлын зорилго</w:t>
      </w:r>
    </w:p>
    <w:p>
      <w:r>
        <w:t>Phase 9-ийн үндсэн зорилго нь өмнөх шатны хайгуулын мэдээлэлд үндэслэн сонгогдсон сонирхолтой талбайнуудад хөрсний системтэй торлолын дээжлэлт хийж, лабораторийн шинжилгээгээр геохимийн аномалийг баталгаажуулах юм. Энэ үе шатны үр дүн нь дараагийн trench, geophysics, drilling target сонгох техникийн үндэслэл болно.</w:t>
      </w:r>
    </w:p>
    <w:p>
      <w:r>
        <w:t>Энэ ажлын төгсгөлд хөрсний геохимийн баталгаажсан аномалийн зураг, QA/QC тайлан, лабораторийн баталгаажсан үр дүн, sample point database, final target ranking update бэлэн болсон байна.</w:t>
      </w:r>
    </w:p>
    <w:p>
      <w:pPr>
        <w:pStyle w:val="ListBullet"/>
      </w:pPr>
      <w:r>
        <w:t>Cu, Au, Ag, Pb, Zn, Mo, As, Sb зэрэг элементүүдийн хөрсөн дэх тархалтыг тодорхойлох;</w:t>
      </w:r>
    </w:p>
    <w:p>
      <w:pPr>
        <w:pStyle w:val="ListBullet"/>
      </w:pPr>
      <w:r>
        <w:t>Өмнөх фазуудаар таамагласан хүдэржилтийн бүс геохимийн аномали үүсгэж байгаа эсэхийг шалгах;</w:t>
      </w:r>
    </w:p>
    <w:p>
      <w:pPr>
        <w:pStyle w:val="ListBullet"/>
      </w:pPr>
      <w:r>
        <w:t>Порфир, эпитермаль, судлын, скарн, полиметалл төрлийн боломжит хүдэржилтийн геохимийн илэрхийллийг таних;</w:t>
      </w:r>
    </w:p>
    <w:p>
      <w:pPr>
        <w:pStyle w:val="ListBullet"/>
      </w:pPr>
      <w:r>
        <w:t>Дараагийн шатанд суваг малталт, trench, IP/resistivity, drilling хийх эсэх шийдвэрийг гаргах;</w:t>
      </w:r>
    </w:p>
    <w:p>
      <w:pPr>
        <w:pStyle w:val="ListBullet"/>
      </w:pPr>
      <w:r>
        <w:t>Target ranking буюу зорилтот бүсүүдийг ач холбогдлоор нь шинэчлэн эрэмбэлэх.</w:t>
      </w:r>
    </w:p>
    <w:p>
      <w:pPr>
        <w:pStyle w:val="Heading1"/>
      </w:pPr>
      <w:r>
        <w:t>2. Methodology summary / эх мэдээллийн товч бүртгэл</w:t>
      </w:r>
    </w:p>
    <w:tbl>
      <w:tblPr>
        <w:tblStyle w:val="TableGrid"/>
        <w:tblW w:type="auto" w:w="0"/>
        <w:jc w:val="center"/>
        <w:tblLook w:firstColumn="1" w:firstRow="1" w:lastColumn="0" w:lastRow="0" w:noHBand="0" w:noVBand="1" w:val="04A0"/>
      </w:tblPr>
      <w:tblGrid>
        <w:gridCol w:w="4933"/>
        <w:gridCol w:w="4933"/>
      </w:tblGrid>
      <w:tr>
        <w:tc>
          <w:tcPr>
            <w:tcW w:type="dxa" w:w="2268"/>
            <w:vAlign w:val="center"/>
            <w:shd w:fill="D9EAF7"/>
          </w:tcPr>
          <w:p>
            <w:r/>
            <w:r>
              <w:rPr>
                <w:rFonts w:ascii="DejaVu Sans" w:hAnsi="DejaVu Sans" w:eastAsia="DejaVu Sans"/>
                <w:b/>
                <w:sz w:val="18"/>
              </w:rPr>
              <w:t>Subsection</w:t>
            </w:r>
          </w:p>
        </w:tc>
        <w:tc>
          <w:tcPr>
            <w:tcW w:type="dxa" w:w="7937"/>
            <w:vAlign w:val="center"/>
            <w:shd w:fill="D9EAF7"/>
          </w:tcPr>
          <w:p>
            <w:r/>
            <w:r>
              <w:rPr>
                <w:rFonts w:ascii="DejaVu Sans" w:hAnsi="DejaVu Sans" w:eastAsia="DejaVu Sans"/>
                <w:b/>
                <w:sz w:val="18"/>
              </w:rPr>
              <w:t>Methodology detail</w:t>
            </w:r>
          </w:p>
        </w:tc>
      </w:tr>
      <w:tr>
        <w:tc>
          <w:tcPr>
            <w:tcW w:type="dxa" w:w="2268"/>
            <w:vAlign w:val="center"/>
          </w:tcPr>
          <w:p>
            <w:r/>
            <w:r>
              <w:rPr>
                <w:rFonts w:ascii="DejaVu Sans" w:hAnsi="DejaVu Sans" w:eastAsia="DejaVu Sans"/>
                <w:b w:val="0"/>
                <w:sz w:val="18"/>
              </w:rPr>
              <w:t>Зорилго</w:t>
            </w:r>
          </w:p>
        </w:tc>
        <w:tc>
          <w:tcPr>
            <w:tcW w:type="dxa" w:w="7937"/>
            <w:vAlign w:val="center"/>
          </w:tcPr>
          <w:p>
            <w:r/>
            <w:r>
              <w:rPr>
                <w:rFonts w:ascii="DejaVu Sans" w:hAnsi="DejaVu Sans" w:eastAsia="DejaVu Sans"/>
                <w:b w:val="0"/>
                <w:sz w:val="18"/>
              </w:rPr>
              <w:t>Validated method-gap systematic soil geochemical coverage хийх. Өмнөх orientation result, target ranking, geological/structural interpretation болон field evidence-д үндэслэн хөрсний торлол төлөвлөж лабораторийн QA/QC баталгаажуулалт хийнэ.</w:t>
            </w:r>
          </w:p>
        </w:tc>
      </w:tr>
      <w:tr>
        <w:tc>
          <w:tcPr>
            <w:tcW w:type="dxa" w:w="2268"/>
            <w:vAlign w:val="center"/>
          </w:tcPr>
          <w:p>
            <w:r/>
            <w:r>
              <w:rPr>
                <w:rFonts w:ascii="DejaVu Sans" w:hAnsi="DejaVu Sans" w:eastAsia="DejaVu Sans"/>
                <w:b w:val="0"/>
                <w:sz w:val="18"/>
              </w:rPr>
              <w:t>Input files</w:t>
            </w:r>
          </w:p>
        </w:tc>
        <w:tc>
          <w:tcPr>
            <w:tcW w:type="dxa" w:w="7937"/>
            <w:vAlign w:val="center"/>
          </w:tcPr>
          <w:p>
            <w:r/>
            <w:r>
              <w:rPr>
                <w:rFonts w:ascii="DejaVu Sans" w:hAnsi="DejaVu Sans" w:eastAsia="DejaVu Sans"/>
                <w:b w:val="0"/>
                <w:sz w:val="18"/>
              </w:rPr>
              <w:t>Phase 8 orientation results + direct planning support raw inputs №8 boundary, №9–22 DEM/slope/drainage, №47–52 historical drainage/heavy mineral/field evidence, №55/60/63/64/68 local geology-occurrence-source evidence, №75–78 basemaps/Sentinel support. Exact filenames in Section 1A.</w:t>
            </w:r>
          </w:p>
        </w:tc>
      </w:tr>
      <w:tr>
        <w:tc>
          <w:tcPr>
            <w:tcW w:type="dxa" w:w="2268"/>
            <w:vAlign w:val="center"/>
          </w:tcPr>
          <w:p>
            <w:r/>
            <w:r>
              <w:rPr>
                <w:rFonts w:ascii="DejaVu Sans" w:hAnsi="DejaVu Sans" w:eastAsia="DejaVu Sans"/>
                <w:b w:val="0"/>
                <w:sz w:val="18"/>
              </w:rPr>
              <w:t>Software / equipment</w:t>
            </w:r>
          </w:p>
        </w:tc>
        <w:tc>
          <w:tcPr>
            <w:tcW w:type="dxa" w:w="7937"/>
            <w:vAlign w:val="center"/>
          </w:tcPr>
          <w:p>
            <w:r/>
            <w:r>
              <w:rPr>
                <w:rFonts w:ascii="DejaVu Sans" w:hAnsi="DejaVu Sans" w:eastAsia="DejaVu Sans"/>
                <w:b w:val="0"/>
                <w:sz w:val="18"/>
              </w:rPr>
              <w:t>QGIS grid design, field collection tools, pXRF, laboratory assay.</w:t>
            </w:r>
          </w:p>
        </w:tc>
      </w:tr>
    </w:tbl>
    <w:p/>
    <w:p>
      <w:pPr>
        <w:pStyle w:val="Heading1"/>
      </w:pPr>
      <w:r>
        <w:t>3. Processing folder structure</w:t>
      </w:r>
    </w:p>
    <w:p>
      <w:r>
        <w:t>Ажлын бүх файлыг дараах бүтэцтэй хадгална. Фолдерын нэршил, дэс дарааллыг өөрчлөхгүй байх нь өгөгдлийн мөрдөх чадвар, QA/QC audit trail-д чухал.</w:t>
      </w:r>
    </w:p>
    <w:p>
      <w:pPr>
        <w:pStyle w:val="CodeBlock"/>
      </w:pPr>
      <w:r>
        <w:t>09_Phase_9_Systematic_Soil_Grid_and_Laboratory_QAQC/</w:t>
      </w:r>
    </w:p>
    <w:p>
      <w:pPr>
        <w:pStyle w:val="CodeBlock"/>
      </w:pPr>
      <w:r>
        <w:t>├── 01_Grid_Design_200x50_100x25_50x25_25x10</w:t>
      </w:r>
    </w:p>
    <w:p>
      <w:pPr>
        <w:pStyle w:val="CodeBlock"/>
      </w:pPr>
      <w:r>
        <w:t>├── 02_Field_Collection</w:t>
      </w:r>
    </w:p>
    <w:p>
      <w:pPr>
        <w:pStyle w:val="CodeBlock"/>
      </w:pPr>
      <w:r>
        <w:t>├── 03_pXRF_Screening</w:t>
      </w:r>
    </w:p>
    <w:p>
      <w:pPr>
        <w:pStyle w:val="CodeBlock"/>
      </w:pPr>
      <w:r>
        <w:t>├── 04_Lab_Submission_QAQC</w:t>
      </w:r>
    </w:p>
    <w:p>
      <w:pPr>
        <w:pStyle w:val="CodeBlock"/>
      </w:pPr>
      <w:r>
        <w:t>├── 05_Assay_Validation</w:t>
      </w:r>
    </w:p>
    <w:p>
      <w:pPr>
        <w:pStyle w:val="CodeBlock"/>
      </w:pPr>
      <w:r>
        <w:t>└── 06_Soil_Anomaly_Map</w:t>
      </w:r>
    </w:p>
    <w:p>
      <w:pPr>
        <w:pStyle w:val="Heading2"/>
      </w:pPr>
      <w:r>
        <w:t>3.1 Folder тус бүрийн зориулалт</w:t>
      </w:r>
    </w:p>
    <w:tbl>
      <w:tblPr>
        <w:tblStyle w:val="TableGrid"/>
        <w:tblW w:type="auto" w:w="0"/>
        <w:jc w:val="center"/>
        <w:tblLook w:firstColumn="1" w:firstRow="1" w:lastColumn="0" w:lastRow="0" w:noHBand="0" w:noVBand="1" w:val="04A0"/>
      </w:tblPr>
      <w:tblGrid>
        <w:gridCol w:w="4933"/>
        <w:gridCol w:w="4933"/>
      </w:tblGrid>
      <w:tr>
        <w:tc>
          <w:tcPr>
            <w:tcW w:type="dxa" w:w="3402"/>
            <w:vAlign w:val="center"/>
            <w:shd w:fill="D9EAF7"/>
          </w:tcPr>
          <w:p>
            <w:r/>
            <w:r>
              <w:rPr>
                <w:rFonts w:ascii="DejaVu Sans" w:hAnsi="DejaVu Sans" w:eastAsia="DejaVu Sans"/>
                <w:b/>
                <w:sz w:val="18"/>
              </w:rPr>
              <w:t>Folder</w:t>
            </w:r>
          </w:p>
        </w:tc>
        <w:tc>
          <w:tcPr>
            <w:tcW w:type="dxa" w:w="6803"/>
            <w:vAlign w:val="center"/>
            <w:shd w:fill="D9EAF7"/>
          </w:tcPr>
          <w:p>
            <w:r/>
            <w:r>
              <w:rPr>
                <w:rFonts w:ascii="DejaVu Sans" w:hAnsi="DejaVu Sans" w:eastAsia="DejaVu Sans"/>
                <w:b/>
                <w:sz w:val="18"/>
              </w:rPr>
              <w:t>Зориулалт</w:t>
            </w:r>
          </w:p>
        </w:tc>
      </w:tr>
      <w:tr>
        <w:tc>
          <w:tcPr>
            <w:tcW w:type="dxa" w:w="3402"/>
            <w:vAlign w:val="center"/>
          </w:tcPr>
          <w:p>
            <w:r/>
            <w:r>
              <w:rPr>
                <w:rFonts w:ascii="DejaVu Sans" w:hAnsi="DejaVu Sans" w:eastAsia="DejaVu Sans"/>
                <w:b w:val="0"/>
                <w:sz w:val="18"/>
              </w:rPr>
              <w:t>01_Grid_Design_200x50_100x25_50x25_25x10</w:t>
            </w:r>
          </w:p>
        </w:tc>
        <w:tc>
          <w:tcPr>
            <w:tcW w:type="dxa" w:w="6803"/>
            <w:vAlign w:val="center"/>
          </w:tcPr>
          <w:p>
            <w:r/>
            <w:r>
              <w:rPr>
                <w:rFonts w:ascii="DejaVu Sans" w:hAnsi="DejaVu Sans" w:eastAsia="DejaVu Sans"/>
                <w:b w:val="0"/>
                <w:sz w:val="18"/>
              </w:rPr>
              <w:t>Хөрсний дээж авах торлолын загвар, sample point layer, traverse line, grid spacing decision, orientation result хадгална.</w:t>
            </w:r>
          </w:p>
        </w:tc>
      </w:tr>
      <w:tr>
        <w:tc>
          <w:tcPr>
            <w:tcW w:type="dxa" w:w="3402"/>
            <w:vAlign w:val="center"/>
          </w:tcPr>
          <w:p>
            <w:r/>
            <w:r>
              <w:rPr>
                <w:rFonts w:ascii="DejaVu Sans" w:hAnsi="DejaVu Sans" w:eastAsia="DejaVu Sans"/>
                <w:b w:val="0"/>
                <w:sz w:val="18"/>
              </w:rPr>
              <w:t>02_Field_Collection</w:t>
            </w:r>
          </w:p>
        </w:tc>
        <w:tc>
          <w:tcPr>
            <w:tcW w:type="dxa" w:w="6803"/>
            <w:vAlign w:val="center"/>
          </w:tcPr>
          <w:p>
            <w:r/>
            <w:r>
              <w:rPr>
                <w:rFonts w:ascii="DejaVu Sans" w:hAnsi="DejaVu Sans" w:eastAsia="DejaVu Sans"/>
                <w:b w:val="0"/>
                <w:sz w:val="18"/>
              </w:rPr>
              <w:t>Талбайн дээжлэлт, sample register, GPS point, field photo, lithology/soil description, duplicate location зэрэг мэдээллийг хадгална.</w:t>
            </w:r>
          </w:p>
        </w:tc>
      </w:tr>
      <w:tr>
        <w:tc>
          <w:tcPr>
            <w:tcW w:type="dxa" w:w="3402"/>
            <w:vAlign w:val="center"/>
          </w:tcPr>
          <w:p>
            <w:r/>
            <w:r>
              <w:rPr>
                <w:rFonts w:ascii="DejaVu Sans" w:hAnsi="DejaVu Sans" w:eastAsia="DejaVu Sans"/>
                <w:b w:val="0"/>
                <w:sz w:val="18"/>
              </w:rPr>
              <w:t>03_pXRF_Screening</w:t>
            </w:r>
          </w:p>
        </w:tc>
        <w:tc>
          <w:tcPr>
            <w:tcW w:type="dxa" w:w="6803"/>
            <w:vAlign w:val="center"/>
          </w:tcPr>
          <w:p>
            <w:r/>
            <w:r>
              <w:rPr>
                <w:rFonts w:ascii="DejaVu Sans" w:hAnsi="DejaVu Sans" w:eastAsia="DejaVu Sans"/>
                <w:b w:val="0"/>
                <w:sz w:val="18"/>
              </w:rPr>
              <w:t>pXRF-ийн урьдчилсан хэмжилт, field screening result, raw pXRF file, pXRF QA/QC sheet хадгална.</w:t>
            </w:r>
          </w:p>
        </w:tc>
      </w:tr>
      <w:tr>
        <w:tc>
          <w:tcPr>
            <w:tcW w:type="dxa" w:w="3402"/>
            <w:vAlign w:val="center"/>
          </w:tcPr>
          <w:p>
            <w:r/>
            <w:r>
              <w:rPr>
                <w:rFonts w:ascii="DejaVu Sans" w:hAnsi="DejaVu Sans" w:eastAsia="DejaVu Sans"/>
                <w:b w:val="0"/>
                <w:sz w:val="18"/>
              </w:rPr>
              <w:t>04_Lab_Submission_QAQC</w:t>
            </w:r>
          </w:p>
        </w:tc>
        <w:tc>
          <w:tcPr>
            <w:tcW w:type="dxa" w:w="6803"/>
            <w:vAlign w:val="center"/>
          </w:tcPr>
          <w:p>
            <w:r/>
            <w:r>
              <w:rPr>
                <w:rFonts w:ascii="DejaVu Sans" w:hAnsi="DejaVu Sans" w:eastAsia="DejaVu Sans"/>
                <w:b w:val="0"/>
                <w:sz w:val="18"/>
              </w:rPr>
              <w:t>Лабораторид илгээх дээжийн жагсаалт, submission form, CRM, blank, duplicate байрлал, chain-of-custody document хадгална.</w:t>
            </w:r>
          </w:p>
        </w:tc>
      </w:tr>
      <w:tr>
        <w:tc>
          <w:tcPr>
            <w:tcW w:type="dxa" w:w="3402"/>
            <w:vAlign w:val="center"/>
          </w:tcPr>
          <w:p>
            <w:r/>
            <w:r>
              <w:rPr>
                <w:rFonts w:ascii="DejaVu Sans" w:hAnsi="DejaVu Sans" w:eastAsia="DejaVu Sans"/>
                <w:b w:val="0"/>
                <w:sz w:val="18"/>
              </w:rPr>
              <w:t>05_Assay_Validation</w:t>
            </w:r>
          </w:p>
        </w:tc>
        <w:tc>
          <w:tcPr>
            <w:tcW w:type="dxa" w:w="6803"/>
            <w:vAlign w:val="center"/>
          </w:tcPr>
          <w:p>
            <w:r/>
            <w:r>
              <w:rPr>
                <w:rFonts w:ascii="DejaVu Sans" w:hAnsi="DejaVu Sans" w:eastAsia="DejaVu Sans"/>
                <w:b w:val="0"/>
                <w:sz w:val="18"/>
              </w:rPr>
              <w:t>Лабораторийн үр дүн, QA/QC шалгалт, detection limit, unit conversion, duplicate performance, CRM accuracy, blank contamination check хадгална.</w:t>
            </w:r>
          </w:p>
        </w:tc>
      </w:tr>
      <w:tr>
        <w:tc>
          <w:tcPr>
            <w:tcW w:type="dxa" w:w="3402"/>
            <w:vAlign w:val="center"/>
          </w:tcPr>
          <w:p>
            <w:r/>
            <w:r>
              <w:rPr>
                <w:rFonts w:ascii="DejaVu Sans" w:hAnsi="DejaVu Sans" w:eastAsia="DejaVu Sans"/>
                <w:b w:val="0"/>
                <w:sz w:val="18"/>
              </w:rPr>
              <w:t>06_Soil_Anomaly_Map</w:t>
            </w:r>
          </w:p>
        </w:tc>
        <w:tc>
          <w:tcPr>
            <w:tcW w:type="dxa" w:w="6803"/>
            <w:vAlign w:val="center"/>
          </w:tcPr>
          <w:p>
            <w:r/>
            <w:r>
              <w:rPr>
                <w:rFonts w:ascii="DejaVu Sans" w:hAnsi="DejaVu Sans" w:eastAsia="DejaVu Sans"/>
                <w:b w:val="0"/>
                <w:sz w:val="18"/>
              </w:rPr>
              <w:t>Эцсийн хөрсний аномалийн зураг, элемент тус бүрийн anomaly map, multi-element target map, final interpretation map хадгална.</w:t>
            </w:r>
          </w:p>
        </w:tc>
      </w:tr>
    </w:tbl>
    <w:p/>
    <w:p>
      <w:pPr>
        <w:pStyle w:val="Heading1"/>
      </w:pPr>
      <w:r>
        <w:t>4. Ажил эхлэхийн өмнөх бэлтгэл</w:t>
      </w:r>
    </w:p>
    <w:p>
      <w:pPr>
        <w:pStyle w:val="Heading2"/>
      </w:pPr>
      <w:r>
        <w:t>4.1 Coordinate system шалгах</w:t>
      </w:r>
    </w:p>
    <w:p>
      <w:r>
        <w:t>Бүх spatial data ижил coordinate reference system буюу CRS-д байх ёстой. Монгол орны баруун болон төвийн бүсэд ажиллаж байгаа бол тухайн талбайн байршлаас хамааран UTM zone зөв сонгоно. Жишээ нь WGS 84 / UTM Zone 47N буюу EPSG:32647 ашиглаж болно.</w:t>
      </w:r>
    </w:p>
    <w:p>
      <w:pPr>
        <w:ind w:left="255" w:hanging="255"/>
      </w:pPr>
      <w:r>
        <w:t>1.  QGIS нээнэ.</w:t>
      </w:r>
    </w:p>
    <w:p>
      <w:pPr>
        <w:ind w:left="255" w:hanging="255"/>
      </w:pPr>
      <w:r>
        <w:t>2.  Project → Properties → CRS цэсээр project CRS-ийг шалгана.</w:t>
      </w:r>
    </w:p>
    <w:p>
      <w:pPr>
        <w:ind w:left="255" w:hanging="255"/>
      </w:pPr>
      <w:r>
        <w:t>3.  Layer бүрийн CRS-ийг Layer Properties → Source хэсгээс шалгана.</w:t>
      </w:r>
    </w:p>
    <w:p>
      <w:pPr>
        <w:ind w:left="255" w:hanging="255"/>
      </w:pPr>
      <w:r>
        <w:t>4.  Өөр CRS-тэй layer байвал Export → Save Features As ашиглан зөв CRS-ээр дахин хадгална.</w:t>
      </w:r>
    </w:p>
    <w:p>
      <w:pPr>
        <w:ind w:left="255" w:hanging="255"/>
      </w:pPr>
      <w:r>
        <w:t>5.  Бүх layer нэг project-д зөв давхцаж байгаа эсэхийг license boundary, drainage, basemap дээр тулган шалгана.</w:t>
      </w:r>
    </w:p>
    <w:p>
      <w:pPr>
        <w:pStyle w:val="Heading2"/>
      </w:pPr>
      <w:r>
        <w:t>4.2 Өмнөх фазын target area шалгах</w:t>
      </w:r>
    </w:p>
    <w:p>
      <w:r>
        <w:t>Phase 9 хийх талбайг бүх лицензийн хэмжээнд шууд хийхгүй. Өмнөх фазуудаар батлагдсан, олон эх сурвалжийн давхцалтай хэсгийг сонгож systematic soil grid байрлуулна.</w:t>
      </w:r>
    </w:p>
    <w:p>
      <w:pPr>
        <w:pStyle w:val="ListBullet"/>
      </w:pPr>
      <w:r>
        <w:t>Geological favourable unit;</w:t>
      </w:r>
    </w:p>
    <w:p>
      <w:pPr>
        <w:pStyle w:val="ListBullet"/>
      </w:pPr>
      <w:r>
        <w:t>Fault / fracture intersection;</w:t>
      </w:r>
    </w:p>
    <w:p>
      <w:pPr>
        <w:pStyle w:val="ListBullet"/>
      </w:pPr>
      <w:r>
        <w:t>Alteration zone;</w:t>
      </w:r>
    </w:p>
    <w:p>
      <w:pPr>
        <w:pStyle w:val="ListBullet"/>
      </w:pPr>
      <w:r>
        <w:t>Drainage anomaly;</w:t>
      </w:r>
    </w:p>
    <w:p>
      <w:pPr>
        <w:pStyle w:val="ListBullet"/>
      </w:pPr>
      <w:r>
        <w:t>Heavy mineral anomaly;</w:t>
      </w:r>
    </w:p>
    <w:p>
      <w:pPr>
        <w:pStyle w:val="ListBullet"/>
      </w:pPr>
      <w:r>
        <w:t>Historical mineral occurrence;</w:t>
      </w:r>
    </w:p>
    <w:p>
      <w:pPr>
        <w:pStyle w:val="ListBullet"/>
      </w:pPr>
      <w:r>
        <w:t>Rock chip sample anomaly;</w:t>
      </w:r>
    </w:p>
    <w:p>
      <w:pPr>
        <w:pStyle w:val="ListBullet"/>
      </w:pPr>
      <w:r>
        <w:t>pXRF anomaly;</w:t>
      </w:r>
    </w:p>
    <w:p>
      <w:pPr>
        <w:pStyle w:val="ListBullet"/>
      </w:pPr>
      <w:r>
        <w:t>Satellite alteration anomaly;</w:t>
      </w:r>
    </w:p>
    <w:p>
      <w:pPr>
        <w:pStyle w:val="ListBullet"/>
      </w:pPr>
      <w:r>
        <w:t>Accessible terrain;</w:t>
      </w:r>
    </w:p>
    <w:p>
      <w:pPr>
        <w:pStyle w:val="ListBullet"/>
      </w:pPr>
      <w:r>
        <w:t>Soil cover suitable area.</w:t>
      </w:r>
    </w:p>
    <w:p>
      <w:pPr>
        <w:pStyle w:val="Heading1"/>
      </w:pPr>
      <w:r>
        <w:t>5. Grid spacing буюу торлолын зай сонгох аргачлал</w:t>
      </w:r>
    </w:p>
    <w:p>
      <w:r>
        <w:t>Grid spacing нь Phase 8 orientation result-д үндэслэн сонгогдоно. Нэг талбайд нэгээс олон grid spacing ашиглаж болно. Жишээлбэл: зах хэсэгт recon grid, төв хэсэгт target grid, өндөр аномалийн хэсэгт infill grid, нарийн судлын бүсэд vein detail grid ашиглана.</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701"/>
            <w:vAlign w:val="center"/>
            <w:shd w:fill="D9EAF7"/>
          </w:tcPr>
          <w:p>
            <w:r/>
            <w:r>
              <w:rPr>
                <w:rFonts w:ascii="DejaVu Sans" w:hAnsi="DejaVu Sans" w:eastAsia="DejaVu Sans"/>
                <w:b/>
                <w:sz w:val="18"/>
              </w:rPr>
              <w:t>Grid төрөл</w:t>
            </w:r>
          </w:p>
        </w:tc>
        <w:tc>
          <w:tcPr>
            <w:tcW w:type="dxa" w:w="1701"/>
            <w:vAlign w:val="center"/>
            <w:shd w:fill="D9EAF7"/>
          </w:tcPr>
          <w:p>
            <w:r/>
            <w:r>
              <w:rPr>
                <w:rFonts w:ascii="DejaVu Sans" w:hAnsi="DejaVu Sans" w:eastAsia="DejaVu Sans"/>
                <w:b/>
                <w:sz w:val="18"/>
              </w:rPr>
              <w:t>Spacing</w:t>
            </w:r>
          </w:p>
        </w:tc>
        <w:tc>
          <w:tcPr>
            <w:tcW w:type="dxa" w:w="3402"/>
            <w:vAlign w:val="center"/>
            <w:shd w:fill="D9EAF7"/>
          </w:tcPr>
          <w:p>
            <w:r/>
            <w:r>
              <w:rPr>
                <w:rFonts w:ascii="DejaVu Sans" w:hAnsi="DejaVu Sans" w:eastAsia="DejaVu Sans"/>
                <w:b/>
                <w:sz w:val="18"/>
              </w:rPr>
              <w:t>Ашиглах нөхцөл</w:t>
            </w:r>
          </w:p>
        </w:tc>
        <w:tc>
          <w:tcPr>
            <w:tcW w:type="dxa" w:w="3402"/>
            <w:vAlign w:val="center"/>
            <w:shd w:fill="D9EAF7"/>
          </w:tcPr>
          <w:p>
            <w:r/>
            <w:r>
              <w:rPr>
                <w:rFonts w:ascii="DejaVu Sans" w:hAnsi="DejaVu Sans" w:eastAsia="DejaVu Sans"/>
                <w:b/>
                <w:sz w:val="18"/>
              </w:rPr>
              <w:t>Гүйцэтгэх зарчим</w:t>
            </w:r>
          </w:p>
        </w:tc>
      </w:tr>
      <w:tr>
        <w:tc>
          <w:tcPr>
            <w:tcW w:type="dxa" w:w="1701"/>
            <w:vAlign w:val="center"/>
          </w:tcPr>
          <w:p>
            <w:r/>
            <w:r>
              <w:rPr>
                <w:rFonts w:ascii="DejaVu Sans" w:hAnsi="DejaVu Sans" w:eastAsia="DejaVu Sans"/>
                <w:b w:val="0"/>
                <w:sz w:val="18"/>
              </w:rPr>
              <w:t>Recon grid</w:t>
            </w:r>
          </w:p>
        </w:tc>
        <w:tc>
          <w:tcPr>
            <w:tcW w:type="dxa" w:w="1701"/>
            <w:vAlign w:val="center"/>
          </w:tcPr>
          <w:p>
            <w:r/>
            <w:r>
              <w:rPr>
                <w:rFonts w:ascii="DejaVu Sans" w:hAnsi="DejaVu Sans" w:eastAsia="DejaVu Sans"/>
                <w:b w:val="0"/>
                <w:sz w:val="18"/>
              </w:rPr>
              <w:t>200 m × 50 m</w:t>
            </w:r>
          </w:p>
        </w:tc>
        <w:tc>
          <w:tcPr>
            <w:tcW w:type="dxa" w:w="3402"/>
            <w:vAlign w:val="center"/>
          </w:tcPr>
          <w:p>
            <w:r/>
            <w:r>
              <w:rPr>
                <w:rFonts w:ascii="DejaVu Sans" w:hAnsi="DejaVu Sans" w:eastAsia="DejaVu Sans"/>
                <w:b w:val="0"/>
                <w:sz w:val="18"/>
              </w:rPr>
              <w:t>Target area том боловч аномали бүрэн баталгаажаагүй, мэдээлэл sparse, 1–5 км structural corridor шалгах үед.</w:t>
            </w:r>
          </w:p>
        </w:tc>
        <w:tc>
          <w:tcPr>
            <w:tcW w:type="dxa" w:w="3402"/>
            <w:vAlign w:val="center"/>
          </w:tcPr>
          <w:p>
            <w:r/>
            <w:r>
              <w:rPr>
                <w:rFonts w:ascii="DejaVu Sans" w:hAnsi="DejaVu Sans" w:eastAsia="DejaVu Sans"/>
                <w:b w:val="0"/>
                <w:sz w:val="18"/>
              </w:rPr>
              <w:t>Line spacing 200 м, sample spacing 50 м. Traverse line нь geological strike буюу structural trend-д перпендикуляр байна.</w:t>
            </w:r>
          </w:p>
        </w:tc>
      </w:tr>
      <w:tr>
        <w:tc>
          <w:tcPr>
            <w:tcW w:type="dxa" w:w="1701"/>
            <w:vAlign w:val="center"/>
          </w:tcPr>
          <w:p>
            <w:r/>
            <w:r>
              <w:rPr>
                <w:rFonts w:ascii="DejaVu Sans" w:hAnsi="DejaVu Sans" w:eastAsia="DejaVu Sans"/>
                <w:b w:val="0"/>
                <w:sz w:val="18"/>
              </w:rPr>
              <w:t>Target grid</w:t>
            </w:r>
          </w:p>
        </w:tc>
        <w:tc>
          <w:tcPr>
            <w:tcW w:type="dxa" w:w="1701"/>
            <w:vAlign w:val="center"/>
          </w:tcPr>
          <w:p>
            <w:r/>
            <w:r>
              <w:rPr>
                <w:rFonts w:ascii="DejaVu Sans" w:hAnsi="DejaVu Sans" w:eastAsia="DejaVu Sans"/>
                <w:b w:val="0"/>
                <w:sz w:val="18"/>
              </w:rPr>
              <w:t>100 m × 25 m</w:t>
            </w:r>
          </w:p>
        </w:tc>
        <w:tc>
          <w:tcPr>
            <w:tcW w:type="dxa" w:w="3402"/>
            <w:vAlign w:val="center"/>
          </w:tcPr>
          <w:p>
            <w:r/>
            <w:r>
              <w:rPr>
                <w:rFonts w:ascii="DejaVu Sans" w:hAnsi="DejaVu Sans" w:eastAsia="DejaVu Sans"/>
                <w:b w:val="0"/>
                <w:sz w:val="18"/>
              </w:rPr>
              <w:t>Recon grid дээр аномали илэрсэн, rock chip/pXRF/alteration/structure зэрэг олон мэдээлэл давхцсан үед.</w:t>
            </w:r>
          </w:p>
        </w:tc>
        <w:tc>
          <w:tcPr>
            <w:tcW w:type="dxa" w:w="3402"/>
            <w:vAlign w:val="center"/>
          </w:tcPr>
          <w:p>
            <w:r/>
            <w:r>
              <w:rPr>
                <w:rFonts w:ascii="DejaVu Sans" w:hAnsi="DejaVu Sans" w:eastAsia="DejaVu Sans"/>
                <w:b w:val="0"/>
                <w:sz w:val="18"/>
              </w:rPr>
              <w:t>Line spacing 100 м, sample spacing 25 м. Аномалийн төв болон суналын чиглэлийг тодруулна.</w:t>
            </w:r>
          </w:p>
        </w:tc>
      </w:tr>
      <w:tr>
        <w:tc>
          <w:tcPr>
            <w:tcW w:type="dxa" w:w="1701"/>
            <w:vAlign w:val="center"/>
          </w:tcPr>
          <w:p>
            <w:r/>
            <w:r>
              <w:rPr>
                <w:rFonts w:ascii="DejaVu Sans" w:hAnsi="DejaVu Sans" w:eastAsia="DejaVu Sans"/>
                <w:b w:val="0"/>
                <w:sz w:val="18"/>
              </w:rPr>
              <w:t>Infill grid</w:t>
            </w:r>
          </w:p>
        </w:tc>
        <w:tc>
          <w:tcPr>
            <w:tcW w:type="dxa" w:w="1701"/>
            <w:vAlign w:val="center"/>
          </w:tcPr>
          <w:p>
            <w:r/>
            <w:r>
              <w:rPr>
                <w:rFonts w:ascii="DejaVu Sans" w:hAnsi="DejaVu Sans" w:eastAsia="DejaVu Sans"/>
                <w:b w:val="0"/>
                <w:sz w:val="18"/>
              </w:rPr>
              <w:t>50 m × 25 m</w:t>
            </w:r>
          </w:p>
        </w:tc>
        <w:tc>
          <w:tcPr>
            <w:tcW w:type="dxa" w:w="3402"/>
            <w:vAlign w:val="center"/>
          </w:tcPr>
          <w:p>
            <w:r/>
            <w:r>
              <w:rPr>
                <w:rFonts w:ascii="DejaVu Sans" w:hAnsi="DejaVu Sans" w:eastAsia="DejaVu Sans"/>
                <w:b w:val="0"/>
                <w:sz w:val="18"/>
              </w:rPr>
              <w:t>Target grid дээр өндөр утгатай, үргэлжилсэн аномали гарсан, trench/drilling төлөвлөх гэж байгаа үед.</w:t>
            </w:r>
          </w:p>
        </w:tc>
        <w:tc>
          <w:tcPr>
            <w:tcW w:type="dxa" w:w="3402"/>
            <w:vAlign w:val="center"/>
          </w:tcPr>
          <w:p>
            <w:r/>
            <w:r>
              <w:rPr>
                <w:rFonts w:ascii="DejaVu Sans" w:hAnsi="DejaVu Sans" w:eastAsia="DejaVu Sans"/>
                <w:b w:val="0"/>
                <w:sz w:val="18"/>
              </w:rPr>
              <w:t>Line spacing 50 м, sample spacing 25 м. Аномалийн төв, зах, open direction-ийг тогтооно.</w:t>
            </w:r>
          </w:p>
        </w:tc>
      </w:tr>
      <w:tr>
        <w:tc>
          <w:tcPr>
            <w:tcW w:type="dxa" w:w="1701"/>
            <w:vAlign w:val="center"/>
          </w:tcPr>
          <w:p>
            <w:r/>
            <w:r>
              <w:rPr>
                <w:rFonts w:ascii="DejaVu Sans" w:hAnsi="DejaVu Sans" w:eastAsia="DejaVu Sans"/>
                <w:b w:val="0"/>
                <w:sz w:val="18"/>
              </w:rPr>
              <w:t>Vein detail grid</w:t>
            </w:r>
          </w:p>
        </w:tc>
        <w:tc>
          <w:tcPr>
            <w:tcW w:type="dxa" w:w="1701"/>
            <w:vAlign w:val="center"/>
          </w:tcPr>
          <w:p>
            <w:r/>
            <w:r>
              <w:rPr>
                <w:rFonts w:ascii="DejaVu Sans" w:hAnsi="DejaVu Sans" w:eastAsia="DejaVu Sans"/>
                <w:b w:val="0"/>
                <w:sz w:val="18"/>
              </w:rPr>
              <w:t>25 m × 10 m</w:t>
            </w:r>
          </w:p>
        </w:tc>
        <w:tc>
          <w:tcPr>
            <w:tcW w:type="dxa" w:w="3402"/>
            <w:vAlign w:val="center"/>
          </w:tcPr>
          <w:p>
            <w:r/>
            <w:r>
              <w:rPr>
                <w:rFonts w:ascii="DejaVu Sans" w:hAnsi="DejaVu Sans" w:eastAsia="DejaVu Sans"/>
                <w:b w:val="0"/>
                <w:sz w:val="18"/>
              </w:rPr>
              <w:t>Нарийн кварцын судал, Au-Ag vein, polymetallic vein, epithermal target, 5–50 м өргөн structure шалгах үед.</w:t>
            </w:r>
          </w:p>
        </w:tc>
        <w:tc>
          <w:tcPr>
            <w:tcW w:type="dxa" w:w="3402"/>
            <w:vAlign w:val="center"/>
          </w:tcPr>
          <w:p>
            <w:r/>
            <w:r>
              <w:rPr>
                <w:rFonts w:ascii="DejaVu Sans" w:hAnsi="DejaVu Sans" w:eastAsia="DejaVu Sans"/>
                <w:b w:val="0"/>
                <w:sz w:val="18"/>
              </w:rPr>
              <w:t>Line spacing 25 м, sample spacing 10 м. Line нь судлын суналд перпендикуляр байна.</w:t>
            </w:r>
          </w:p>
        </w:tc>
      </w:tr>
    </w:tbl>
    <w:p/>
    <w:p>
      <w:pPr>
        <w:pStyle w:val="Heading1"/>
      </w:pPr>
      <w:r>
        <w:t>6. Grid orientation буюу торлолын чиглэл тогтоох</w:t>
      </w:r>
    </w:p>
    <w:p>
      <w:r>
        <w:t>Ерөнхий дүрэм: дээж авах шугам нь хүдэржилтийн суналын чиглэлд перпендикуляр байх ёстой. Ингэснээр дээжлэлт хүдэржилтийн өргөнийг зөв огтолж, аномалийн бодит өргөн, төвийг тодорхойлно.</w:t>
      </w:r>
    </w:p>
    <w:p>
      <w:pPr>
        <w:pStyle w:val="Heading2"/>
      </w:pPr>
      <w:r>
        <w:t>6.1 Геологийн strike тодорхойлох</w:t>
      </w:r>
    </w:p>
    <w:p>
      <w:pPr>
        <w:pStyle w:val="ListBullet"/>
      </w:pPr>
      <w:r>
        <w:t>Давхаргын сунал;</w:t>
      </w:r>
    </w:p>
    <w:p>
      <w:pPr>
        <w:pStyle w:val="ListBullet"/>
      </w:pPr>
      <w:r>
        <w:t>Хагарлын чиглэл;</w:t>
      </w:r>
    </w:p>
    <w:p>
      <w:pPr>
        <w:pStyle w:val="ListBullet"/>
      </w:pPr>
      <w:r>
        <w:t>Судлын сунал;</w:t>
      </w:r>
    </w:p>
    <w:p>
      <w:pPr>
        <w:pStyle w:val="ListBullet"/>
      </w:pPr>
      <w:r>
        <w:t>Alteration zone-ийн чиглэл;</w:t>
      </w:r>
    </w:p>
    <w:p>
      <w:pPr>
        <w:pStyle w:val="ListBullet"/>
      </w:pPr>
      <w:r>
        <w:t>Drainage direction;</w:t>
      </w:r>
    </w:p>
    <w:p>
      <w:pPr>
        <w:pStyle w:val="ListBullet"/>
      </w:pPr>
      <w:r>
        <w:t>Slope direction;</w:t>
      </w:r>
    </w:p>
    <w:p>
      <w:pPr>
        <w:pStyle w:val="ListBullet"/>
      </w:pPr>
      <w:r>
        <w:t>Historical mineral occurrence-ийн байрлал.</w:t>
      </w:r>
    </w:p>
    <w:p>
      <w:pPr>
        <w:pStyle w:val="Heading2"/>
      </w:pPr>
      <w:r>
        <w:t>6.2 Торлолын чиглэл сонгох жишээ</w:t>
      </w:r>
    </w:p>
    <w:p>
      <w:pPr>
        <w:pStyle w:val="ListBullet"/>
      </w:pPr>
      <w:r>
        <w:t>Кварцын судал NE-SW чиглэлтэй бол дээж авах line NW-SE чиглэлтэй байна.</w:t>
      </w:r>
    </w:p>
    <w:p>
      <w:pPr>
        <w:pStyle w:val="ListBullet"/>
      </w:pPr>
      <w:r>
        <w:t>Fault zone N-S чиглэлтэй бол line E-W чиглэлтэй байна.</w:t>
      </w:r>
    </w:p>
    <w:p>
      <w:pPr>
        <w:pStyle w:val="ListBullet"/>
      </w:pPr>
      <w:r>
        <w:t>Alteration corridor ENE-WSW бол line NNW-SSE чиглэлтэй байна.</w:t>
      </w:r>
    </w:p>
    <w:p>
      <w:pPr>
        <w:pStyle w:val="Heading1"/>
      </w:pPr>
      <w:r>
        <w:t>7. QGIS дээр хөрсний sample grid үүсгэх заавар</w:t>
      </w:r>
    </w:p>
    <w:p>
      <w:pPr>
        <w:pStyle w:val="Heading2"/>
      </w:pPr>
      <w:r>
        <w:t>7.1 Ажлын project бэлтгэх</w:t>
      </w:r>
    </w:p>
    <w:p>
      <w:pPr>
        <w:ind w:left="255" w:hanging="255"/>
      </w:pPr>
      <w:r>
        <w:t>1.  QGIS нээнэ.</w:t>
      </w:r>
    </w:p>
    <w:p>
      <w:pPr>
        <w:ind w:left="255" w:hanging="255"/>
      </w:pPr>
      <w:r>
        <w:t>2.  Project CRS-ийг UTM-д тохируулна.</w:t>
      </w:r>
    </w:p>
    <w:p>
      <w:pPr>
        <w:ind w:left="255" w:hanging="255"/>
      </w:pPr>
      <w:r>
        <w:t>3.  License boundary layer оруулна.</w:t>
      </w:r>
    </w:p>
    <w:p>
      <w:pPr>
        <w:ind w:left="255" w:hanging="255"/>
      </w:pPr>
      <w:r>
        <w:t>4.  Target area polygon layer оруулна.</w:t>
      </w:r>
    </w:p>
    <w:p>
      <w:pPr>
        <w:ind w:left="255" w:hanging="255"/>
      </w:pPr>
      <w:r>
        <w:t>5.  Geological map layer оруулна.</w:t>
      </w:r>
    </w:p>
    <w:p>
      <w:pPr>
        <w:ind w:left="255" w:hanging="255"/>
      </w:pPr>
      <w:r>
        <w:t>6.  Fault / structure layer оруулна.</w:t>
      </w:r>
    </w:p>
    <w:p>
      <w:pPr>
        <w:ind w:left="255" w:hanging="255"/>
      </w:pPr>
      <w:r>
        <w:t>7.  DEM, slope, drainage layer оруулна.</w:t>
      </w:r>
    </w:p>
    <w:p>
      <w:pPr>
        <w:ind w:left="255" w:hanging="255"/>
      </w:pPr>
      <w:r>
        <w:t>8.  Rock chip, field observation, pXRF point layer оруулна.</w:t>
      </w:r>
    </w:p>
    <w:p>
      <w:pPr>
        <w:ind w:left="255" w:hanging="255"/>
      </w:pPr>
      <w:r>
        <w:t>9.  Historical occurrence / deposit layer оруулна.</w:t>
      </w:r>
    </w:p>
    <w:p>
      <w:pPr>
        <w:ind w:left="255" w:hanging="255"/>
      </w:pPr>
      <w:r>
        <w:t>10.  Бүх layer зөв байрлаж байгаа эсэхийг шалгана.</w:t>
      </w:r>
    </w:p>
    <w:p>
      <w:pPr>
        <w:pStyle w:val="Heading2"/>
      </w:pPr>
      <w:r>
        <w:t>7.2 Grid extent тодорхойлох</w:t>
      </w:r>
    </w:p>
    <w:p>
      <w:pPr>
        <w:ind w:left="255" w:hanging="255"/>
      </w:pPr>
      <w:r>
        <w:t>1.  Target polygon layer-ийг сонгоно.</w:t>
      </w:r>
    </w:p>
    <w:p>
      <w:pPr>
        <w:ind w:left="255" w:hanging="255"/>
      </w:pPr>
      <w:r>
        <w:t>2.  Buffer хэрэгтэй бол Processing Toolbox → Buffer ашиглана.</w:t>
      </w:r>
    </w:p>
    <w:p>
      <w:pPr>
        <w:ind w:left="255" w:hanging="255"/>
      </w:pPr>
      <w:r>
        <w:t>3.  Target zone-ийн гадна талаар 100–300 м buffer өгч болно.</w:t>
      </w:r>
    </w:p>
    <w:p>
      <w:pPr>
        <w:ind w:left="255" w:hanging="255"/>
      </w:pPr>
      <w:r>
        <w:t>4.  Buffer polygon-ийг Soil_Grid_Extent нэрээр хадгална.</w:t>
      </w:r>
    </w:p>
    <w:p>
      <w:pPr>
        <w:ind w:left="255" w:hanging="255"/>
      </w:pPr>
      <w:r>
        <w:t>5.  Хэт налуу, голын хөндий, хад асгатай, дээж авах боломжгүй хэсгийг exclusion area болгон тэмдэглэнэ.</w:t>
      </w:r>
    </w:p>
    <w:p>
      <w:pPr>
        <w:pStyle w:val="Heading2"/>
      </w:pPr>
      <w:r>
        <w:t>7.3 Sample line үүсгэх</w:t>
      </w:r>
    </w:p>
    <w:p>
      <w:pPr>
        <w:pStyle w:val="Heading3"/>
      </w:pPr>
      <w:r>
        <w:t>Арга 1: Create Grid tool ашиглах</w:t>
      </w:r>
    </w:p>
    <w:p>
      <w:pPr>
        <w:ind w:left="255" w:hanging="255"/>
      </w:pPr>
      <w:r>
        <w:t>1.  Processing Toolbox → Create Grid нээнэ.</w:t>
      </w:r>
    </w:p>
    <w:p>
      <w:pPr>
        <w:ind w:left="255" w:hanging="255"/>
      </w:pPr>
      <w:r>
        <w:t>2.  Grid type: Line сонгоно.</w:t>
      </w:r>
    </w:p>
    <w:p>
      <w:pPr>
        <w:ind w:left="255" w:hanging="255"/>
      </w:pPr>
      <w:r>
        <w:t>3.  Grid extent: Soil_Grid_Extent сонгоно.</w:t>
      </w:r>
    </w:p>
    <w:p>
      <w:pPr>
        <w:ind w:left="255" w:hanging="255"/>
      </w:pPr>
      <w:r>
        <w:t>4.  Horizontal spacing / vertical spacing-ийг grid төрлөөс хамааран тохируулна.</w:t>
      </w:r>
    </w:p>
    <w:p>
      <w:pPr>
        <w:ind w:left="255" w:hanging="255"/>
      </w:pPr>
      <w:r>
        <w:t>5.  Grid CRS: Project CRS сонгоно.</w:t>
      </w:r>
    </w:p>
    <w:p>
      <w:pPr>
        <w:ind w:left="255" w:hanging="255"/>
      </w:pPr>
      <w:r>
        <w:t>6.  Output: Soil_Grid_Lines_100x25.gpkg эсвэл холбогдох нэрээр хадгална.</w:t>
      </w:r>
    </w:p>
    <w:p>
      <w:pPr>
        <w:ind w:left="255" w:hanging="255"/>
      </w:pPr>
      <w:r>
        <w:t>7.  Үүссэн line-ийг geological strike-д перпендикуляр чиглэлд rotate хийнэ.</w:t>
      </w:r>
    </w:p>
    <w:p>
      <w:pPr>
        <w:pStyle w:val="Heading3"/>
      </w:pPr>
      <w:r>
        <w:t>Арга 2: Manual baseline + parallel line</w:t>
      </w:r>
    </w:p>
    <w:p>
      <w:pPr>
        <w:ind w:left="255" w:hanging="255"/>
      </w:pPr>
      <w:r>
        <w:t>1.  Хүдэржилтийн strike-д перпендикуляр baseline зурна.</w:t>
      </w:r>
    </w:p>
    <w:p>
      <w:pPr>
        <w:ind w:left="255" w:hanging="255"/>
      </w:pPr>
      <w:r>
        <w:t>2.  Offset line tool ашиглан 50 м, 100 м, 200 м зайтай parallel line үүсгэнэ.</w:t>
      </w:r>
    </w:p>
    <w:p>
      <w:pPr>
        <w:ind w:left="255" w:hanging="255"/>
      </w:pPr>
      <w:r>
        <w:t>3.  Line бүрийг target polygon дотор clip хийнэ.</w:t>
      </w:r>
    </w:p>
    <w:p>
      <w:pPr>
        <w:ind w:left="255" w:hanging="255"/>
      </w:pPr>
      <w:r>
        <w:t>4.  Line ID өгнө.</w:t>
      </w:r>
    </w:p>
    <w:p>
      <w:pPr>
        <w:pStyle w:val="Heading2"/>
      </w:pPr>
      <w:r>
        <w:t>7.4 Sample point үүсгэх</w:t>
      </w:r>
    </w:p>
    <w:p>
      <w:pPr>
        <w:ind w:left="255" w:hanging="255"/>
      </w:pPr>
      <w:r>
        <w:t>1.  Processing Toolbox → Points along geometry нээнэ.</w:t>
      </w:r>
    </w:p>
    <w:p>
      <w:pPr>
        <w:ind w:left="255" w:hanging="255"/>
      </w:pPr>
      <w:r>
        <w:t>2.  Input layer: Soil grid line сонгоно.</w:t>
      </w:r>
    </w:p>
    <w:p>
      <w:pPr>
        <w:ind w:left="255" w:hanging="255"/>
      </w:pPr>
      <w:r>
        <w:t>3.  Distance: 10 м, 25 м эсвэл 50 м оруулна.</w:t>
      </w:r>
    </w:p>
    <w:p>
      <w:pPr>
        <w:ind w:left="255" w:hanging="255"/>
      </w:pPr>
      <w:r>
        <w:t>4.  Start offset: 0, End offset: 0 гэж тохируулна.</w:t>
      </w:r>
    </w:p>
    <w:p>
      <w:pPr>
        <w:ind w:left="255" w:hanging="255"/>
      </w:pPr>
      <w:r>
        <w:t>5.  Output: XV-023222_Buduunkhad_Soil_Sample_Points.gpkg гэж хадгална.</w:t>
      </w:r>
    </w:p>
    <w:p>
      <w:pPr>
        <w:ind w:left="255" w:hanging="255"/>
      </w:pPr>
      <w:r>
        <w:t>6.  Point layer дээр attribute fields үүсгэнэ.</w:t>
      </w:r>
    </w:p>
    <w:p>
      <w:pPr>
        <w:pStyle w:val="CodeBlock"/>
      </w:pPr>
      <w:r>
        <w:t>sample_id</w:t>
      </w:r>
    </w:p>
    <w:p>
      <w:pPr>
        <w:pStyle w:val="CodeBlock"/>
      </w:pPr>
      <w:r>
        <w:t>grid_type</w:t>
      </w:r>
    </w:p>
    <w:p>
      <w:pPr>
        <w:pStyle w:val="CodeBlock"/>
      </w:pPr>
      <w:r>
        <w:t>line_id</w:t>
      </w:r>
    </w:p>
    <w:p>
      <w:pPr>
        <w:pStyle w:val="CodeBlock"/>
      </w:pPr>
      <w:r>
        <w:t>station_id</w:t>
      </w:r>
    </w:p>
    <w:p>
      <w:pPr>
        <w:pStyle w:val="CodeBlock"/>
      </w:pPr>
      <w:r>
        <w:t>easting</w:t>
      </w:r>
    </w:p>
    <w:p>
      <w:pPr>
        <w:pStyle w:val="CodeBlock"/>
      </w:pPr>
      <w:r>
        <w:t>northing</w:t>
      </w:r>
    </w:p>
    <w:p>
      <w:pPr>
        <w:pStyle w:val="CodeBlock"/>
      </w:pPr>
      <w:r>
        <w:t>elevation</w:t>
      </w:r>
    </w:p>
    <w:p>
      <w:pPr>
        <w:pStyle w:val="CodeBlock"/>
      </w:pPr>
      <w:r>
        <w:t>sample_spacing</w:t>
      </w:r>
    </w:p>
    <w:p>
      <w:pPr>
        <w:pStyle w:val="CodeBlock"/>
      </w:pPr>
      <w:r>
        <w:t>line_spacing</w:t>
      </w:r>
    </w:p>
    <w:p>
      <w:pPr>
        <w:pStyle w:val="CodeBlock"/>
      </w:pPr>
      <w:r>
        <w:t>target_name</w:t>
      </w:r>
    </w:p>
    <w:p>
      <w:pPr>
        <w:pStyle w:val="CodeBlock"/>
      </w:pPr>
      <w:r>
        <w:t>soil_type</w:t>
      </w:r>
    </w:p>
    <w:p>
      <w:pPr>
        <w:pStyle w:val="CodeBlock"/>
      </w:pPr>
      <w:r>
        <w:t>slope</w:t>
      </w:r>
    </w:p>
    <w:p>
      <w:pPr>
        <w:pStyle w:val="CodeBlock"/>
      </w:pPr>
      <w:r>
        <w:t>landform</w:t>
      </w:r>
    </w:p>
    <w:p>
      <w:pPr>
        <w:pStyle w:val="CodeBlock"/>
      </w:pPr>
      <w:r>
        <w:t>depth_cm</w:t>
      </w:r>
    </w:p>
    <w:p>
      <w:pPr>
        <w:pStyle w:val="CodeBlock"/>
      </w:pPr>
      <w:r>
        <w:t>sample_weight_kg</w:t>
      </w:r>
    </w:p>
    <w:p>
      <w:pPr>
        <w:pStyle w:val="CodeBlock"/>
      </w:pPr>
      <w:r>
        <w:t>pXRF_id</w:t>
      </w:r>
    </w:p>
    <w:p>
      <w:pPr>
        <w:pStyle w:val="CodeBlock"/>
      </w:pPr>
      <w:r>
        <w:t>lab_id</w:t>
      </w:r>
    </w:p>
    <w:p>
      <w:pPr>
        <w:pStyle w:val="CodeBlock"/>
      </w:pPr>
      <w:r>
        <w:t>qa_qc_type</w:t>
      </w:r>
    </w:p>
    <w:p>
      <w:pPr>
        <w:pStyle w:val="CodeBlock"/>
      </w:pPr>
      <w:r>
        <w:t>collector</w:t>
      </w:r>
    </w:p>
    <w:p>
      <w:pPr>
        <w:pStyle w:val="CodeBlock"/>
      </w:pPr>
      <w:r>
        <w:t>date</w:t>
      </w:r>
    </w:p>
    <w:p>
      <w:pPr>
        <w:pStyle w:val="CodeBlock"/>
      </w:pPr>
      <w:r>
        <w:t>comment</w:t>
      </w:r>
    </w:p>
    <w:p>
      <w:pPr>
        <w:pStyle w:val="Heading2"/>
      </w:pPr>
      <w:r>
        <w:t>7.5 Sample ID үүсгэх стандарт</w:t>
      </w:r>
    </w:p>
    <w:p>
      <w:r>
        <w:t>Sample ID нь давхцахгүй, уншихад ойлгомжтой байх ёстой. Энгийн хөрсний дээжийн жишээ:</w:t>
      </w:r>
    </w:p>
    <w:p>
      <w:pPr>
        <w:pStyle w:val="CodeBlock"/>
      </w:pPr>
      <w:r>
        <w:t>BK-SO-0001</w:t>
      </w:r>
    </w:p>
    <w:p>
      <w:pPr>
        <w:pStyle w:val="CodeBlock"/>
      </w:pPr>
      <w:r>
        <w:t>BK-SO-0002</w:t>
      </w:r>
    </w:p>
    <w:p>
      <w:pPr>
        <w:pStyle w:val="CodeBlock"/>
      </w:pPr>
      <w:r>
        <w:t>BK-SO-0003</w:t>
      </w:r>
    </w:p>
    <w:p>
      <w:r>
        <w:t>QA/QC дээжүүдийн жишээ:</w:t>
      </w:r>
    </w:p>
    <w:p>
      <w:pPr>
        <w:pStyle w:val="CodeBlock"/>
      </w:pPr>
      <w:r>
        <w:t>BK-SO-DUP-001</w:t>
      </w:r>
    </w:p>
    <w:p>
      <w:pPr>
        <w:pStyle w:val="CodeBlock"/>
      </w:pPr>
      <w:r>
        <w:t>BK-SO-BLK-001</w:t>
      </w:r>
    </w:p>
    <w:p>
      <w:pPr>
        <w:pStyle w:val="CodeBlock"/>
      </w:pPr>
      <w:r>
        <w:t>BK-SO-CRM-001</w:t>
      </w:r>
    </w:p>
    <w:p>
      <w:r>
        <w:t>Field duplicate-ийн бодит original sample ID-г тусдаа QA/QC log-д тэмдэглэнэ. Field team-д duplicate sample аль original sample-тай холбоотойг ил тод тэмдэглэхгүй байж болно. QA/QC manager тусдаа confidential QA/QC key file хадгална.</w:t>
      </w:r>
    </w:p>
    <w:p>
      <w:pPr>
        <w:pStyle w:val="Heading1"/>
      </w:pPr>
      <w:r>
        <w:t>8. Талбайн дээжлэлт хийх заавар</w:t>
      </w:r>
    </w:p>
    <w:p>
      <w:pPr>
        <w:pStyle w:val="Heading2"/>
      </w:pPr>
      <w:r>
        <w:t>8.1 Талбайд гарахын өмнөх checklist</w:t>
      </w:r>
    </w:p>
    <w:p>
      <w:pPr>
        <w:pStyle w:val="ListBullet"/>
      </w:pPr>
      <w:r>
        <w:t>GPS / handheld device;</w:t>
      </w:r>
    </w:p>
    <w:p>
      <w:pPr>
        <w:pStyle w:val="ListBullet"/>
      </w:pPr>
      <w:r>
        <w:t>QField project;</w:t>
      </w:r>
    </w:p>
    <w:p>
      <w:pPr>
        <w:pStyle w:val="ListBullet"/>
      </w:pPr>
      <w:r>
        <w:t>Offline basemap;</w:t>
      </w:r>
    </w:p>
    <w:p>
      <w:pPr>
        <w:pStyle w:val="ListBullet"/>
      </w:pPr>
      <w:r>
        <w:t>Printed grid map;</w:t>
      </w:r>
    </w:p>
    <w:p>
      <w:pPr>
        <w:pStyle w:val="ListBullet"/>
      </w:pPr>
      <w:r>
        <w:t>Sample bags;</w:t>
      </w:r>
    </w:p>
    <w:p>
      <w:pPr>
        <w:pStyle w:val="ListBullet"/>
      </w:pPr>
      <w:r>
        <w:t>Permanent marker;</w:t>
      </w:r>
    </w:p>
    <w:p>
      <w:pPr>
        <w:pStyle w:val="ListBullet"/>
      </w:pPr>
      <w:r>
        <w:t>Sample tags;</w:t>
      </w:r>
    </w:p>
    <w:p>
      <w:pPr>
        <w:pStyle w:val="ListBullet"/>
      </w:pPr>
      <w:r>
        <w:t>Plastic scoop эсвэл stainless-steel scoop;</w:t>
      </w:r>
    </w:p>
    <w:p>
      <w:pPr>
        <w:pStyle w:val="ListBullet"/>
      </w:pPr>
      <w:r>
        <w:t>Sieve, шаардлагатай бол;</w:t>
      </w:r>
    </w:p>
    <w:p>
      <w:pPr>
        <w:pStyle w:val="ListBullet"/>
      </w:pPr>
      <w:r>
        <w:t>Gloves;</w:t>
      </w:r>
    </w:p>
    <w:p>
      <w:pPr>
        <w:pStyle w:val="ListBullet"/>
      </w:pPr>
      <w:r>
        <w:t>Field notebook;</w:t>
      </w:r>
    </w:p>
    <w:p>
      <w:pPr>
        <w:pStyle w:val="ListBullet"/>
      </w:pPr>
      <w:r>
        <w:t>Camera / phone;</w:t>
      </w:r>
    </w:p>
    <w:p>
      <w:pPr>
        <w:pStyle w:val="ListBullet"/>
      </w:pPr>
      <w:r>
        <w:t>pXRF instrument;</w:t>
      </w:r>
    </w:p>
    <w:p>
      <w:pPr>
        <w:pStyle w:val="ListBullet"/>
      </w:pPr>
      <w:r>
        <w:t>Calibration standard;</w:t>
      </w:r>
    </w:p>
    <w:p>
      <w:pPr>
        <w:pStyle w:val="ListBullet"/>
      </w:pPr>
      <w:r>
        <w:t>CRM, blank material;</w:t>
      </w:r>
    </w:p>
    <w:p>
      <w:pPr>
        <w:pStyle w:val="ListBullet"/>
      </w:pPr>
      <w:r>
        <w:t>Duplicate bag;</w:t>
      </w:r>
    </w:p>
    <w:p>
      <w:pPr>
        <w:pStyle w:val="ListBullet"/>
      </w:pPr>
      <w:r>
        <w:t>Sample register sheet;</w:t>
      </w:r>
    </w:p>
    <w:p>
      <w:pPr>
        <w:pStyle w:val="ListBullet"/>
      </w:pPr>
      <w:r>
        <w:t>Chain-of-custody form.</w:t>
      </w:r>
    </w:p>
    <w:p>
      <w:pPr>
        <w:pStyle w:val="Heading2"/>
      </w:pPr>
      <w:r>
        <w:t>8.2 QField дээр sample point оруулах</w:t>
      </w:r>
    </w:p>
    <w:p>
      <w:pPr>
        <w:ind w:left="255" w:hanging="255"/>
      </w:pPr>
      <w:r>
        <w:t>1.  QGIS дээр бэлдсэн sample point layer-ийг QField project болгон export хийнэ.</w:t>
      </w:r>
    </w:p>
    <w:p>
      <w:pPr>
        <w:ind w:left="255" w:hanging="255"/>
      </w:pPr>
      <w:r>
        <w:t>2.  QFieldSync ашиглан package үүсгэнэ.</w:t>
      </w:r>
    </w:p>
    <w:p>
      <w:pPr>
        <w:ind w:left="255" w:hanging="255"/>
      </w:pPr>
      <w:r>
        <w:t>3.  Google Drive эсвэл USB ашиглан Android төхөөрөмж рүү хуулна.</w:t>
      </w:r>
    </w:p>
    <w:p>
      <w:pPr>
        <w:ind w:left="255" w:hanging="255"/>
      </w:pPr>
      <w:r>
        <w:t>4.  QField дээр project нээнэ.</w:t>
      </w:r>
    </w:p>
    <w:p>
      <w:pPr>
        <w:ind w:left="255" w:hanging="255"/>
      </w:pPr>
      <w:r>
        <w:t>5.  Sample point layer editable эсэхийг шалгана.</w:t>
      </w:r>
    </w:p>
    <w:p>
      <w:pPr>
        <w:ind w:left="255" w:hanging="255"/>
      </w:pPr>
      <w:r>
        <w:t>6.  Field form дээр заавал бөглөх талбаруудыг тохируулна.</w:t>
      </w:r>
    </w:p>
    <w:p>
      <w:pPr>
        <w:pStyle w:val="CodeBlock"/>
      </w:pPr>
      <w:r>
        <w:t>sample_id</w:t>
      </w:r>
    </w:p>
    <w:p>
      <w:pPr>
        <w:pStyle w:val="CodeBlock"/>
      </w:pPr>
      <w:r>
        <w:t>date</w:t>
      </w:r>
    </w:p>
    <w:p>
      <w:pPr>
        <w:pStyle w:val="CodeBlock"/>
      </w:pPr>
      <w:r>
        <w:t>collector</w:t>
      </w:r>
    </w:p>
    <w:p>
      <w:pPr>
        <w:pStyle w:val="CodeBlock"/>
      </w:pPr>
      <w:r>
        <w:t>soil_type</w:t>
      </w:r>
    </w:p>
    <w:p>
      <w:pPr>
        <w:pStyle w:val="CodeBlock"/>
      </w:pPr>
      <w:r>
        <w:t>depth_cm</w:t>
      </w:r>
    </w:p>
    <w:p>
      <w:pPr>
        <w:pStyle w:val="CodeBlock"/>
      </w:pPr>
      <w:r>
        <w:t>sample_weight_kg</w:t>
      </w:r>
    </w:p>
    <w:p>
      <w:pPr>
        <w:pStyle w:val="CodeBlock"/>
      </w:pPr>
      <w:r>
        <w:t>landform</w:t>
      </w:r>
    </w:p>
    <w:p>
      <w:pPr>
        <w:pStyle w:val="CodeBlock"/>
      </w:pPr>
      <w:r>
        <w:t>slope</w:t>
      </w:r>
    </w:p>
    <w:p>
      <w:pPr>
        <w:pStyle w:val="CodeBlock"/>
      </w:pPr>
      <w:r>
        <w:t>comment</w:t>
      </w:r>
    </w:p>
    <w:p>
      <w:pPr>
        <w:pStyle w:val="CodeBlock"/>
      </w:pPr>
      <w:r>
        <w:t>photo</w:t>
      </w:r>
    </w:p>
    <w:p>
      <w:pPr>
        <w:pStyle w:val="Heading2"/>
      </w:pPr>
      <w:r>
        <w:t>8.3 Дээж авах байршил дээр очих</w:t>
      </w:r>
    </w:p>
    <w:p>
      <w:pPr>
        <w:ind w:left="255" w:hanging="255"/>
      </w:pPr>
      <w:r>
        <w:t>1.  GPS-ээр тухайн sample point дээр очно.</w:t>
      </w:r>
    </w:p>
    <w:p>
      <w:pPr>
        <w:ind w:left="255" w:hanging="255"/>
      </w:pPr>
      <w:r>
        <w:t>2.  5–10 м дотор байрлалыг баталгаажуулна.</w:t>
      </w:r>
    </w:p>
    <w:p>
      <w:pPr>
        <w:ind w:left="255" w:hanging="255"/>
      </w:pPr>
      <w:r>
        <w:t>3.  Байршил дээж авах боломжгүй бол offset авна.</w:t>
      </w:r>
    </w:p>
    <w:p>
      <w:pPr>
        <w:ind w:left="255" w:hanging="255"/>
      </w:pPr>
      <w:r>
        <w:t>4.  Offset авсан бол comment хэсэгт шалтгааныг бичнэ.</w:t>
      </w:r>
    </w:p>
    <w:p>
      <w:r>
        <w:t>Жишээ comment:</w:t>
      </w:r>
    </w:p>
    <w:p>
      <w:pPr>
        <w:pStyle w:val="CodeBlock"/>
      </w:pPr>
      <w:r>
        <w:t>Original point relocated 8 m east due to exposed bedrock.</w:t>
      </w:r>
    </w:p>
    <w:p>
      <w:r>
        <w:t>Дээж авах боломжгүй нөхцөлүүд:</w:t>
      </w:r>
    </w:p>
    <w:p>
      <w:pPr>
        <w:pStyle w:val="ListBullet"/>
      </w:pPr>
      <w:r>
        <w:t>Голын идэвхтэй суваг;</w:t>
      </w:r>
    </w:p>
    <w:p>
      <w:pPr>
        <w:pStyle w:val="ListBullet"/>
      </w:pPr>
      <w:r>
        <w:t>Зам;</w:t>
      </w:r>
    </w:p>
    <w:p>
      <w:pPr>
        <w:pStyle w:val="ListBullet"/>
      </w:pPr>
      <w:r>
        <w:t>Хад асга;</w:t>
      </w:r>
    </w:p>
    <w:p>
      <w:pPr>
        <w:pStyle w:val="ListBullet"/>
      </w:pPr>
      <w:r>
        <w:t>Суурин газар;</w:t>
      </w:r>
    </w:p>
    <w:p>
      <w:pPr>
        <w:pStyle w:val="ListBullet"/>
      </w:pPr>
      <w:r>
        <w:t>Хэт их бохирдсон газар;</w:t>
      </w:r>
    </w:p>
    <w:p>
      <w:pPr>
        <w:pStyle w:val="ListBullet"/>
      </w:pPr>
      <w:r>
        <w:t>Ус тогтсон газар;</w:t>
      </w:r>
    </w:p>
    <w:p>
      <w:pPr>
        <w:pStyle w:val="ListBullet"/>
      </w:pPr>
      <w:r>
        <w:t>Малын хашаа, бууц, хүний үйл ажиллагааны нөлөөтэй газар.</w:t>
      </w:r>
    </w:p>
    <w:p>
      <w:pPr>
        <w:pStyle w:val="Heading2"/>
      </w:pPr>
      <w:r>
        <w:t>8.4 Хөрсний дээж авах арга</w:t>
      </w:r>
    </w:p>
    <w:p>
      <w:pPr>
        <w:ind w:left="255" w:hanging="255"/>
      </w:pPr>
      <w:r>
        <w:t>1.  Гадаргуугийн органик давхаргыг зайлуулна.</w:t>
      </w:r>
    </w:p>
    <w:p>
      <w:pPr>
        <w:ind w:left="255" w:hanging="255"/>
      </w:pPr>
      <w:r>
        <w:t>2.  10–30 см гүнээс B-horizon буюу тогтвортой хөрсний үеэс авна.</w:t>
      </w:r>
    </w:p>
    <w:p>
      <w:pPr>
        <w:ind w:left="255" w:hanging="255"/>
      </w:pPr>
      <w:r>
        <w:t>3.  Ойролцоогоор 0.5–1.0 кг дээж авна.</w:t>
      </w:r>
    </w:p>
    <w:p>
      <w:pPr>
        <w:ind w:left="255" w:hanging="255"/>
      </w:pPr>
      <w:r>
        <w:t>4.  Том чулуу, үндэс, органик материал, бохирдлыг ялгана.</w:t>
      </w:r>
    </w:p>
    <w:p>
      <w:pPr>
        <w:ind w:left="255" w:hanging="255"/>
      </w:pPr>
      <w:r>
        <w:t>5.  Дээжийг цэвэр уутанд хийнэ.</w:t>
      </w:r>
    </w:p>
    <w:p>
      <w:pPr>
        <w:ind w:left="255" w:hanging="255"/>
      </w:pPr>
      <w:r>
        <w:t>6.  Sample ID-г уутны гадна болон sample tag дээр давхар бичнэ.</w:t>
      </w:r>
    </w:p>
    <w:p>
      <w:pPr>
        <w:ind w:left="255" w:hanging="255"/>
      </w:pPr>
      <w:r>
        <w:t>7.  GPS point, depth, soil colour, texture, slope, landform тэмдэглэнэ.</w:t>
      </w:r>
    </w:p>
    <w:p>
      <w:pPr>
        <w:ind w:left="255" w:hanging="255"/>
      </w:pPr>
      <w:r>
        <w:t>8.  Зураг авна.</w:t>
      </w:r>
    </w:p>
    <w:p>
      <w:pPr>
        <w:pStyle w:val="Heading2"/>
      </w:pPr>
      <w:r>
        <w:t>8.5 Field observation бичих</w:t>
      </w:r>
    </w:p>
    <w:p>
      <w:pPr>
        <w:pStyle w:val="CodeBlock"/>
      </w:pPr>
      <w:r>
        <w:t>Sample ID</w:t>
      </w:r>
    </w:p>
    <w:p>
      <w:pPr>
        <w:pStyle w:val="CodeBlock"/>
      </w:pPr>
      <w:r>
        <w:t>Date</w:t>
      </w:r>
    </w:p>
    <w:p>
      <w:pPr>
        <w:pStyle w:val="CodeBlock"/>
      </w:pPr>
      <w:r>
        <w:t>Collector</w:t>
      </w:r>
    </w:p>
    <w:p>
      <w:pPr>
        <w:pStyle w:val="CodeBlock"/>
      </w:pPr>
      <w:r>
        <w:t>Easting</w:t>
      </w:r>
    </w:p>
    <w:p>
      <w:pPr>
        <w:pStyle w:val="CodeBlock"/>
      </w:pPr>
      <w:r>
        <w:t>Northing</w:t>
      </w:r>
    </w:p>
    <w:p>
      <w:pPr>
        <w:pStyle w:val="CodeBlock"/>
      </w:pPr>
      <w:r>
        <w:t>Elevation</w:t>
      </w:r>
    </w:p>
    <w:p>
      <w:pPr>
        <w:pStyle w:val="CodeBlock"/>
      </w:pPr>
      <w:r>
        <w:t>Soil horizon</w:t>
      </w:r>
    </w:p>
    <w:p>
      <w:pPr>
        <w:pStyle w:val="CodeBlock"/>
      </w:pPr>
      <w:r>
        <w:t>Soil colour</w:t>
      </w:r>
    </w:p>
    <w:p>
      <w:pPr>
        <w:pStyle w:val="CodeBlock"/>
      </w:pPr>
      <w:r>
        <w:t>Soil texture</w:t>
      </w:r>
    </w:p>
    <w:p>
      <w:pPr>
        <w:pStyle w:val="CodeBlock"/>
      </w:pPr>
      <w:r>
        <w:t>Depth</w:t>
      </w:r>
    </w:p>
    <w:p>
      <w:pPr>
        <w:pStyle w:val="CodeBlock"/>
      </w:pPr>
      <w:r>
        <w:t>Moisture</w:t>
      </w:r>
    </w:p>
    <w:p>
      <w:pPr>
        <w:pStyle w:val="CodeBlock"/>
      </w:pPr>
      <w:r>
        <w:t>Slope</w:t>
      </w:r>
    </w:p>
    <w:p>
      <w:pPr>
        <w:pStyle w:val="CodeBlock"/>
      </w:pPr>
      <w:r>
        <w:t>Landform</w:t>
      </w:r>
    </w:p>
    <w:p>
      <w:pPr>
        <w:pStyle w:val="CodeBlock"/>
      </w:pPr>
      <w:r>
        <w:t>Vegetation</w:t>
      </w:r>
    </w:p>
    <w:p>
      <w:pPr>
        <w:pStyle w:val="CodeBlock"/>
      </w:pPr>
      <w:r>
        <w:t>Rock fragment</w:t>
      </w:r>
    </w:p>
    <w:p>
      <w:pPr>
        <w:pStyle w:val="CodeBlock"/>
      </w:pPr>
      <w:r>
        <w:t>Nearby outcrop</w:t>
      </w:r>
    </w:p>
    <w:p>
      <w:pPr>
        <w:pStyle w:val="CodeBlock"/>
      </w:pPr>
      <w:r>
        <w:t>Alteration evidence</w:t>
      </w:r>
    </w:p>
    <w:p>
      <w:pPr>
        <w:pStyle w:val="CodeBlock"/>
      </w:pPr>
      <w:r>
        <w:t>Visible mineralization</w:t>
      </w:r>
    </w:p>
    <w:p>
      <w:pPr>
        <w:pStyle w:val="CodeBlock"/>
      </w:pPr>
      <w:r>
        <w:t>Contamination risk</w:t>
      </w:r>
    </w:p>
    <w:p>
      <w:pPr>
        <w:pStyle w:val="CodeBlock"/>
      </w:pPr>
      <w:r>
        <w:t>Photo ID</w:t>
      </w:r>
    </w:p>
    <w:p>
      <w:pPr>
        <w:pStyle w:val="CodeBlock"/>
      </w:pPr>
      <w:r>
        <w:t>Comment</w:t>
      </w:r>
    </w:p>
    <w:p>
      <w:pPr>
        <w:pStyle w:val="Heading1"/>
      </w:pPr>
      <w:r>
        <w:t>9. pXRF screening хийх заавар</w:t>
      </w:r>
    </w:p>
    <w:p>
      <w:pPr>
        <w:pStyle w:val="Heading2"/>
      </w:pPr>
      <w:r>
        <w:t>9.1 pXRF-ийн зорилго</w:t>
      </w:r>
    </w:p>
    <w:p>
      <w:r>
        <w:t>pXRF screening нь лабораторийн шинжилгээг орлохгүй. Энэ нь талбай дээр урьдчилсан элементүүдийн өөрчлөлт, аномалийн чиг хандлагыг хурдан харах зориулалттай. Au-г pXRF-ээр найдвартай хэмжих боломж ихэвчлэн хязгаарлагдмал тул алтны хувьд лабораторийн fire assay эсвэл ICP-MS/ICP-OES үр дүнг үндсэн гэж үзнэ.</w:t>
      </w:r>
    </w:p>
    <w:p>
      <w:pPr>
        <w:pStyle w:val="ListBullet"/>
      </w:pPr>
      <w:r>
        <w:t>Cu</w:t>
      </w:r>
    </w:p>
    <w:p>
      <w:pPr>
        <w:pStyle w:val="ListBullet"/>
      </w:pPr>
      <w:r>
        <w:t>Zn</w:t>
      </w:r>
    </w:p>
    <w:p>
      <w:pPr>
        <w:pStyle w:val="ListBullet"/>
      </w:pPr>
      <w:r>
        <w:t>Pb</w:t>
      </w:r>
    </w:p>
    <w:p>
      <w:pPr>
        <w:pStyle w:val="ListBullet"/>
      </w:pPr>
      <w:r>
        <w:t>As</w:t>
      </w:r>
    </w:p>
    <w:p>
      <w:pPr>
        <w:pStyle w:val="ListBullet"/>
      </w:pPr>
      <w:r>
        <w:t>Mo</w:t>
      </w:r>
    </w:p>
    <w:p>
      <w:pPr>
        <w:pStyle w:val="ListBullet"/>
      </w:pPr>
      <w:r>
        <w:t>Mn</w:t>
      </w:r>
    </w:p>
    <w:p>
      <w:pPr>
        <w:pStyle w:val="ListBullet"/>
      </w:pPr>
      <w:r>
        <w:t>Fe</w:t>
      </w:r>
    </w:p>
    <w:p>
      <w:pPr>
        <w:pStyle w:val="ListBullet"/>
      </w:pPr>
      <w:r>
        <w:t>K</w:t>
      </w:r>
    </w:p>
    <w:p>
      <w:pPr>
        <w:pStyle w:val="ListBullet"/>
      </w:pPr>
      <w:r>
        <w:t>Ca</w:t>
      </w:r>
    </w:p>
    <w:p>
      <w:pPr>
        <w:pStyle w:val="ListBullet"/>
      </w:pPr>
      <w:r>
        <w:t>Ti</w:t>
      </w:r>
    </w:p>
    <w:p>
      <w:pPr>
        <w:pStyle w:val="ListBullet"/>
      </w:pPr>
      <w:r>
        <w:t>Ni</w:t>
      </w:r>
    </w:p>
    <w:p>
      <w:pPr>
        <w:pStyle w:val="ListBullet"/>
      </w:pPr>
      <w:r>
        <w:t>Cr</w:t>
      </w:r>
    </w:p>
    <w:p>
      <w:pPr>
        <w:pStyle w:val="Heading2"/>
      </w:pPr>
      <w:r>
        <w:t>9.2 pXRF хэмжилтийн бэлтгэл</w:t>
      </w:r>
    </w:p>
    <w:p>
      <w:pPr>
        <w:ind w:left="255" w:hanging="255"/>
      </w:pPr>
      <w:r>
        <w:t>1.  Instrument warm-up хийнэ.</w:t>
      </w:r>
    </w:p>
    <w:p>
      <w:pPr>
        <w:ind w:left="255" w:hanging="255"/>
      </w:pPr>
      <w:r>
        <w:t>2.  Calibration check хийнэ.</w:t>
      </w:r>
    </w:p>
    <w:p>
      <w:pPr>
        <w:ind w:left="255" w:hanging="255"/>
      </w:pPr>
      <w:r>
        <w:t>3.  Standard sample хэмжинэ.</w:t>
      </w:r>
    </w:p>
    <w:p>
      <w:pPr>
        <w:ind w:left="255" w:hanging="255"/>
      </w:pPr>
      <w:r>
        <w:t>4.  Blank material хэмжинэ.</w:t>
      </w:r>
    </w:p>
    <w:p>
      <w:pPr>
        <w:ind w:left="255" w:hanging="255"/>
      </w:pPr>
      <w:r>
        <w:t>5.  Дээжийг хатаах боломжтой бол хатаана.</w:t>
      </w:r>
    </w:p>
    <w:p>
      <w:pPr>
        <w:ind w:left="255" w:hanging="255"/>
      </w:pPr>
      <w:r>
        <w:t>6.  Чийг ихтэй дээжийн үр дүнг болгоомжтой тайлбарлана.</w:t>
      </w:r>
    </w:p>
    <w:p>
      <w:pPr>
        <w:ind w:left="255" w:hanging="255"/>
      </w:pPr>
      <w:r>
        <w:t>7.  Нэг дээж дээр 30–60 секунд хэмжилт хийнэ.</w:t>
      </w:r>
    </w:p>
    <w:p>
      <w:pPr>
        <w:ind w:left="255" w:hanging="255"/>
      </w:pPr>
      <w:r>
        <w:t>8.  Дээж бүрийн pXRF result-ийг sample ID-тай яг тааруулна.</w:t>
      </w:r>
    </w:p>
    <w:p>
      <w:pPr>
        <w:pStyle w:val="Heading2"/>
      </w:pPr>
      <w:r>
        <w:t>9.3 pXRF QA/QC</w:t>
      </w:r>
    </w:p>
    <w:p>
      <w:pPr>
        <w:pStyle w:val="ListBullet"/>
      </w:pPr>
      <w:r>
        <w:t>20 дээж тутамд нэг standard;</w:t>
      </w:r>
    </w:p>
    <w:p>
      <w:pPr>
        <w:pStyle w:val="ListBullet"/>
      </w:pPr>
      <w:r>
        <w:t>20 дээж тутамд нэг blank;</w:t>
      </w:r>
    </w:p>
    <w:p>
      <w:pPr>
        <w:pStyle w:val="ListBullet"/>
      </w:pPr>
      <w:r>
        <w:t>20 дээж тутамд нэг duplicate;</w:t>
      </w:r>
    </w:p>
    <w:p>
      <w:pPr>
        <w:pStyle w:val="ListBullet"/>
      </w:pPr>
      <w:r>
        <w:t>Өдөр бүр instrument calibration log;</w:t>
      </w:r>
    </w:p>
    <w:p>
      <w:pPr>
        <w:pStyle w:val="ListBullet"/>
      </w:pPr>
      <w:r>
        <w:t>Raw file backup.</w:t>
      </w:r>
    </w:p>
    <w:p>
      <w:r>
        <w:t>Хэрэв standard-ийн үр дүн зөвшөөрөгдөх хязгаараас хэтэрвэл тухайн өдрийн pXRF үр дүнг дахин шалгана.</w:t>
      </w:r>
    </w:p>
    <w:p>
      <w:pPr>
        <w:pStyle w:val="Heading1"/>
      </w:pPr>
      <w:r>
        <w:t>10. Лабораторийн шинжилгээний бэлтгэл</w:t>
      </w:r>
    </w:p>
    <w:p>
      <w:pPr>
        <w:pStyle w:val="Heading2"/>
      </w:pPr>
      <w:r>
        <w:t>10.1 Дээж хүлээлцэх</w:t>
      </w:r>
    </w:p>
    <w:p>
      <w:pPr>
        <w:ind w:left="255" w:hanging="255"/>
      </w:pPr>
      <w:r>
        <w:t>1.  Sample bag бүрэн бүтэн эсэх;</w:t>
      </w:r>
    </w:p>
    <w:p>
      <w:pPr>
        <w:ind w:left="255" w:hanging="255"/>
      </w:pPr>
      <w:r>
        <w:t>2.  Sample ID уншигдах эсэх;</w:t>
      </w:r>
    </w:p>
    <w:p>
      <w:pPr>
        <w:ind w:left="255" w:hanging="255"/>
      </w:pPr>
      <w:r>
        <w:t>3.  Field register-тэй таарч байгаа эсэх;</w:t>
      </w:r>
    </w:p>
    <w:p>
      <w:pPr>
        <w:ind w:left="255" w:hanging="255"/>
      </w:pPr>
      <w:r>
        <w:t>4.  Дээжийн тоо бүрэн эсэх;</w:t>
      </w:r>
    </w:p>
    <w:p>
      <w:pPr>
        <w:ind w:left="255" w:hanging="255"/>
      </w:pPr>
      <w:r>
        <w:t>5.  Duplicate, blank, CRM зөв орсон эсэх;</w:t>
      </w:r>
    </w:p>
    <w:p>
      <w:pPr>
        <w:ind w:left="255" w:hanging="255"/>
      </w:pPr>
      <w:r>
        <w:t>6.  Sample sequence тасарсан эсэх;</w:t>
      </w:r>
    </w:p>
    <w:p>
      <w:pPr>
        <w:ind w:left="255" w:hanging="255"/>
      </w:pPr>
      <w:r>
        <w:t>7.  Chain-of-custody form бүрэн бөглөгдсөн эсэх.</w:t>
      </w:r>
    </w:p>
    <w:p>
      <w:pPr>
        <w:pStyle w:val="Heading2"/>
      </w:pPr>
      <w:r>
        <w:t>10.2 Лабораторид илгээх sample submission file</w:t>
      </w:r>
    </w:p>
    <w:p>
      <w:pPr>
        <w:pStyle w:val="CodeBlock"/>
      </w:pPr>
      <w:r>
        <w:t>Dispatch_No</w:t>
      </w:r>
    </w:p>
    <w:p>
      <w:pPr>
        <w:pStyle w:val="CodeBlock"/>
      </w:pPr>
      <w:r>
        <w:t>Sample_ID</w:t>
      </w:r>
    </w:p>
    <w:p>
      <w:pPr>
        <w:pStyle w:val="CodeBlock"/>
      </w:pPr>
      <w:r>
        <w:t>Sample_Type</w:t>
      </w:r>
    </w:p>
    <w:p>
      <w:pPr>
        <w:pStyle w:val="CodeBlock"/>
      </w:pPr>
      <w:r>
        <w:t>QAQC_Type</w:t>
      </w:r>
    </w:p>
    <w:p>
      <w:pPr>
        <w:pStyle w:val="CodeBlock"/>
      </w:pPr>
      <w:r>
        <w:t>Project</w:t>
      </w:r>
    </w:p>
    <w:p>
      <w:pPr>
        <w:pStyle w:val="CodeBlock"/>
      </w:pPr>
      <w:r>
        <w:t>Target</w:t>
      </w:r>
    </w:p>
    <w:p>
      <w:pPr>
        <w:pStyle w:val="CodeBlock"/>
      </w:pPr>
      <w:r>
        <w:t>Easting</w:t>
      </w:r>
    </w:p>
    <w:p>
      <w:pPr>
        <w:pStyle w:val="CodeBlock"/>
      </w:pPr>
      <w:r>
        <w:t>Northing</w:t>
      </w:r>
    </w:p>
    <w:p>
      <w:pPr>
        <w:pStyle w:val="CodeBlock"/>
      </w:pPr>
      <w:r>
        <w:t>Requested_Assay</w:t>
      </w:r>
    </w:p>
    <w:p>
      <w:pPr>
        <w:pStyle w:val="CodeBlock"/>
      </w:pPr>
      <w:r>
        <w:t>Preparation_Code</w:t>
      </w:r>
    </w:p>
    <w:p>
      <w:pPr>
        <w:pStyle w:val="CodeBlock"/>
      </w:pPr>
      <w:r>
        <w:t>Analysis_Code</w:t>
      </w:r>
    </w:p>
    <w:p>
      <w:pPr>
        <w:pStyle w:val="CodeBlock"/>
      </w:pPr>
      <w:r>
        <w:t>Submitted_By</w:t>
      </w:r>
    </w:p>
    <w:p>
      <w:pPr>
        <w:pStyle w:val="CodeBlock"/>
      </w:pPr>
      <w:r>
        <w:t>Submission_Date</w:t>
      </w:r>
    </w:p>
    <w:p>
      <w:pPr>
        <w:pStyle w:val="CodeBlock"/>
      </w:pPr>
      <w:r>
        <w:t>Comment</w:t>
      </w:r>
    </w:p>
    <w:p>
      <w:r>
        <w:t>Sample type утгууд:</w:t>
      </w:r>
    </w:p>
    <w:p>
      <w:pPr>
        <w:pStyle w:val="CodeBlock"/>
      </w:pPr>
      <w:r>
        <w:t>SOIL</w:t>
      </w:r>
    </w:p>
    <w:p>
      <w:pPr>
        <w:pStyle w:val="CodeBlock"/>
      </w:pPr>
      <w:r>
        <w:t>FIELD_DUPLICATE</w:t>
      </w:r>
    </w:p>
    <w:p>
      <w:pPr>
        <w:pStyle w:val="CodeBlock"/>
      </w:pPr>
      <w:r>
        <w:t>BLANK</w:t>
      </w:r>
    </w:p>
    <w:p>
      <w:pPr>
        <w:pStyle w:val="CodeBlock"/>
      </w:pPr>
      <w:r>
        <w:t>CRM</w:t>
      </w:r>
    </w:p>
    <w:p>
      <w:pPr>
        <w:pStyle w:val="CodeBlock"/>
      </w:pPr>
      <w:r>
        <w:t>PULP_DUPLICATE</w:t>
      </w:r>
    </w:p>
    <w:p>
      <w:pPr>
        <w:pStyle w:val="CodeBlock"/>
      </w:pPr>
      <w:r>
        <w:t>LAB_REPEAT</w:t>
      </w:r>
    </w:p>
    <w:p>
      <w:pPr>
        <w:pStyle w:val="Heading2"/>
      </w:pPr>
      <w:r>
        <w:t>10.3 Шинжилгээний арга сонгох</w:t>
      </w:r>
    </w:p>
    <w:tbl>
      <w:tblPr>
        <w:tblStyle w:val="TableGrid"/>
        <w:tblW w:type="auto" w:w="0"/>
        <w:jc w:val="center"/>
        <w:tblLook w:firstColumn="1" w:firstRow="1" w:lastColumn="0" w:lastRow="0" w:noHBand="0" w:noVBand="1" w:val="04A0"/>
      </w:tblPr>
      <w:tblGrid>
        <w:gridCol w:w="3289"/>
        <w:gridCol w:w="3289"/>
        <w:gridCol w:w="3289"/>
      </w:tblGrid>
      <w:tr>
        <w:tc>
          <w:tcPr>
            <w:tcW w:type="dxa" w:w="2268"/>
            <w:vAlign w:val="center"/>
            <w:shd w:fill="D9EAF7"/>
          </w:tcPr>
          <w:p>
            <w:r/>
            <w:r>
              <w:rPr>
                <w:rFonts w:ascii="DejaVu Sans" w:hAnsi="DejaVu Sans" w:eastAsia="DejaVu Sans"/>
                <w:b/>
                <w:sz w:val="18"/>
              </w:rPr>
              <w:t>Target төрөл</w:t>
            </w:r>
          </w:p>
        </w:tc>
        <w:tc>
          <w:tcPr>
            <w:tcW w:type="dxa" w:w="3969"/>
            <w:vAlign w:val="center"/>
            <w:shd w:fill="D9EAF7"/>
          </w:tcPr>
          <w:p>
            <w:r/>
            <w:r>
              <w:rPr>
                <w:rFonts w:ascii="DejaVu Sans" w:hAnsi="DejaVu Sans" w:eastAsia="DejaVu Sans"/>
                <w:b/>
                <w:sz w:val="18"/>
              </w:rPr>
              <w:t>Зөвлөх элементүүд</w:t>
            </w:r>
          </w:p>
        </w:tc>
        <w:tc>
          <w:tcPr>
            <w:tcW w:type="dxa" w:w="3969"/>
            <w:vAlign w:val="center"/>
            <w:shd w:fill="D9EAF7"/>
          </w:tcPr>
          <w:p>
            <w:r/>
            <w:r>
              <w:rPr>
                <w:rFonts w:ascii="DejaVu Sans" w:hAnsi="DejaVu Sans" w:eastAsia="DejaVu Sans"/>
                <w:b/>
                <w:sz w:val="18"/>
              </w:rPr>
              <w:t>Санал болгох арга</w:t>
            </w:r>
          </w:p>
        </w:tc>
      </w:tr>
      <w:tr>
        <w:tc>
          <w:tcPr>
            <w:tcW w:type="dxa" w:w="2268"/>
            <w:vAlign w:val="center"/>
          </w:tcPr>
          <w:p>
            <w:r/>
            <w:r>
              <w:rPr>
                <w:rFonts w:ascii="DejaVu Sans" w:hAnsi="DejaVu Sans" w:eastAsia="DejaVu Sans"/>
                <w:b w:val="0"/>
                <w:sz w:val="18"/>
              </w:rPr>
              <w:t>Порфир Cu-Au target</w:t>
            </w:r>
          </w:p>
        </w:tc>
        <w:tc>
          <w:tcPr>
            <w:tcW w:type="dxa" w:w="3969"/>
            <w:vAlign w:val="center"/>
          </w:tcPr>
          <w:p>
            <w:r/>
            <w:r>
              <w:rPr>
                <w:rFonts w:ascii="DejaVu Sans" w:hAnsi="DejaVu Sans" w:eastAsia="DejaVu Sans"/>
                <w:b w:val="0"/>
                <w:sz w:val="18"/>
              </w:rPr>
              <w:t>Cu, Au, Mo, Ag, As, Pb, Zn, Bi, Te, Re, W</w:t>
            </w:r>
          </w:p>
        </w:tc>
        <w:tc>
          <w:tcPr>
            <w:tcW w:type="dxa" w:w="3969"/>
            <w:vAlign w:val="center"/>
          </w:tcPr>
          <w:p>
            <w:r/>
            <w:r>
              <w:rPr>
                <w:rFonts w:ascii="DejaVu Sans" w:hAnsi="DejaVu Sans" w:eastAsia="DejaVu Sans"/>
                <w:b w:val="0"/>
                <w:sz w:val="18"/>
              </w:rPr>
              <w:t>Multi-element ICP-MS / ICP-OES; Au fire assay; Cu өндөр үед ore-grade re-assay.</w:t>
            </w:r>
          </w:p>
        </w:tc>
      </w:tr>
      <w:tr>
        <w:tc>
          <w:tcPr>
            <w:tcW w:type="dxa" w:w="2268"/>
            <w:vAlign w:val="center"/>
          </w:tcPr>
          <w:p>
            <w:r/>
            <w:r>
              <w:rPr>
                <w:rFonts w:ascii="DejaVu Sans" w:hAnsi="DejaVu Sans" w:eastAsia="DejaVu Sans"/>
                <w:b w:val="0"/>
                <w:sz w:val="18"/>
              </w:rPr>
              <w:t>Epithermal Au-Ag target</w:t>
            </w:r>
          </w:p>
        </w:tc>
        <w:tc>
          <w:tcPr>
            <w:tcW w:type="dxa" w:w="3969"/>
            <w:vAlign w:val="center"/>
          </w:tcPr>
          <w:p>
            <w:r/>
            <w:r>
              <w:rPr>
                <w:rFonts w:ascii="DejaVu Sans" w:hAnsi="DejaVu Sans" w:eastAsia="DejaVu Sans"/>
                <w:b w:val="0"/>
                <w:sz w:val="18"/>
              </w:rPr>
              <w:t>Au, Ag, As, Sb, Hg, Pb, Zn, Cu, Mo, Se, Te</w:t>
            </w:r>
          </w:p>
        </w:tc>
        <w:tc>
          <w:tcPr>
            <w:tcW w:type="dxa" w:w="3969"/>
            <w:vAlign w:val="center"/>
          </w:tcPr>
          <w:p>
            <w:r/>
            <w:r>
              <w:rPr>
                <w:rFonts w:ascii="DejaVu Sans" w:hAnsi="DejaVu Sans" w:eastAsia="DejaVu Sans"/>
                <w:b w:val="0"/>
                <w:sz w:val="18"/>
              </w:rPr>
              <w:t>Au fire assay; Multi-element ICP-MS; Hg тусгай арга шаардлагатай байж болно.</w:t>
            </w:r>
          </w:p>
        </w:tc>
      </w:tr>
      <w:tr>
        <w:tc>
          <w:tcPr>
            <w:tcW w:type="dxa" w:w="2268"/>
            <w:vAlign w:val="center"/>
          </w:tcPr>
          <w:p>
            <w:r/>
            <w:r>
              <w:rPr>
                <w:rFonts w:ascii="DejaVu Sans" w:hAnsi="DejaVu Sans" w:eastAsia="DejaVu Sans"/>
                <w:b w:val="0"/>
                <w:sz w:val="18"/>
              </w:rPr>
              <w:t>Polymetallic vein target</w:t>
            </w:r>
          </w:p>
        </w:tc>
        <w:tc>
          <w:tcPr>
            <w:tcW w:type="dxa" w:w="3969"/>
            <w:vAlign w:val="center"/>
          </w:tcPr>
          <w:p>
            <w:r/>
            <w:r>
              <w:rPr>
                <w:rFonts w:ascii="DejaVu Sans" w:hAnsi="DejaVu Sans" w:eastAsia="DejaVu Sans"/>
                <w:b w:val="0"/>
                <w:sz w:val="18"/>
              </w:rPr>
              <w:t>Pb, Zn, Ag, Cu, Au, As, Sb, Cd, Mn, Ba</w:t>
            </w:r>
          </w:p>
        </w:tc>
        <w:tc>
          <w:tcPr>
            <w:tcW w:type="dxa" w:w="3969"/>
            <w:vAlign w:val="center"/>
          </w:tcPr>
          <w:p>
            <w:r/>
            <w:r>
              <w:rPr>
                <w:rFonts w:ascii="DejaVu Sans" w:hAnsi="DejaVu Sans" w:eastAsia="DejaVu Sans"/>
                <w:b w:val="0"/>
                <w:sz w:val="18"/>
              </w:rPr>
              <w:t>ICP-OES / ICP-MS; Ag, Pb, Zn өндөр үед ore-grade method.</w:t>
            </w:r>
          </w:p>
        </w:tc>
      </w:tr>
      <w:tr>
        <w:tc>
          <w:tcPr>
            <w:tcW w:type="dxa" w:w="2268"/>
            <w:vAlign w:val="center"/>
          </w:tcPr>
          <w:p>
            <w:r/>
            <w:r>
              <w:rPr>
                <w:rFonts w:ascii="DejaVu Sans" w:hAnsi="DejaVu Sans" w:eastAsia="DejaVu Sans"/>
                <w:b w:val="0"/>
                <w:sz w:val="18"/>
              </w:rPr>
              <w:t>Skarn target</w:t>
            </w:r>
          </w:p>
        </w:tc>
        <w:tc>
          <w:tcPr>
            <w:tcW w:type="dxa" w:w="3969"/>
            <w:vAlign w:val="center"/>
          </w:tcPr>
          <w:p>
            <w:r/>
            <w:r>
              <w:rPr>
                <w:rFonts w:ascii="DejaVu Sans" w:hAnsi="DejaVu Sans" w:eastAsia="DejaVu Sans"/>
                <w:b w:val="0"/>
                <w:sz w:val="18"/>
              </w:rPr>
              <w:t>Cu, Au, Fe, Zn, W, Mo, Bi, Co, As, Ca, Mg</w:t>
            </w:r>
          </w:p>
        </w:tc>
        <w:tc>
          <w:tcPr>
            <w:tcW w:type="dxa" w:w="3969"/>
            <w:vAlign w:val="center"/>
          </w:tcPr>
          <w:p>
            <w:r/>
            <w:r>
              <w:rPr>
                <w:rFonts w:ascii="DejaVu Sans" w:hAnsi="DejaVu Sans" w:eastAsia="DejaVu Sans"/>
                <w:b w:val="0"/>
                <w:sz w:val="18"/>
              </w:rPr>
              <w:t>Multi-element ICP; Au fire assay; W, Sn шаардлагатай бол тусгай багц.</w:t>
            </w:r>
          </w:p>
        </w:tc>
      </w:tr>
    </w:tbl>
    <w:p/>
    <w:p>
      <w:pPr>
        <w:pStyle w:val="Heading1"/>
      </w:pPr>
      <w:r>
        <w:t>11. QA/QC дээж оруулах стандарт</w:t>
      </w:r>
    </w:p>
    <w:p>
      <w:pPr>
        <w:pStyle w:val="Heading2"/>
      </w:pPr>
      <w:r>
        <w:t>11.1 QA/QC insertion schedule</w:t>
      </w:r>
    </w:p>
    <w:p>
      <w:pPr>
        <w:pStyle w:val="ListBullet"/>
      </w:pPr>
      <w:r>
        <w:t>20 дээж тутамд 1 duplicate;</w:t>
      </w:r>
    </w:p>
    <w:p>
      <w:pPr>
        <w:pStyle w:val="ListBullet"/>
      </w:pPr>
      <w:r>
        <w:t>20 дээж тутамд 1 blank;</w:t>
      </w:r>
    </w:p>
    <w:p>
      <w:pPr>
        <w:pStyle w:val="ListBullet"/>
      </w:pPr>
      <w:r>
        <w:t>20–30 дээж тутамд 1 CRM;</w:t>
      </w:r>
    </w:p>
    <w:p>
      <w:pPr>
        <w:pStyle w:val="ListBullet"/>
      </w:pPr>
      <w:r>
        <w:t>50 дээж тутамд 1 pulp duplicate эсвэл lab repeat;</w:t>
      </w:r>
    </w:p>
    <w:p>
      <w:pPr>
        <w:pStyle w:val="ListBullet"/>
      </w:pPr>
      <w:r>
        <w:t>Нийт QA/QC хэмжээ хамгийн багадаа 10–15% байх.</w:t>
      </w:r>
    </w:p>
    <w:p>
      <w:pPr>
        <w:pStyle w:val="Heading2"/>
      </w:pPr>
      <w:r>
        <w:t>11.2 Field duplicate</w:t>
      </w:r>
    </w:p>
    <w:p>
      <w:r>
        <w:t>Field duplicate нь нэг байршлаас хоёр тусдаа дээж авах арга бөгөөд field sampling variability, хөрсний жигд бус байдал, аномалийн бодит байдлыг шалгана.</w:t>
      </w:r>
    </w:p>
    <w:p>
      <w:pPr>
        <w:ind w:left="255" w:hanging="255"/>
      </w:pPr>
      <w:r>
        <w:t>1.  Original sample авна.</w:t>
      </w:r>
    </w:p>
    <w:p>
      <w:pPr>
        <w:ind w:left="255" w:hanging="255"/>
      </w:pPr>
      <w:r>
        <w:t>2.  Ижил цэгээс эсвэл 1–2 м дотор duplicate sample авна.</w:t>
      </w:r>
    </w:p>
    <w:p>
      <w:pPr>
        <w:ind w:left="255" w:hanging="255"/>
      </w:pPr>
      <w:r>
        <w:t>3.  Duplicate sample-д өөр sample ID өгнө.</w:t>
      </w:r>
    </w:p>
    <w:p>
      <w:pPr>
        <w:ind w:left="255" w:hanging="255"/>
      </w:pPr>
      <w:r>
        <w:t>4.  QA/QC key file дээр duplicate-ийн original ID-г бичнэ.</w:t>
      </w:r>
    </w:p>
    <w:p>
      <w:pPr>
        <w:ind w:left="255" w:hanging="255"/>
      </w:pPr>
      <w:r>
        <w:t>5.  Лабораторид blind duplicate байдлаар илгээнэ.</w:t>
      </w:r>
    </w:p>
    <w:p>
      <w:pPr>
        <w:pStyle w:val="Heading2"/>
      </w:pPr>
      <w:r>
        <w:t>11.3 Blank sample</w:t>
      </w:r>
    </w:p>
    <w:p>
      <w:r>
        <w:t>Blank нь sample preparation болон laboratory carry-over contamination байгаа эсэхийг шалгана. Цэвэр кварцын элс, certified blank material эсвэл геохимийн хувьд бага агуулгатай inert material ашиглаж болно.</w:t>
      </w:r>
    </w:p>
    <w:p>
      <w:pPr>
        <w:pStyle w:val="ListBullet"/>
      </w:pPr>
      <w:r>
        <w:t>Өндөр агуулгатай дээжийн дараа blank оруулах;</w:t>
      </w:r>
    </w:p>
    <w:p>
      <w:pPr>
        <w:pStyle w:val="ListBullet"/>
      </w:pPr>
      <w:r>
        <w:t>Blank value detection limit-тэй ойролцоо байх;</w:t>
      </w:r>
    </w:p>
    <w:p>
      <w:pPr>
        <w:pStyle w:val="ListBullet"/>
      </w:pPr>
      <w:r>
        <w:t>Blank value anomaly threshold-д хүрэхгүй байх;</w:t>
      </w:r>
    </w:p>
    <w:p>
      <w:pPr>
        <w:pStyle w:val="ListBullet"/>
      </w:pPr>
      <w:r>
        <w:t>Blank failure гарвал тухайн batch-ийн өмнөх болон дараах дээжүүдийг шалгах.</w:t>
      </w:r>
    </w:p>
    <w:p>
      <w:pPr>
        <w:pStyle w:val="Heading2"/>
      </w:pPr>
      <w:r>
        <w:t>11.4 CRM буюу certified reference material</w:t>
      </w:r>
    </w:p>
    <w:p>
      <w:r>
        <w:t>CRM нь лабораторийн accuracy буюу бодит утгад ойр хэмжиж байгаа эсэхийг шалгана. CRM сонгохдоо target element-тэй ойролцоо certified value-тэй, soil/geochemical matrix-тэй төстэй, Cu-Au, Au-Ag, Pb-Zn target-д тохирсон материал ашиглана.</w:t>
      </w:r>
    </w:p>
    <w:p>
      <w:pPr>
        <w:pStyle w:val="Heading2"/>
      </w:pPr>
      <w:r>
        <w:t>11.5 Lab duplicate / pulp duplicate</w:t>
      </w:r>
    </w:p>
    <w:p>
      <w:r>
        <w:t>Pulp duplicate нь sample preparation болон assay repeatability шалгана. Аномали өндөр гарсан дээж, critical decision sample, drilling/trenching шийдвэрт нөлөөлөх дээж, batch quality баталгаажуулах үед ашиглана.</w:t>
      </w:r>
    </w:p>
    <w:p>
      <w:pPr>
        <w:pStyle w:val="Heading1"/>
      </w:pPr>
      <w:r>
        <w:t>12. Лабораторийн үр дүн хүлээн авах ба шалгах</w:t>
      </w:r>
    </w:p>
    <w:p>
      <w:pPr>
        <w:pStyle w:val="Heading2"/>
      </w:pPr>
      <w:r>
        <w:t>12.1 Raw assay file хадгалах</w:t>
      </w:r>
    </w:p>
    <w:p>
      <w:r>
        <w:t>Лабораториос ирсэн бүх raw assay result-ийг засварлахгүйгээр хадгална.</w:t>
      </w:r>
    </w:p>
    <w:p>
      <w:pPr>
        <w:pStyle w:val="CodeBlock"/>
      </w:pPr>
      <w:r>
        <w:t>05_Assay_Validation/01_Raw_Lab_Result/</w:t>
      </w:r>
    </w:p>
    <w:p>
      <w:pPr>
        <w:pStyle w:val="CodeBlock"/>
      </w:pPr>
      <w:r>
        <w:t>XV-023222_Buduunkhad_Soil_Assay_Raw_LabResult_Batch01.xlsx</w:t>
      </w:r>
    </w:p>
    <w:p>
      <w:pPr>
        <w:pStyle w:val="Heading2"/>
      </w:pPr>
      <w:r>
        <w:t>12.2 Working file үүсгэх</w:t>
      </w:r>
    </w:p>
    <w:p>
      <w:r>
        <w:t>Raw file-ийг шууд засахгүй. Түүний хуулбарыг working file болгон хадгална.</w:t>
      </w:r>
    </w:p>
    <w:p>
      <w:pPr>
        <w:pStyle w:val="CodeBlock"/>
      </w:pPr>
      <w:r>
        <w:t>XV-023222_Buduunkhad_Soil_Assay_Validation_Working_Batch01.xlsx</w:t>
      </w:r>
    </w:p>
    <w:p>
      <w:pPr>
        <w:pStyle w:val="ListBullet"/>
      </w:pPr>
      <w:r>
        <w:t>Sample ID match;</w:t>
      </w:r>
    </w:p>
    <w:p>
      <w:pPr>
        <w:pStyle w:val="ListBullet"/>
      </w:pPr>
      <w:r>
        <w:t>Missing sample;</w:t>
      </w:r>
    </w:p>
    <w:p>
      <w:pPr>
        <w:pStyle w:val="ListBullet"/>
      </w:pPr>
      <w:r>
        <w:t>Duplicate sample;</w:t>
      </w:r>
    </w:p>
    <w:p>
      <w:pPr>
        <w:pStyle w:val="ListBullet"/>
      </w:pPr>
      <w:r>
        <w:t>Unit check;</w:t>
      </w:r>
    </w:p>
    <w:p>
      <w:pPr>
        <w:pStyle w:val="ListBullet"/>
      </w:pPr>
      <w:r>
        <w:t>Detection limit;</w:t>
      </w:r>
    </w:p>
    <w:p>
      <w:pPr>
        <w:pStyle w:val="ListBullet"/>
      </w:pPr>
      <w:r>
        <w:t>Negative value;</w:t>
      </w:r>
    </w:p>
    <w:p>
      <w:pPr>
        <w:pStyle w:val="ListBullet"/>
      </w:pPr>
      <w:r>
        <w:t>Overlimit value;</w:t>
      </w:r>
    </w:p>
    <w:p>
      <w:pPr>
        <w:pStyle w:val="ListBullet"/>
      </w:pPr>
      <w:r>
        <w:t>QA/QC sample identification;</w:t>
      </w:r>
    </w:p>
    <w:p>
      <w:pPr>
        <w:pStyle w:val="ListBullet"/>
      </w:pPr>
      <w:r>
        <w:t>Element column consistency.</w:t>
      </w:r>
    </w:p>
    <w:p>
      <w:pPr>
        <w:pStyle w:val="Heading2"/>
      </w:pPr>
      <w:r>
        <w:t>12.3 Unit conversion шалгах</w:t>
      </w:r>
    </w:p>
    <w:p>
      <w:r>
        <w:t>Лабораторийн үр дүн ppm, ppb, %, g/t, mg/kg зэрэг unit-ээр ирж болно. Soil geochemistry-д ихэнх элемент ppm буюу mg/kg болгоно. Au ихэвчлэн ppb эсвэл g/t-ээр ирдэг тул тайлбартаа unit-ийг заавал тодорхой бичнэ.</w:t>
      </w:r>
    </w:p>
    <w:tbl>
      <w:tblPr>
        <w:tblStyle w:val="TableGrid"/>
        <w:tblW w:type="auto" w:w="0"/>
        <w:jc w:val="center"/>
        <w:tblLook w:firstColumn="1" w:firstRow="1" w:lastColumn="0" w:lastRow="0" w:noHBand="0" w:noVBand="1" w:val="04A0"/>
      </w:tblPr>
      <w:tblGrid>
        <w:gridCol w:w="4933"/>
        <w:gridCol w:w="4933"/>
      </w:tblGrid>
      <w:tr>
        <w:tc>
          <w:tcPr>
            <w:tcW w:type="dxa" w:w="2835"/>
            <w:vAlign w:val="center"/>
            <w:shd w:fill="D9EAF7"/>
          </w:tcPr>
          <w:p>
            <w:r/>
            <w:r>
              <w:rPr>
                <w:rFonts w:ascii="DejaVu Sans" w:hAnsi="DejaVu Sans" w:eastAsia="DejaVu Sans"/>
                <w:b/>
                <w:sz w:val="18"/>
              </w:rPr>
              <w:t>Conversion</w:t>
            </w:r>
          </w:p>
        </w:tc>
        <w:tc>
          <w:tcPr>
            <w:tcW w:type="dxa" w:w="7370"/>
            <w:vAlign w:val="center"/>
            <w:shd w:fill="D9EAF7"/>
          </w:tcPr>
          <w:p>
            <w:r/>
            <w:r>
              <w:rPr>
                <w:rFonts w:ascii="DejaVu Sans" w:hAnsi="DejaVu Sans" w:eastAsia="DejaVu Sans"/>
                <w:b/>
                <w:sz w:val="18"/>
              </w:rPr>
              <w:t>Тайлбар</w:t>
            </w:r>
          </w:p>
        </w:tc>
      </w:tr>
      <w:tr>
        <w:tc>
          <w:tcPr>
            <w:tcW w:type="dxa" w:w="2835"/>
            <w:vAlign w:val="center"/>
          </w:tcPr>
          <w:p>
            <w:r/>
            <w:r>
              <w:rPr>
                <w:rFonts w:ascii="DejaVu Sans" w:hAnsi="DejaVu Sans" w:eastAsia="DejaVu Sans"/>
                <w:b w:val="0"/>
                <w:sz w:val="18"/>
              </w:rPr>
              <w:t>1 ppm = 1 mg/kg</w:t>
            </w:r>
          </w:p>
        </w:tc>
        <w:tc>
          <w:tcPr>
            <w:tcW w:type="dxa" w:w="7370"/>
            <w:vAlign w:val="center"/>
          </w:tcPr>
          <w:p>
            <w:r/>
            <w:r>
              <w:rPr>
                <w:rFonts w:ascii="DejaVu Sans" w:hAnsi="DejaVu Sans" w:eastAsia="DejaVu Sans"/>
                <w:b w:val="0"/>
                <w:sz w:val="18"/>
              </w:rPr>
              <w:t>Soil geochemistry-д түгээмэл ашиглана.</w:t>
            </w:r>
          </w:p>
        </w:tc>
      </w:tr>
      <w:tr>
        <w:tc>
          <w:tcPr>
            <w:tcW w:type="dxa" w:w="2835"/>
            <w:vAlign w:val="center"/>
          </w:tcPr>
          <w:p>
            <w:r/>
            <w:r>
              <w:rPr>
                <w:rFonts w:ascii="DejaVu Sans" w:hAnsi="DejaVu Sans" w:eastAsia="DejaVu Sans"/>
                <w:b w:val="0"/>
                <w:sz w:val="18"/>
              </w:rPr>
              <w:t>1000 ppb = 1 ppm</w:t>
            </w:r>
          </w:p>
        </w:tc>
        <w:tc>
          <w:tcPr>
            <w:tcW w:type="dxa" w:w="7370"/>
            <w:vAlign w:val="center"/>
          </w:tcPr>
          <w:p>
            <w:r/>
            <w:r>
              <w:rPr>
                <w:rFonts w:ascii="DejaVu Sans" w:hAnsi="DejaVu Sans" w:eastAsia="DejaVu Sans"/>
                <w:b w:val="0"/>
                <w:sz w:val="18"/>
              </w:rPr>
              <w:t>Au ppb-ийг ppm-д шилжүүлэхэд ашиглана.</w:t>
            </w:r>
          </w:p>
        </w:tc>
      </w:tr>
      <w:tr>
        <w:tc>
          <w:tcPr>
            <w:tcW w:type="dxa" w:w="2835"/>
            <w:vAlign w:val="center"/>
          </w:tcPr>
          <w:p>
            <w:r/>
            <w:r>
              <w:rPr>
                <w:rFonts w:ascii="DejaVu Sans" w:hAnsi="DejaVu Sans" w:eastAsia="DejaVu Sans"/>
                <w:b w:val="0"/>
                <w:sz w:val="18"/>
              </w:rPr>
              <w:t>1% = 10,000 ppm</w:t>
            </w:r>
          </w:p>
        </w:tc>
        <w:tc>
          <w:tcPr>
            <w:tcW w:type="dxa" w:w="7370"/>
            <w:vAlign w:val="center"/>
          </w:tcPr>
          <w:p>
            <w:r/>
            <w:r>
              <w:rPr>
                <w:rFonts w:ascii="DejaVu Sans" w:hAnsi="DejaVu Sans" w:eastAsia="DejaVu Sans"/>
                <w:b w:val="0"/>
                <w:sz w:val="18"/>
              </w:rPr>
              <w:t>Өндөр base metal утгыг ppm болгоход ашиглана.</w:t>
            </w:r>
          </w:p>
        </w:tc>
      </w:tr>
      <w:tr>
        <w:tc>
          <w:tcPr>
            <w:tcW w:type="dxa" w:w="2835"/>
            <w:vAlign w:val="center"/>
          </w:tcPr>
          <w:p>
            <w:r/>
            <w:r>
              <w:rPr>
                <w:rFonts w:ascii="DejaVu Sans" w:hAnsi="DejaVu Sans" w:eastAsia="DejaVu Sans"/>
                <w:b w:val="0"/>
                <w:sz w:val="18"/>
              </w:rPr>
              <w:t>1 g/t = 1 ppm</w:t>
            </w:r>
          </w:p>
        </w:tc>
        <w:tc>
          <w:tcPr>
            <w:tcW w:type="dxa" w:w="7370"/>
            <w:vAlign w:val="center"/>
          </w:tcPr>
          <w:p>
            <w:r/>
            <w:r>
              <w:rPr>
                <w:rFonts w:ascii="DejaVu Sans" w:hAnsi="DejaVu Sans" w:eastAsia="DejaVu Sans"/>
                <w:b w:val="0"/>
                <w:sz w:val="18"/>
              </w:rPr>
              <w:t>Au болон Ag-ийн зарим тайлангийн unit.</w:t>
            </w:r>
          </w:p>
        </w:tc>
      </w:tr>
      <w:tr>
        <w:tc>
          <w:tcPr>
            <w:tcW w:type="dxa" w:w="2835"/>
            <w:vAlign w:val="center"/>
          </w:tcPr>
          <w:p>
            <w:r/>
            <w:r>
              <w:rPr>
                <w:rFonts w:ascii="DejaVu Sans" w:hAnsi="DejaVu Sans" w:eastAsia="DejaVu Sans"/>
                <w:b w:val="0"/>
                <w:sz w:val="18"/>
              </w:rPr>
              <w:t>Au 25 ppb = 0.025 ppm</w:t>
            </w:r>
          </w:p>
        </w:tc>
        <w:tc>
          <w:tcPr>
            <w:tcW w:type="dxa" w:w="7370"/>
            <w:vAlign w:val="center"/>
          </w:tcPr>
          <w:p>
            <w:r/>
            <w:r>
              <w:rPr>
                <w:rFonts w:ascii="DejaVu Sans" w:hAnsi="DejaVu Sans" w:eastAsia="DejaVu Sans"/>
                <w:b w:val="0"/>
                <w:sz w:val="18"/>
              </w:rPr>
              <w:t>Жишээ conversion.</w:t>
            </w:r>
          </w:p>
        </w:tc>
      </w:tr>
      <w:tr>
        <w:tc>
          <w:tcPr>
            <w:tcW w:type="dxa" w:w="2835"/>
            <w:vAlign w:val="center"/>
          </w:tcPr>
          <w:p>
            <w:r/>
            <w:r>
              <w:rPr>
                <w:rFonts w:ascii="DejaVu Sans" w:hAnsi="DejaVu Sans" w:eastAsia="DejaVu Sans"/>
                <w:b w:val="0"/>
                <w:sz w:val="18"/>
              </w:rPr>
              <w:t>Cu 0.12% = 1200 ppm</w:t>
            </w:r>
          </w:p>
        </w:tc>
        <w:tc>
          <w:tcPr>
            <w:tcW w:type="dxa" w:w="7370"/>
            <w:vAlign w:val="center"/>
          </w:tcPr>
          <w:p>
            <w:r/>
            <w:r>
              <w:rPr>
                <w:rFonts w:ascii="DejaVu Sans" w:hAnsi="DejaVu Sans" w:eastAsia="DejaVu Sans"/>
                <w:b w:val="0"/>
                <w:sz w:val="18"/>
              </w:rPr>
              <w:t>Жишээ conversion.</w:t>
            </w:r>
          </w:p>
        </w:tc>
      </w:tr>
    </w:tbl>
    <w:p/>
    <w:p>
      <w:pPr>
        <w:pStyle w:val="Heading2"/>
      </w:pPr>
      <w:r>
        <w:t>12.4 Detection limit шалгах</w:t>
      </w:r>
    </w:p>
    <w:p>
      <w:r>
        <w:t>Доорх хэлбэртэй утгуудыг зөв боловсруулах шаардлагатай:</w:t>
      </w:r>
    </w:p>
    <w:p>
      <w:pPr>
        <w:pStyle w:val="CodeBlock"/>
      </w:pPr>
      <w:r>
        <w:t>&lt;0.01</w:t>
      </w:r>
    </w:p>
    <w:p>
      <w:pPr>
        <w:pStyle w:val="CodeBlock"/>
      </w:pPr>
      <w:r>
        <w:t>&lt;1</w:t>
      </w:r>
    </w:p>
    <w:p>
      <w:pPr>
        <w:pStyle w:val="CodeBlock"/>
      </w:pPr>
      <w:r>
        <w:t>-999</w:t>
      </w:r>
    </w:p>
    <w:p>
      <w:pPr>
        <w:pStyle w:val="CodeBlock"/>
      </w:pPr>
      <w:r>
        <w:t>Below detection</w:t>
      </w:r>
    </w:p>
    <w:p>
      <w:pPr>
        <w:pStyle w:val="CodeBlock"/>
      </w:pPr>
      <w:r>
        <w:t>N/A</w:t>
      </w:r>
    </w:p>
    <w:p>
      <w:pPr>
        <w:pStyle w:val="ListBullet"/>
      </w:pPr>
      <w:r>
        <w:t>&lt;DL утгыг статистик анализад DL/2 болгож ашиглаж болно;</w:t>
      </w:r>
    </w:p>
    <w:p>
      <w:pPr>
        <w:pStyle w:val="ListBullet"/>
      </w:pPr>
      <w:r>
        <w:t>Map label дээр анхны хэлбэрийг хадгалж болно;</w:t>
      </w:r>
    </w:p>
    <w:p>
      <w:pPr>
        <w:pStyle w:val="ListBullet"/>
      </w:pPr>
      <w:r>
        <w:t>Detection limit-ээс доош утгыг өндөр аномали гэж тайлбарлаж болохгүй;</w:t>
      </w:r>
    </w:p>
    <w:p>
      <w:pPr>
        <w:pStyle w:val="ListBullet"/>
      </w:pPr>
      <w:r>
        <w:t>Detection limit column тусдаа хадгална.</w:t>
      </w:r>
    </w:p>
    <w:p>
      <w:pPr>
        <w:pStyle w:val="Heading1"/>
      </w:pPr>
      <w:r>
        <w:t>13. QA/QC validation хийх арга</w:t>
      </w:r>
    </w:p>
    <w:p>
      <w:pPr>
        <w:pStyle w:val="Heading2"/>
      </w:pPr>
      <w:r>
        <w:t>13.1 CRM performance шалгах</w:t>
      </w:r>
    </w:p>
    <w:p>
      <w:pPr>
        <w:pStyle w:val="ListBullet"/>
      </w:pPr>
      <w:r>
        <w:t>±2 standard deviation дотор байвал acceptable;</w:t>
      </w:r>
    </w:p>
    <w:p>
      <w:pPr>
        <w:pStyle w:val="ListBullet"/>
      </w:pPr>
      <w:r>
        <w:t>±2SD–±3SD хооронд warning;</w:t>
      </w:r>
    </w:p>
    <w:p>
      <w:pPr>
        <w:pStyle w:val="ListBullet"/>
      </w:pPr>
      <w:r>
        <w:t>±3SD-ээс гадуур бол failure.</w:t>
      </w:r>
    </w:p>
    <w:p>
      <w:r>
        <w:t>CRM failure гарвал тухайн batch-ийг flag хийж, лабораторитой холбогдон repeat assay хүснэ. Critical samples-ийг дахин шинжлүүлж, QA/QC report-д action taken болон тайлбарыг бичнэ.</w:t>
      </w:r>
    </w:p>
    <w:p>
      <w:pPr>
        <w:pStyle w:val="Heading2"/>
      </w:pPr>
      <w:r>
        <w:t>13.2 Blank performance шалгах</w:t>
      </w:r>
    </w:p>
    <w:p>
      <w:r>
        <w:t>Blank value detection limit-тэй ойролцоо байх ёстой. Blank value anomaly threshold-д хүрч болохгүй. Өндөр утга гарвал contamination буюу бохирдол гэж үзнэ.</w:t>
      </w:r>
    </w:p>
    <w:p>
      <w:pPr>
        <w:ind w:left="255" w:hanging="255"/>
      </w:pPr>
      <w:r>
        <w:t>1.  Blank-ийн өмнөх болон дараах дээжүүдийг шалгана.</w:t>
      </w:r>
    </w:p>
    <w:p>
      <w:pPr>
        <w:ind w:left="255" w:hanging="255"/>
      </w:pPr>
      <w:r>
        <w:t>2.  Өндөр агуулгатай дээжийн дараа carry-over гарсан эсэхийг шалгана.</w:t>
      </w:r>
    </w:p>
    <w:p>
      <w:pPr>
        <w:ind w:left="255" w:hanging="255"/>
      </w:pPr>
      <w:r>
        <w:t>3.  Тухайн batch-д contamination flag өгнө.</w:t>
      </w:r>
    </w:p>
    <w:p>
      <w:pPr>
        <w:ind w:left="255" w:hanging="255"/>
      </w:pPr>
      <w:r>
        <w:t>4.  Шаардлагатай бол re-assay хийнэ.</w:t>
      </w:r>
    </w:p>
    <w:p>
      <w:pPr>
        <w:pStyle w:val="Heading2"/>
      </w:pPr>
      <w:r>
        <w:t>13.3 Duplicate performance шалгах</w:t>
      </w:r>
    </w:p>
    <w:p>
      <w:r>
        <w:t>Duplicate result-ийг original result-тэй харьцуулж RPD буюу relative percent difference тооцно.</w:t>
      </w:r>
    </w:p>
    <w:p>
      <w:pPr>
        <w:pStyle w:val="CodeBlock"/>
      </w:pPr>
      <w:r>
        <w:t>RPD = |Original - Duplicate| / ((Original + Duplicate) / 2) × 100</w:t>
      </w:r>
    </w:p>
    <w:p>
      <w:pPr>
        <w:pStyle w:val="ListBullet"/>
      </w:pPr>
      <w:r>
        <w:t>Low concentration үед RPD өндөр байж болно;</w:t>
      </w:r>
    </w:p>
    <w:p>
      <w:pPr>
        <w:pStyle w:val="ListBullet"/>
      </w:pPr>
      <w:r>
        <w:t>Anomalous concentration үед RPD 20–30%-иас бага байвал сайн;</w:t>
      </w:r>
    </w:p>
    <w:p>
      <w:pPr>
        <w:pStyle w:val="ListBullet"/>
      </w:pPr>
      <w:r>
        <w:t>30–50% бол warning;</w:t>
      </w:r>
    </w:p>
    <w:p>
      <w:pPr>
        <w:pStyle w:val="ListBullet"/>
      </w:pPr>
      <w:r>
        <w:t>50%-иас дээш бол sampling variability эсвэл lab issue шалгана.</w:t>
      </w:r>
    </w:p>
    <w:p>
      <w:pPr>
        <w:pStyle w:val="Heading2"/>
      </w:pPr>
      <w:r>
        <w:t>13.4 Outlier check</w:t>
      </w:r>
    </w:p>
    <w:p>
      <w:r>
        <w:t>Outlier буюу хэт өндөр эсвэл хэт бага утгыг шууд устгахгүй. Эхлээд sample ID, unit, decimal, coordinate, QA/QC type, overlimit, nearby sample болон geological explanation-ийг шалгана. Isolated single-point anomaly байвал re-check, re-sample, infill grid эсвэл field mapping төлөвлөнө.</w:t>
      </w:r>
    </w:p>
    <w:p>
      <w:pPr>
        <w:pStyle w:val="Heading1"/>
      </w:pPr>
      <w:r>
        <w:t>14. Геохимийн дата боловсруулах</w:t>
      </w:r>
    </w:p>
    <w:p>
      <w:pPr>
        <w:pStyle w:val="Heading2"/>
      </w:pPr>
      <w:r>
        <w:t>14.1 Data cleaning</w:t>
      </w:r>
    </w:p>
    <w:p>
      <w:pPr>
        <w:pStyle w:val="ListBullet"/>
      </w:pPr>
      <w:r>
        <w:t>Давхардсан sample ID устгахгүй, flag хийх;</w:t>
      </w:r>
    </w:p>
    <w:p>
      <w:pPr>
        <w:pStyle w:val="ListBullet"/>
      </w:pPr>
      <w:r>
        <w:t>Missing coordinate нөхөх;</w:t>
      </w:r>
    </w:p>
    <w:p>
      <w:pPr>
        <w:pStyle w:val="ListBullet"/>
      </w:pPr>
      <w:r>
        <w:t>Invalid coordinate шалгах;</w:t>
      </w:r>
    </w:p>
    <w:p>
      <w:pPr>
        <w:pStyle w:val="ListBullet"/>
      </w:pPr>
      <w:r>
        <w:t>QA/QC sample-ийг ordinary sample-аас тусгаарлах;</w:t>
      </w:r>
    </w:p>
    <w:p>
      <w:pPr>
        <w:pStyle w:val="ListBullet"/>
      </w:pPr>
      <w:r>
        <w:t>Unit standardize хийх;</w:t>
      </w:r>
    </w:p>
    <w:p>
      <w:pPr>
        <w:pStyle w:val="ListBullet"/>
      </w:pPr>
      <w:r>
        <w:t>Detection limit утгыг боловсруулах;</w:t>
      </w:r>
    </w:p>
    <w:p>
      <w:pPr>
        <w:pStyle w:val="ListBullet"/>
      </w:pPr>
      <w:r>
        <w:t>Null value шалгах;</w:t>
      </w:r>
    </w:p>
    <w:p>
      <w:pPr>
        <w:pStyle w:val="ListBullet"/>
      </w:pPr>
      <w:r>
        <w:t>Element column нэршлийг стандарт болгох.</w:t>
      </w:r>
    </w:p>
    <w:p>
      <w:pPr>
        <w:pStyle w:val="Heading2"/>
      </w:pPr>
      <w:r>
        <w:t>14.2 QGIS-д assay result холбох</w:t>
      </w:r>
    </w:p>
    <w:p>
      <w:pPr>
        <w:ind w:left="255" w:hanging="255"/>
      </w:pPr>
      <w:r>
        <w:t>1.  Soil sample point layer нээнэ.</w:t>
      </w:r>
    </w:p>
    <w:p>
      <w:pPr>
        <w:ind w:left="255" w:hanging="255"/>
      </w:pPr>
      <w:r>
        <w:t>2.  Assay result Excel/CSV оруулна.</w:t>
      </w:r>
    </w:p>
    <w:p>
      <w:pPr>
        <w:ind w:left="255" w:hanging="255"/>
      </w:pPr>
      <w:r>
        <w:t>3.  Join хийх field: sample_id.</w:t>
      </w:r>
    </w:p>
    <w:p>
      <w:pPr>
        <w:ind w:left="255" w:hanging="255"/>
      </w:pPr>
      <w:r>
        <w:t>4.  Layer Properties → Joins нээнэ.</w:t>
      </w:r>
    </w:p>
    <w:p>
      <w:pPr>
        <w:ind w:left="255" w:hanging="255"/>
      </w:pPr>
      <w:r>
        <w:t>5.  Assay table сонгоно.</w:t>
      </w:r>
    </w:p>
    <w:p>
      <w:pPr>
        <w:ind w:left="255" w:hanging="255"/>
      </w:pPr>
      <w:r>
        <w:t>6.  Join field: Sample_ID сонгоно.</w:t>
      </w:r>
    </w:p>
    <w:p>
      <w:pPr>
        <w:ind w:left="255" w:hanging="255"/>
      </w:pPr>
      <w:r>
        <w:t>7.  Target field: sample_id сонгоно.</w:t>
      </w:r>
    </w:p>
    <w:p>
      <w:pPr>
        <w:ind w:left="255" w:hanging="255"/>
      </w:pPr>
      <w:r>
        <w:t>8.  Joined result шалгана.</w:t>
      </w:r>
    </w:p>
    <w:p>
      <w:pPr>
        <w:ind w:left="255" w:hanging="255"/>
      </w:pPr>
      <w:r>
        <w:t>9.  Join unmatched sample list гаргана.</w:t>
      </w:r>
    </w:p>
    <w:p>
      <w:r>
        <w:t>Unmatched sample гарвал typo, space, hyphen ялгаа, duplicate ID, missing lab result эсвэл wrong sample batch байж болно.</w:t>
      </w:r>
    </w:p>
    <w:p>
      <w:pPr>
        <w:pStyle w:val="Heading2"/>
      </w:pPr>
      <w:r>
        <w:t>14.3 Element anomaly threshold тогтоох</w:t>
      </w:r>
    </w:p>
    <w:p>
      <w:r>
        <w:t>Аномалийн threshold-ийг зөвхөн нэг тогтмол утгаар тогтоохгүй. Mean, median, standard deviation, percentile, background, 90th percentile, 95th percentile, 98th percentile, geological domain, soil type, lithology, drainage influence зэрэг үзүүлэлтийг хамтад нь ашиглана.</w:t>
      </w:r>
    </w:p>
    <w:tbl>
      <w:tblPr>
        <w:tblStyle w:val="TableGrid"/>
        <w:tblW w:type="auto" w:w="0"/>
        <w:jc w:val="center"/>
        <w:tblLook w:firstColumn="1" w:firstRow="1" w:lastColumn="0" w:lastRow="0" w:noHBand="0" w:noVBand="1" w:val="04A0"/>
      </w:tblPr>
      <w:tblGrid>
        <w:gridCol w:w="4933"/>
        <w:gridCol w:w="4933"/>
      </w:tblGrid>
      <w:tr>
        <w:tc>
          <w:tcPr>
            <w:tcW w:type="dxa" w:w="3402"/>
            <w:vAlign w:val="center"/>
            <w:shd w:fill="D9EAF7"/>
          </w:tcPr>
          <w:p>
            <w:r/>
            <w:r>
              <w:rPr>
                <w:rFonts w:ascii="DejaVu Sans" w:hAnsi="DejaVu Sans" w:eastAsia="DejaVu Sans"/>
                <w:b/>
                <w:sz w:val="18"/>
              </w:rPr>
              <w:t>Ангилал</w:t>
            </w:r>
          </w:p>
        </w:tc>
        <w:tc>
          <w:tcPr>
            <w:tcW w:type="dxa" w:w="6803"/>
            <w:vAlign w:val="center"/>
            <w:shd w:fill="D9EAF7"/>
          </w:tcPr>
          <w:p>
            <w:r/>
            <w:r>
              <w:rPr>
                <w:rFonts w:ascii="DejaVu Sans" w:hAnsi="DejaVu Sans" w:eastAsia="DejaVu Sans"/>
                <w:b/>
                <w:sz w:val="18"/>
              </w:rPr>
              <w:t>Ерөнхий percentile</w:t>
            </w:r>
          </w:p>
        </w:tc>
      </w:tr>
      <w:tr>
        <w:tc>
          <w:tcPr>
            <w:tcW w:type="dxa" w:w="3402"/>
            <w:vAlign w:val="center"/>
          </w:tcPr>
          <w:p>
            <w:r/>
            <w:r>
              <w:rPr>
                <w:rFonts w:ascii="DejaVu Sans" w:hAnsi="DejaVu Sans" w:eastAsia="DejaVu Sans"/>
                <w:b w:val="0"/>
                <w:sz w:val="18"/>
              </w:rPr>
              <w:t>Background</w:t>
            </w:r>
          </w:p>
        </w:tc>
        <w:tc>
          <w:tcPr>
            <w:tcW w:type="dxa" w:w="6803"/>
            <w:vAlign w:val="center"/>
          </w:tcPr>
          <w:p>
            <w:r/>
            <w:r>
              <w:rPr>
                <w:rFonts w:ascii="DejaVu Sans" w:hAnsi="DejaVu Sans" w:eastAsia="DejaVu Sans"/>
                <w:b w:val="0"/>
                <w:sz w:val="18"/>
              </w:rPr>
              <w:t>&lt;75th percentile</w:t>
            </w:r>
          </w:p>
        </w:tc>
      </w:tr>
      <w:tr>
        <w:tc>
          <w:tcPr>
            <w:tcW w:type="dxa" w:w="3402"/>
            <w:vAlign w:val="center"/>
          </w:tcPr>
          <w:p>
            <w:r/>
            <w:r>
              <w:rPr>
                <w:rFonts w:ascii="DejaVu Sans" w:hAnsi="DejaVu Sans" w:eastAsia="DejaVu Sans"/>
                <w:b w:val="0"/>
                <w:sz w:val="18"/>
              </w:rPr>
              <w:t>Weak anomaly</w:t>
            </w:r>
          </w:p>
        </w:tc>
        <w:tc>
          <w:tcPr>
            <w:tcW w:type="dxa" w:w="6803"/>
            <w:vAlign w:val="center"/>
          </w:tcPr>
          <w:p>
            <w:r/>
            <w:r>
              <w:rPr>
                <w:rFonts w:ascii="DejaVu Sans" w:hAnsi="DejaVu Sans" w:eastAsia="DejaVu Sans"/>
                <w:b w:val="0"/>
                <w:sz w:val="18"/>
              </w:rPr>
              <w:t>75–90th percentile</w:t>
            </w:r>
          </w:p>
        </w:tc>
      </w:tr>
      <w:tr>
        <w:tc>
          <w:tcPr>
            <w:tcW w:type="dxa" w:w="3402"/>
            <w:vAlign w:val="center"/>
          </w:tcPr>
          <w:p>
            <w:r/>
            <w:r>
              <w:rPr>
                <w:rFonts w:ascii="DejaVu Sans" w:hAnsi="DejaVu Sans" w:eastAsia="DejaVu Sans"/>
                <w:b w:val="0"/>
                <w:sz w:val="18"/>
              </w:rPr>
              <w:t>Moderate anomaly</w:t>
            </w:r>
          </w:p>
        </w:tc>
        <w:tc>
          <w:tcPr>
            <w:tcW w:type="dxa" w:w="6803"/>
            <w:vAlign w:val="center"/>
          </w:tcPr>
          <w:p>
            <w:r/>
            <w:r>
              <w:rPr>
                <w:rFonts w:ascii="DejaVu Sans" w:hAnsi="DejaVu Sans" w:eastAsia="DejaVu Sans"/>
                <w:b w:val="0"/>
                <w:sz w:val="18"/>
              </w:rPr>
              <w:t>90–95th percentile</w:t>
            </w:r>
          </w:p>
        </w:tc>
      </w:tr>
      <w:tr>
        <w:tc>
          <w:tcPr>
            <w:tcW w:type="dxa" w:w="3402"/>
            <w:vAlign w:val="center"/>
          </w:tcPr>
          <w:p>
            <w:r/>
            <w:r>
              <w:rPr>
                <w:rFonts w:ascii="DejaVu Sans" w:hAnsi="DejaVu Sans" w:eastAsia="DejaVu Sans"/>
                <w:b w:val="0"/>
                <w:sz w:val="18"/>
              </w:rPr>
              <w:t>Strong anomaly</w:t>
            </w:r>
          </w:p>
        </w:tc>
        <w:tc>
          <w:tcPr>
            <w:tcW w:type="dxa" w:w="6803"/>
            <w:vAlign w:val="center"/>
          </w:tcPr>
          <w:p>
            <w:r/>
            <w:r>
              <w:rPr>
                <w:rFonts w:ascii="DejaVu Sans" w:hAnsi="DejaVu Sans" w:eastAsia="DejaVu Sans"/>
                <w:b w:val="0"/>
                <w:sz w:val="18"/>
              </w:rPr>
              <w:t>95–98th percentile</w:t>
            </w:r>
          </w:p>
        </w:tc>
      </w:tr>
      <w:tr>
        <w:tc>
          <w:tcPr>
            <w:tcW w:type="dxa" w:w="3402"/>
            <w:vAlign w:val="center"/>
          </w:tcPr>
          <w:p>
            <w:r/>
            <w:r>
              <w:rPr>
                <w:rFonts w:ascii="DejaVu Sans" w:hAnsi="DejaVu Sans" w:eastAsia="DejaVu Sans"/>
                <w:b w:val="0"/>
                <w:sz w:val="18"/>
              </w:rPr>
              <w:t>Very strong anomaly</w:t>
            </w:r>
          </w:p>
        </w:tc>
        <w:tc>
          <w:tcPr>
            <w:tcW w:type="dxa" w:w="6803"/>
            <w:vAlign w:val="center"/>
          </w:tcPr>
          <w:p>
            <w:r/>
            <w:r>
              <w:rPr>
                <w:rFonts w:ascii="DejaVu Sans" w:hAnsi="DejaVu Sans" w:eastAsia="DejaVu Sans"/>
                <w:b w:val="0"/>
                <w:sz w:val="18"/>
              </w:rPr>
              <w:t>&gt;98th percentile</w:t>
            </w:r>
          </w:p>
        </w:tc>
      </w:tr>
    </w:tbl>
    <w:p/>
    <w:p>
      <w:pPr>
        <w:pStyle w:val="Heading1"/>
      </w:pPr>
      <w:r>
        <w:t>15. Soil anomaly map гаргах</w:t>
      </w:r>
    </w:p>
    <w:p>
      <w:pPr>
        <w:pStyle w:val="Heading2"/>
      </w:pPr>
      <w:r>
        <w:t>15.1 Element map</w:t>
      </w:r>
    </w:p>
    <w:p>
      <w:r>
        <w:t>Элемент тус бүрээр Cu, Au, Ag, Pb, Zn, Mo, As, Sb, Bi, W anomaly map гаргана. Зураг бүр дээр license boundary, sample points, element value, anomaly class, geological unit, fault/structure, drainage, target boundary, north arrow, scale bar, legend, CRS, data source, date, prepared by заавал орно.</w:t>
      </w:r>
    </w:p>
    <w:p>
      <w:pPr>
        <w:pStyle w:val="Heading2"/>
      </w:pPr>
      <w:r>
        <w:t>15.2 Multi-element anomaly map</w:t>
      </w:r>
    </w:p>
    <w:tbl>
      <w:tblPr>
        <w:tblStyle w:val="TableGrid"/>
        <w:tblW w:type="auto" w:w="0"/>
        <w:jc w:val="center"/>
        <w:tblLook w:firstColumn="1" w:firstRow="1" w:lastColumn="0" w:lastRow="0" w:noHBand="0" w:noVBand="1" w:val="04A0"/>
      </w:tblPr>
      <w:tblGrid>
        <w:gridCol w:w="4933"/>
        <w:gridCol w:w="4933"/>
      </w:tblGrid>
      <w:tr>
        <w:tc>
          <w:tcPr>
            <w:tcW w:type="dxa" w:w="3969"/>
            <w:vAlign w:val="center"/>
            <w:shd w:fill="D9EAF7"/>
          </w:tcPr>
          <w:p>
            <w:r/>
            <w:r>
              <w:rPr>
                <w:rFonts w:ascii="DejaVu Sans" w:hAnsi="DejaVu Sans" w:eastAsia="DejaVu Sans"/>
                <w:b/>
                <w:sz w:val="18"/>
              </w:rPr>
              <w:t>Deposit / target model</w:t>
            </w:r>
          </w:p>
        </w:tc>
        <w:tc>
          <w:tcPr>
            <w:tcW w:type="dxa" w:w="6236"/>
            <w:vAlign w:val="center"/>
            <w:shd w:fill="D9EAF7"/>
          </w:tcPr>
          <w:p>
            <w:r/>
            <w:r>
              <w:rPr>
                <w:rFonts w:ascii="DejaVu Sans" w:hAnsi="DejaVu Sans" w:eastAsia="DejaVu Sans"/>
                <w:b/>
                <w:sz w:val="18"/>
              </w:rPr>
              <w:t>Multi-element association</w:t>
            </w:r>
          </w:p>
        </w:tc>
      </w:tr>
      <w:tr>
        <w:tc>
          <w:tcPr>
            <w:tcW w:type="dxa" w:w="3969"/>
            <w:vAlign w:val="center"/>
          </w:tcPr>
          <w:p>
            <w:r/>
            <w:r>
              <w:rPr>
                <w:rFonts w:ascii="DejaVu Sans" w:hAnsi="DejaVu Sans" w:eastAsia="DejaVu Sans"/>
                <w:b w:val="0"/>
                <w:sz w:val="18"/>
              </w:rPr>
              <w:t>Porphyry Cu-Au</w:t>
            </w:r>
          </w:p>
        </w:tc>
        <w:tc>
          <w:tcPr>
            <w:tcW w:type="dxa" w:w="6236"/>
            <w:vAlign w:val="center"/>
          </w:tcPr>
          <w:p>
            <w:r/>
            <w:r>
              <w:rPr>
                <w:rFonts w:ascii="DejaVu Sans" w:hAnsi="DejaVu Sans" w:eastAsia="DejaVu Sans"/>
                <w:b w:val="0"/>
                <w:sz w:val="18"/>
              </w:rPr>
              <w:t>Cu + Au + Mo + Ag ± Bi ± Te</w:t>
            </w:r>
          </w:p>
        </w:tc>
      </w:tr>
      <w:tr>
        <w:tc>
          <w:tcPr>
            <w:tcW w:type="dxa" w:w="3969"/>
            <w:vAlign w:val="center"/>
          </w:tcPr>
          <w:p>
            <w:r/>
            <w:r>
              <w:rPr>
                <w:rFonts w:ascii="DejaVu Sans" w:hAnsi="DejaVu Sans" w:eastAsia="DejaVu Sans"/>
                <w:b w:val="0"/>
                <w:sz w:val="18"/>
              </w:rPr>
              <w:t>High-sulfidation epithermal Au-Ag</w:t>
            </w:r>
          </w:p>
        </w:tc>
        <w:tc>
          <w:tcPr>
            <w:tcW w:type="dxa" w:w="6236"/>
            <w:vAlign w:val="center"/>
          </w:tcPr>
          <w:p>
            <w:r/>
            <w:r>
              <w:rPr>
                <w:rFonts w:ascii="DejaVu Sans" w:hAnsi="DejaVu Sans" w:eastAsia="DejaVu Sans"/>
                <w:b w:val="0"/>
                <w:sz w:val="18"/>
              </w:rPr>
              <w:t>Au + Ag + As + Sb + Hg ± Cu</w:t>
            </w:r>
          </w:p>
        </w:tc>
      </w:tr>
      <w:tr>
        <w:tc>
          <w:tcPr>
            <w:tcW w:type="dxa" w:w="3969"/>
            <w:vAlign w:val="center"/>
          </w:tcPr>
          <w:p>
            <w:r/>
            <w:r>
              <w:rPr>
                <w:rFonts w:ascii="DejaVu Sans" w:hAnsi="DejaVu Sans" w:eastAsia="DejaVu Sans"/>
                <w:b w:val="0"/>
                <w:sz w:val="18"/>
              </w:rPr>
              <w:t>Low-sulfidation epithermal Au-Ag</w:t>
            </w:r>
          </w:p>
        </w:tc>
        <w:tc>
          <w:tcPr>
            <w:tcW w:type="dxa" w:w="6236"/>
            <w:vAlign w:val="center"/>
          </w:tcPr>
          <w:p>
            <w:r/>
            <w:r>
              <w:rPr>
                <w:rFonts w:ascii="DejaVu Sans" w:hAnsi="DejaVu Sans" w:eastAsia="DejaVu Sans"/>
                <w:b w:val="0"/>
                <w:sz w:val="18"/>
              </w:rPr>
              <w:t>Au + Ag + Pb + Zn + As ± Sb</w:t>
            </w:r>
          </w:p>
        </w:tc>
      </w:tr>
      <w:tr>
        <w:tc>
          <w:tcPr>
            <w:tcW w:type="dxa" w:w="3969"/>
            <w:vAlign w:val="center"/>
          </w:tcPr>
          <w:p>
            <w:r/>
            <w:r>
              <w:rPr>
                <w:rFonts w:ascii="DejaVu Sans" w:hAnsi="DejaVu Sans" w:eastAsia="DejaVu Sans"/>
                <w:b w:val="0"/>
                <w:sz w:val="18"/>
              </w:rPr>
              <w:t>Polymetallic vein</w:t>
            </w:r>
          </w:p>
        </w:tc>
        <w:tc>
          <w:tcPr>
            <w:tcW w:type="dxa" w:w="6236"/>
            <w:vAlign w:val="center"/>
          </w:tcPr>
          <w:p>
            <w:r/>
            <w:r>
              <w:rPr>
                <w:rFonts w:ascii="DejaVu Sans" w:hAnsi="DejaVu Sans" w:eastAsia="DejaVu Sans"/>
                <w:b w:val="0"/>
                <w:sz w:val="18"/>
              </w:rPr>
              <w:t>Pb + Zn + Ag + Cu + Au + As</w:t>
            </w:r>
          </w:p>
        </w:tc>
      </w:tr>
      <w:tr>
        <w:tc>
          <w:tcPr>
            <w:tcW w:type="dxa" w:w="3969"/>
            <w:vAlign w:val="center"/>
          </w:tcPr>
          <w:p>
            <w:r/>
            <w:r>
              <w:rPr>
                <w:rFonts w:ascii="DejaVu Sans" w:hAnsi="DejaVu Sans" w:eastAsia="DejaVu Sans"/>
                <w:b w:val="0"/>
                <w:sz w:val="18"/>
              </w:rPr>
              <w:t>Skarn</w:t>
            </w:r>
          </w:p>
        </w:tc>
        <w:tc>
          <w:tcPr>
            <w:tcW w:type="dxa" w:w="6236"/>
            <w:vAlign w:val="center"/>
          </w:tcPr>
          <w:p>
            <w:r/>
            <w:r>
              <w:rPr>
                <w:rFonts w:ascii="DejaVu Sans" w:hAnsi="DejaVu Sans" w:eastAsia="DejaVu Sans"/>
                <w:b w:val="0"/>
                <w:sz w:val="18"/>
              </w:rPr>
              <w:t>Cu + Au + Fe + W + Mo + Bi ± Zn</w:t>
            </w:r>
          </w:p>
        </w:tc>
      </w:tr>
    </w:tbl>
    <w:p/>
    <w:p>
      <w:pPr>
        <w:pStyle w:val="Heading2"/>
      </w:pPr>
      <w:r>
        <w:t>15.3 Аномалийн үргэлжлэл шалгах</w:t>
      </w:r>
    </w:p>
    <w:p>
      <w:pPr>
        <w:pStyle w:val="ListBullet"/>
      </w:pPr>
      <w:r>
        <w:t>Нэг цэгийн isolated anomaly биш байх;</w:t>
      </w:r>
    </w:p>
    <w:p>
      <w:pPr>
        <w:pStyle w:val="ListBullet"/>
      </w:pPr>
      <w:r>
        <w:t>Хэд хэдэн adjacent sample дээр үргэлжилсэн байх;</w:t>
      </w:r>
    </w:p>
    <w:p>
      <w:pPr>
        <w:pStyle w:val="ListBullet"/>
      </w:pPr>
      <w:r>
        <w:t>Geological structure-тэй давхцсан байх;</w:t>
      </w:r>
    </w:p>
    <w:p>
      <w:pPr>
        <w:pStyle w:val="ListBullet"/>
      </w:pPr>
      <w:r>
        <w:t>Alteration zone-той холбоотой байх;</w:t>
      </w:r>
    </w:p>
    <w:p>
      <w:pPr>
        <w:pStyle w:val="ListBullet"/>
      </w:pPr>
      <w:r>
        <w:t>Rock chip / pXRF anomaly-той давхцсан байх;</w:t>
      </w:r>
    </w:p>
    <w:p>
      <w:pPr>
        <w:pStyle w:val="ListBullet"/>
      </w:pPr>
      <w:r>
        <w:t>Drainage anomaly-той нийцсэн байх;</w:t>
      </w:r>
    </w:p>
    <w:p>
      <w:pPr>
        <w:pStyle w:val="ListBullet"/>
      </w:pPr>
      <w:r>
        <w:t>Trend нь geological strike-тэй уялдсан байх;</w:t>
      </w:r>
    </w:p>
    <w:p>
      <w:pPr>
        <w:pStyle w:val="ListBullet"/>
      </w:pPr>
      <w:r>
        <w:t>Open-ended буюу цаашаа үргэлжлэх боломжтой байх.</w:t>
      </w:r>
    </w:p>
    <w:p>
      <w:pPr>
        <w:pStyle w:val="Heading1"/>
      </w:pPr>
      <w:r>
        <w:t>16. QA/QC check table бөглөх заавар</w:t>
      </w:r>
    </w:p>
    <w:tbl>
      <w:tblPr>
        <w:tblStyle w:val="TableGrid"/>
        <w:tblW w:type="auto" w:w="0"/>
        <w:jc w:val="center"/>
        <w:tblLook w:firstColumn="1" w:firstRow="1" w:lastColumn="0" w:lastRow="0" w:noHBand="0" w:noVBand="1" w:val="04A0"/>
      </w:tblPr>
      <w:tblGrid>
        <w:gridCol w:w="3289"/>
        <w:gridCol w:w="3289"/>
        <w:gridCol w:w="3289"/>
      </w:tblGrid>
      <w:tr>
        <w:tc>
          <w:tcPr>
            <w:tcW w:type="dxa" w:w="2835"/>
            <w:vAlign w:val="center"/>
            <w:shd w:fill="D9EAF7"/>
          </w:tcPr>
          <w:p>
            <w:r/>
            <w:r>
              <w:rPr>
                <w:rFonts w:ascii="DejaVu Sans" w:hAnsi="DejaVu Sans" w:eastAsia="DejaVu Sans"/>
                <w:b/>
                <w:sz w:val="18"/>
              </w:rPr>
              <w:t>QA/QC item</w:t>
            </w:r>
          </w:p>
        </w:tc>
        <w:tc>
          <w:tcPr>
            <w:tcW w:type="dxa" w:w="3402"/>
            <w:vAlign w:val="center"/>
            <w:shd w:fill="D9EAF7"/>
          </w:tcPr>
          <w:p>
            <w:r/>
            <w:r>
              <w:rPr>
                <w:rFonts w:ascii="DejaVu Sans" w:hAnsi="DejaVu Sans" w:eastAsia="DejaVu Sans"/>
                <w:b/>
                <w:sz w:val="18"/>
              </w:rPr>
              <w:t>Шалгах зүйл</w:t>
            </w:r>
          </w:p>
        </w:tc>
        <w:tc>
          <w:tcPr>
            <w:tcW w:type="dxa" w:w="3969"/>
            <w:vAlign w:val="center"/>
            <w:shd w:fill="D9EAF7"/>
          </w:tcPr>
          <w:p>
            <w:r/>
            <w:r>
              <w:rPr>
                <w:rFonts w:ascii="DejaVu Sans" w:hAnsi="DejaVu Sans" w:eastAsia="DejaVu Sans"/>
                <w:b/>
                <w:sz w:val="18"/>
              </w:rPr>
              <w:t>Хүлээн авах нөхцөл</w:t>
            </w:r>
          </w:p>
        </w:tc>
      </w:tr>
      <w:tr>
        <w:tc>
          <w:tcPr>
            <w:tcW w:type="dxa" w:w="2835"/>
            <w:vAlign w:val="center"/>
          </w:tcPr>
          <w:p>
            <w:r/>
            <w:r>
              <w:rPr>
                <w:rFonts w:ascii="DejaVu Sans" w:hAnsi="DejaVu Sans" w:eastAsia="DejaVu Sans"/>
                <w:b w:val="0"/>
                <w:sz w:val="18"/>
              </w:rPr>
              <w:t>Grid spacing justified by orientation results</w:t>
            </w:r>
          </w:p>
        </w:tc>
        <w:tc>
          <w:tcPr>
            <w:tcW w:type="dxa" w:w="3402"/>
            <w:vAlign w:val="center"/>
          </w:tcPr>
          <w:p>
            <w:r/>
            <w:r>
              <w:rPr>
                <w:rFonts w:ascii="DejaVu Sans" w:hAnsi="DejaVu Sans" w:eastAsia="DejaVu Sans"/>
                <w:b w:val="0"/>
                <w:sz w:val="18"/>
              </w:rPr>
              <w:t>Торлолын зай Phase 8 orientation result-д үндэслэсэн эсэх</w:t>
            </w:r>
          </w:p>
        </w:tc>
        <w:tc>
          <w:tcPr>
            <w:tcW w:type="dxa" w:w="3969"/>
            <w:vAlign w:val="center"/>
          </w:tcPr>
          <w:p>
            <w:r/>
            <w:r>
              <w:rPr>
                <w:rFonts w:ascii="DejaVu Sans" w:hAnsi="DejaVu Sans" w:eastAsia="DejaVu Sans"/>
                <w:b w:val="0"/>
                <w:sz w:val="18"/>
              </w:rPr>
              <w:t>QA/QC log-д reviewer/date/decision бичигдсэн байх.</w:t>
            </w:r>
          </w:p>
        </w:tc>
      </w:tr>
      <w:tr>
        <w:tc>
          <w:tcPr>
            <w:tcW w:type="dxa" w:w="2835"/>
            <w:vAlign w:val="center"/>
          </w:tcPr>
          <w:p>
            <w:r/>
            <w:r>
              <w:rPr>
                <w:rFonts w:ascii="DejaVu Sans" w:hAnsi="DejaVu Sans" w:eastAsia="DejaVu Sans"/>
                <w:b w:val="0"/>
                <w:sz w:val="18"/>
              </w:rPr>
              <w:t>QA/QC performance acceptable</w:t>
            </w:r>
          </w:p>
        </w:tc>
        <w:tc>
          <w:tcPr>
            <w:tcW w:type="dxa" w:w="3402"/>
            <w:vAlign w:val="center"/>
          </w:tcPr>
          <w:p>
            <w:r/>
            <w:r>
              <w:rPr>
                <w:rFonts w:ascii="DejaVu Sans" w:hAnsi="DejaVu Sans" w:eastAsia="DejaVu Sans"/>
                <w:b w:val="0"/>
                <w:sz w:val="18"/>
              </w:rPr>
              <w:t>CRM, blank, duplicate, lab repeat acceptable эсэх</w:t>
            </w:r>
          </w:p>
        </w:tc>
        <w:tc>
          <w:tcPr>
            <w:tcW w:type="dxa" w:w="3969"/>
            <w:vAlign w:val="center"/>
          </w:tcPr>
          <w:p>
            <w:r/>
            <w:r>
              <w:rPr>
                <w:rFonts w:ascii="DejaVu Sans" w:hAnsi="DejaVu Sans" w:eastAsia="DejaVu Sans"/>
                <w:b w:val="0"/>
                <w:sz w:val="18"/>
              </w:rPr>
              <w:t>Failure гарсан бол action taken бичсэн байх.</w:t>
            </w:r>
          </w:p>
        </w:tc>
      </w:tr>
      <w:tr>
        <w:tc>
          <w:tcPr>
            <w:tcW w:type="dxa" w:w="2835"/>
            <w:vAlign w:val="center"/>
          </w:tcPr>
          <w:p>
            <w:r/>
            <w:r>
              <w:rPr>
                <w:rFonts w:ascii="DejaVu Sans" w:hAnsi="DejaVu Sans" w:eastAsia="DejaVu Sans"/>
                <w:b w:val="0"/>
                <w:sz w:val="18"/>
              </w:rPr>
              <w:t>Assay unit/detection limit validated</w:t>
            </w:r>
          </w:p>
        </w:tc>
        <w:tc>
          <w:tcPr>
            <w:tcW w:type="dxa" w:w="3402"/>
            <w:vAlign w:val="center"/>
          </w:tcPr>
          <w:p>
            <w:r/>
            <w:r>
              <w:rPr>
                <w:rFonts w:ascii="DejaVu Sans" w:hAnsi="DejaVu Sans" w:eastAsia="DejaVu Sans"/>
                <w:b w:val="0"/>
                <w:sz w:val="18"/>
              </w:rPr>
              <w:t>Unit conversion, detection limit зөв эсэх</w:t>
            </w:r>
          </w:p>
        </w:tc>
        <w:tc>
          <w:tcPr>
            <w:tcW w:type="dxa" w:w="3969"/>
            <w:vAlign w:val="center"/>
          </w:tcPr>
          <w:p>
            <w:r/>
            <w:r>
              <w:rPr>
                <w:rFonts w:ascii="DejaVu Sans" w:hAnsi="DejaVu Sans" w:eastAsia="DejaVu Sans"/>
                <w:b w:val="0"/>
                <w:sz w:val="18"/>
              </w:rPr>
              <w:t>Working file дээр validation sheet байх.</w:t>
            </w:r>
          </w:p>
        </w:tc>
      </w:tr>
      <w:tr>
        <w:tc>
          <w:tcPr>
            <w:tcW w:type="dxa" w:w="2835"/>
            <w:vAlign w:val="center"/>
          </w:tcPr>
          <w:p>
            <w:r/>
            <w:r>
              <w:rPr>
                <w:rFonts w:ascii="DejaVu Sans" w:hAnsi="DejaVu Sans" w:eastAsia="DejaVu Sans"/>
                <w:b w:val="0"/>
                <w:sz w:val="18"/>
              </w:rPr>
              <w:t>Anomaly continuity checked</w:t>
            </w:r>
          </w:p>
        </w:tc>
        <w:tc>
          <w:tcPr>
            <w:tcW w:type="dxa" w:w="3402"/>
            <w:vAlign w:val="center"/>
          </w:tcPr>
          <w:p>
            <w:r/>
            <w:r>
              <w:rPr>
                <w:rFonts w:ascii="DejaVu Sans" w:hAnsi="DejaVu Sans" w:eastAsia="DejaVu Sans"/>
                <w:b w:val="0"/>
                <w:sz w:val="18"/>
              </w:rPr>
              <w:t>Аномали үргэлжилсэн эсэх</w:t>
            </w:r>
          </w:p>
        </w:tc>
        <w:tc>
          <w:tcPr>
            <w:tcW w:type="dxa" w:w="3969"/>
            <w:vAlign w:val="center"/>
          </w:tcPr>
          <w:p>
            <w:r/>
            <w:r>
              <w:rPr>
                <w:rFonts w:ascii="DejaVu Sans" w:hAnsi="DejaVu Sans" w:eastAsia="DejaVu Sans"/>
                <w:b w:val="0"/>
                <w:sz w:val="18"/>
              </w:rPr>
              <w:t>Map болон interpretation note-оор баталгаажсан байх.</w:t>
            </w:r>
          </w:p>
        </w:tc>
      </w:tr>
    </w:tbl>
    <w:p/>
    <w:p>
      <w:pPr>
        <w:pStyle w:val="Heading1"/>
      </w:pPr>
      <w:r>
        <w:t>17. Expected outputs</w:t>
      </w:r>
    </w:p>
    <w:p>
      <w:r>
        <w:t>Phase 9 дуусахад дараах output файлууд заавал гарсан байна.</w:t>
      </w:r>
    </w:p>
    <w:p>
      <w:pPr>
        <w:pStyle w:val="CodeBlock"/>
      </w:pPr>
      <w:r>
        <w:t>XV-023222_Buduunkhad_Systematic_Soil_Grid_Plan.pdf</w:t>
      </w:r>
    </w:p>
    <w:p>
      <w:pPr>
        <w:pStyle w:val="CodeBlock"/>
      </w:pPr>
      <w:r>
        <w:t>XV-023222_Buduunkhad_Soil_Sample_Points.gpkg</w:t>
      </w:r>
    </w:p>
    <w:p>
      <w:pPr>
        <w:pStyle w:val="CodeBlock"/>
      </w:pPr>
      <w:r>
        <w:t>XV-023222_Buduunkhad_Soil_Sample_Register.xlsx</w:t>
      </w:r>
    </w:p>
    <w:p>
      <w:pPr>
        <w:pStyle w:val="CodeBlock"/>
      </w:pPr>
      <w:r>
        <w:t>XV-023222_Buduunkhad_Soil_QAQC_Report.docx</w:t>
      </w:r>
    </w:p>
    <w:p>
      <w:pPr>
        <w:pStyle w:val="CodeBlock"/>
      </w:pPr>
      <w:r>
        <w:t>XV-023222_Buduunkhad_Soil_Assay_Results.xlsx</w:t>
      </w:r>
    </w:p>
    <w:p>
      <w:pPr>
        <w:pStyle w:val="CodeBlock"/>
      </w:pPr>
      <w:r>
        <w:t>XV-023222_Buduunkhad_Soil_Anomaly_Map.pdf</w:t>
      </w:r>
    </w:p>
    <w:p>
      <w:r>
        <w:t>Нэмэлтээр гаргаж болох файлууд:</w:t>
      </w:r>
    </w:p>
    <w:p>
      <w:pPr>
        <w:pStyle w:val="CodeBlock"/>
      </w:pPr>
      <w:r>
        <w:t>XV-023222_Buduunkhad_Cu_Anomaly_Map.pdf</w:t>
      </w:r>
    </w:p>
    <w:p>
      <w:pPr>
        <w:pStyle w:val="CodeBlock"/>
      </w:pPr>
      <w:r>
        <w:t>XV-023222_Buduunkhad_Au_Anomaly_Map.pdf</w:t>
      </w:r>
    </w:p>
    <w:p>
      <w:pPr>
        <w:pStyle w:val="CodeBlock"/>
      </w:pPr>
      <w:r>
        <w:t>XV-023222_Buduunkhad_Pb_Zn_Ag_Anomaly_Map.pdf</w:t>
      </w:r>
    </w:p>
    <w:p>
      <w:pPr>
        <w:pStyle w:val="CodeBlock"/>
      </w:pPr>
      <w:r>
        <w:t>XV-023222_Buduunkhad_Multi_Element_Target_Map.pdf</w:t>
      </w:r>
    </w:p>
    <w:p>
      <w:pPr>
        <w:pStyle w:val="CodeBlock"/>
      </w:pPr>
      <w:r>
        <w:t>XV-023222_Buduunkhad_QAQC_Log.xlsx</w:t>
      </w:r>
    </w:p>
    <w:p>
      <w:pPr>
        <w:pStyle w:val="CodeBlock"/>
      </w:pPr>
      <w:r>
        <w:t>XV-023222_Buduunkhad_Lab_Submission_Form.xlsx</w:t>
      </w:r>
    </w:p>
    <w:p>
      <w:pPr>
        <w:pStyle w:val="CodeBlock"/>
      </w:pPr>
      <w:r>
        <w:t>XV-023222_Buduunkhad_Chain_of_Custody.pdf</w:t>
      </w:r>
    </w:p>
    <w:p>
      <w:pPr>
        <w:pStyle w:val="Heading1"/>
      </w:pPr>
      <w:r>
        <w:t>18. Decision gate / next phase condition</w:t>
      </w:r>
    </w:p>
    <w:p>
      <w:pPr>
        <w:pStyle w:val="Heading2"/>
      </w:pPr>
      <w:r>
        <w:t>18.1 Дараагийн шат руу шилжих нөхцөл</w:t>
      </w:r>
    </w:p>
    <w:p>
      <w:pPr>
        <w:pStyle w:val="ListBullet"/>
      </w:pPr>
      <w:r>
        <w:t>Баталгаажсан геохимийн аномали гарсан;</w:t>
      </w:r>
    </w:p>
    <w:p>
      <w:pPr>
        <w:pStyle w:val="ListBullet"/>
      </w:pPr>
      <w:r>
        <w:t>Аномали олон дээжээр үргэлжилсэн;</w:t>
      </w:r>
    </w:p>
    <w:p>
      <w:pPr>
        <w:pStyle w:val="ListBullet"/>
      </w:pPr>
      <w:r>
        <w:t>QA/QC acceptable;</w:t>
      </w:r>
    </w:p>
    <w:p>
      <w:pPr>
        <w:pStyle w:val="ListBullet"/>
      </w:pPr>
      <w:r>
        <w:t>Аномали geological structure-тэй давхцсан;</w:t>
      </w:r>
    </w:p>
    <w:p>
      <w:pPr>
        <w:pStyle w:val="ListBullet"/>
      </w:pPr>
      <w:r>
        <w:t>Rock chip / pXRF / field observation-той нийцсэн;</w:t>
      </w:r>
    </w:p>
    <w:p>
      <w:pPr>
        <w:pStyle w:val="ListBullet"/>
      </w:pPr>
      <w:r>
        <w:t>Аномали open direction-тэй;</w:t>
      </w:r>
    </w:p>
    <w:p>
      <w:pPr>
        <w:pStyle w:val="ListBullet"/>
      </w:pPr>
      <w:r>
        <w:t>Target ranking-д high priority болсон.</w:t>
      </w:r>
    </w:p>
    <w:p>
      <w:pPr>
        <w:pStyle w:val="Heading2"/>
      </w:pPr>
      <w:r>
        <w:t>18.2 Дахин шалгах нөхцөл</w:t>
      </w:r>
    </w:p>
    <w:p>
      <w:pPr>
        <w:pStyle w:val="ListBullet"/>
      </w:pPr>
      <w:r>
        <w:t>Аномали нэг цэгийн isolated anomaly;</w:t>
      </w:r>
    </w:p>
    <w:p>
      <w:pPr>
        <w:pStyle w:val="ListBullet"/>
      </w:pPr>
      <w:r>
        <w:t>QA/QC failure шийдэгдээгүй;</w:t>
      </w:r>
    </w:p>
    <w:p>
      <w:pPr>
        <w:pStyle w:val="ListBullet"/>
      </w:pPr>
      <w:r>
        <w:t>Coordinate error байгаа;</w:t>
      </w:r>
    </w:p>
    <w:p>
      <w:pPr>
        <w:pStyle w:val="ListBullet"/>
      </w:pPr>
      <w:r>
        <w:t>Unit conversion тодорхойгүй;</w:t>
      </w:r>
    </w:p>
    <w:p>
      <w:pPr>
        <w:pStyle w:val="ListBullet"/>
      </w:pPr>
      <w:r>
        <w:t>Blank contamination өндөр;</w:t>
      </w:r>
    </w:p>
    <w:p>
      <w:pPr>
        <w:pStyle w:val="ListBullet"/>
      </w:pPr>
      <w:r>
        <w:t>Duplicate variation хэт их;</w:t>
      </w:r>
    </w:p>
    <w:p>
      <w:pPr>
        <w:pStyle w:val="ListBullet"/>
      </w:pPr>
      <w:r>
        <w:t>Geological explanation сул;</w:t>
      </w:r>
    </w:p>
    <w:p>
      <w:pPr>
        <w:pStyle w:val="ListBullet"/>
      </w:pPr>
      <w:r>
        <w:t>Field observation хангалтгүй.</w:t>
      </w:r>
    </w:p>
    <w:p>
      <w:r>
        <w:t>Энэ тохиолдолд re-sampling, infill soil grid, additional pXRF screening, field mapping, QA/QC re-assay хийх шаардлагатай.</w:t>
      </w:r>
    </w:p>
    <w:p>
      <w:pPr>
        <w:pStyle w:val="Heading1"/>
      </w:pPr>
      <w:r>
        <w:t>19. Ажлын дарааллын товч workflow</w:t>
      </w:r>
    </w:p>
    <w:p>
      <w:pPr>
        <w:ind w:left="255" w:hanging="255"/>
      </w:pPr>
      <w:r>
        <w:t>1.  Өмнөх фазын мэдээлэл цуглуулах</w:t>
      </w:r>
    </w:p>
    <w:p>
      <w:pPr>
        <w:ind w:left="255" w:hanging="255"/>
      </w:pPr>
      <w:r>
        <w:t>2.  Target area сонгох</w:t>
      </w:r>
    </w:p>
    <w:p>
      <w:pPr>
        <w:ind w:left="255" w:hanging="255"/>
      </w:pPr>
      <w:r>
        <w:t>3.  Geological strike ба structure шалгах</w:t>
      </w:r>
    </w:p>
    <w:p>
      <w:pPr>
        <w:ind w:left="255" w:hanging="255"/>
      </w:pPr>
      <w:r>
        <w:t>4.  Grid spacing сонгох</w:t>
      </w:r>
    </w:p>
    <w:p>
      <w:pPr>
        <w:ind w:left="255" w:hanging="255"/>
      </w:pPr>
      <w:r>
        <w:t>5.  QGIS дээр grid line үүсгэх</w:t>
      </w:r>
    </w:p>
    <w:p>
      <w:pPr>
        <w:ind w:left="255" w:hanging="255"/>
      </w:pPr>
      <w:r>
        <w:t>6.  Points along line ашиглан sample point үүсгэх</w:t>
      </w:r>
    </w:p>
    <w:p>
      <w:pPr>
        <w:ind w:left="255" w:hanging="255"/>
      </w:pPr>
      <w:r>
        <w:t>7.  Sample ID, attribute table бэлтгэх</w:t>
      </w:r>
    </w:p>
    <w:p>
      <w:pPr>
        <w:ind w:left="255" w:hanging="255"/>
      </w:pPr>
      <w:r>
        <w:t>8.  QField project үүсгэх</w:t>
      </w:r>
    </w:p>
    <w:p>
      <w:pPr>
        <w:ind w:left="255" w:hanging="255"/>
      </w:pPr>
      <w:r>
        <w:t>9.  Талбайн хөрсний дээжлэлт хийх</w:t>
      </w:r>
    </w:p>
    <w:p>
      <w:pPr>
        <w:ind w:left="255" w:hanging="255"/>
      </w:pPr>
      <w:r>
        <w:t>10.  pXRF screening хийх</w:t>
      </w:r>
    </w:p>
    <w:p>
      <w:pPr>
        <w:ind w:left="255" w:hanging="255"/>
      </w:pPr>
      <w:r>
        <w:t>11.  Sample register шалгах</w:t>
      </w:r>
    </w:p>
    <w:p>
      <w:pPr>
        <w:ind w:left="255" w:hanging="255"/>
      </w:pPr>
      <w:r>
        <w:t>12.  QA/QC sample оруулах</w:t>
      </w:r>
    </w:p>
    <w:p>
      <w:pPr>
        <w:ind w:left="255" w:hanging="255"/>
      </w:pPr>
      <w:r>
        <w:t>13.  Lab submission form бэлтгэх</w:t>
      </w:r>
    </w:p>
    <w:p>
      <w:pPr>
        <w:ind w:left="255" w:hanging="255"/>
      </w:pPr>
      <w:r>
        <w:t>14.  Лабораторид илгээх</w:t>
      </w:r>
    </w:p>
    <w:p>
      <w:pPr>
        <w:ind w:left="255" w:hanging="255"/>
      </w:pPr>
      <w:r>
        <w:t>15.  Assay result хүлээн авах</w:t>
      </w:r>
    </w:p>
    <w:p>
      <w:pPr>
        <w:ind w:left="255" w:hanging="255"/>
      </w:pPr>
      <w:r>
        <w:t>16.  Unit, detection limit, sample ID шалгах</w:t>
      </w:r>
    </w:p>
    <w:p>
      <w:pPr>
        <w:ind w:left="255" w:hanging="255"/>
      </w:pPr>
      <w:r>
        <w:t>17.  CRM, blank, duplicate QA/QC шалгах</w:t>
      </w:r>
    </w:p>
    <w:p>
      <w:pPr>
        <w:ind w:left="255" w:hanging="255"/>
      </w:pPr>
      <w:r>
        <w:t>18.  Assay result-ийг QGIS-д холбох</w:t>
      </w:r>
    </w:p>
    <w:p>
      <w:pPr>
        <w:ind w:left="255" w:hanging="255"/>
      </w:pPr>
      <w:r>
        <w:t>19.  Element anomaly map гаргах</w:t>
      </w:r>
    </w:p>
    <w:p>
      <w:pPr>
        <w:ind w:left="255" w:hanging="255"/>
      </w:pPr>
      <w:r>
        <w:t>20.  Multi-element interpretation хийх</w:t>
      </w:r>
    </w:p>
    <w:p>
      <w:pPr>
        <w:ind w:left="255" w:hanging="255"/>
      </w:pPr>
      <w:r>
        <w:t>21.  Soil QA/QC report бичих</w:t>
      </w:r>
    </w:p>
    <w:p>
      <w:pPr>
        <w:ind w:left="255" w:hanging="255"/>
      </w:pPr>
      <w:r>
        <w:t>22.  Final target ranking update хийх</w:t>
      </w:r>
    </w:p>
    <w:p>
      <w:pPr>
        <w:ind w:left="255" w:hanging="255"/>
      </w:pPr>
      <w:r>
        <w:t>23.  Next phase decision гаргах</w:t>
      </w:r>
    </w:p>
    <w:p>
      <w:pPr>
        <w:pStyle w:val="Heading1"/>
      </w:pPr>
      <w:r>
        <w:t>20. Чанарын үндсэн шаардлага</w:t>
      </w:r>
    </w:p>
    <w:p>
      <w:pPr>
        <w:pStyle w:val="ListBullet"/>
      </w:pPr>
      <w:r>
        <w:t>Grid spacing нь Phase 8 orientation result-д үндэслэсэн байх;</w:t>
      </w:r>
    </w:p>
    <w:p>
      <w:pPr>
        <w:pStyle w:val="ListBullet"/>
      </w:pPr>
      <w:r>
        <w:t>Grid orientation нь geological strike, structure, drainage-тэй уялдсан байх;</w:t>
      </w:r>
    </w:p>
    <w:p>
      <w:pPr>
        <w:pStyle w:val="ListBullet"/>
      </w:pPr>
      <w:r>
        <w:t>Sample ID давхцаагүй байх;</w:t>
      </w:r>
    </w:p>
    <w:p>
      <w:pPr>
        <w:pStyle w:val="ListBullet"/>
      </w:pPr>
      <w:r>
        <w:t>Field register бүрэн бөглөгдсөн байх;</w:t>
      </w:r>
    </w:p>
    <w:p>
      <w:pPr>
        <w:pStyle w:val="ListBullet"/>
      </w:pPr>
      <w:r>
        <w:t>QA/QC дээжүүд blind байдлаар batch-д орсон байх;</w:t>
      </w:r>
    </w:p>
    <w:p>
      <w:pPr>
        <w:pStyle w:val="ListBullet"/>
      </w:pPr>
      <w:r>
        <w:t>CRM, blank, duplicate result шалгагдсан байх;</w:t>
      </w:r>
    </w:p>
    <w:p>
      <w:pPr>
        <w:pStyle w:val="ListBullet"/>
      </w:pPr>
      <w:r>
        <w:t>Detection limit болон unit conversion баталгаажсан байх;</w:t>
      </w:r>
    </w:p>
    <w:p>
      <w:pPr>
        <w:pStyle w:val="ListBullet"/>
      </w:pPr>
      <w:r>
        <w:t>Аномали нэг цэгээр бус үргэлжилсэн байдлаар тайлбарлагдсан байх;</w:t>
      </w:r>
    </w:p>
    <w:p>
      <w:pPr>
        <w:pStyle w:val="ListBullet"/>
      </w:pPr>
      <w:r>
        <w:t>Geological interpretation map-тай уялдсан байх;</w:t>
      </w:r>
    </w:p>
    <w:p>
      <w:pPr>
        <w:pStyle w:val="ListBullet"/>
      </w:pPr>
      <w:r>
        <w:t>Final soil anomaly map болон QA/QC report гарсан байх.</w:t>
      </w:r>
    </w:p>
    <w:p>
      <w:pPr>
        <w:pStyle w:val="Heading1"/>
      </w:pPr>
      <w:r>
        <w:t>21. Эцсийн үр дүн</w:t>
      </w:r>
    </w:p>
    <w:p>
      <w:r>
        <w:t>Энэ Phase 9-ийн ажлын төгсгөлд хөрсний геохимийн баталгаажсан аномалийн зураг, QA/QC тайлан, лабораторийн баталгаажсан үр дүн, sample point database, final target ranking update бэлэн болсон байна. Энэ нь дараагийн шатны trench, geophysical survey, drilling target сонгох үндсэн техникийн баримт болно.</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sz w:val="16"/>
      </w:rPr>
      <w:t>Phase 9 — Systematic Soil Grid and Laboratory QA/QC | Detailed Work Instruction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DejaVu Sans" w:hAnsi="DejaVu Sans" w:eastAsia="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27"/>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