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6"/>
        </w:rPr>
        <w:t>Phase 10 — Integrated Interpretation and Final Target Ranking</w:t>
      </w:r>
    </w:p>
    <w:p>
      <w:pPr>
        <w:jc w:val="center"/>
      </w:pPr>
      <w:r>
        <w:rPr>
          <w:rFonts w:ascii="Arial" w:hAnsi="Arial" w:eastAsia="Arial"/>
          <w:b/>
          <w:color w:val="1F4E79"/>
          <w:sz w:val="28"/>
        </w:rPr>
        <w:t>Ажлыг хийх дэлгэрэнгүй заавар</w:t>
      </w:r>
    </w:p>
    <w:p>
      <w:pPr>
        <w:spacing w:after="60"/>
      </w:pPr>
      <w:r>
        <w:rPr>
          <w:b w:val="0"/>
        </w:rPr>
        <w:t>Энэ үе шатны зорилго нь өмнөх бүх хайгуулын дата, лабораторийн үр дүн, remote sensing, field mapping, CMCS мэдээлэл, ойролцоох орд/илрэл, геологийн зураг, структур, хувирал, геохими зэрэг бүх нотолгоог нэгтгэж, эцсийн хайгуулын target-уудыг эрэмбэлэх, Go / No-Go шийдвэр гаргах, дараагийн шатны ажил буюу trench, geophysics, scout drilling төлөвлөхөд бэлэн болгох юм.</w:t>
      </w:r>
    </w:p>
    <w:p>
      <w:pPr>
        <w:pStyle w:val="Heading1"/>
      </w:pPr>
      <w:r>
        <w:t>1. Ажлын үндсэн зорилго</w:t>
      </w:r>
    </w:p>
    <w:p>
      <w:pPr>
        <w:spacing w:after="60"/>
      </w:pPr>
      <w:r>
        <w:rPr>
          <w:b w:val="0"/>
        </w:rPr>
        <w:t>Phase 10-д дараах ажлуудыг гүйцэтгэнэ.</w:t>
      </w:r>
    </w:p>
    <w:p>
      <w:pPr>
        <w:pStyle w:val="ListNumber"/>
        <w:spacing w:after="20"/>
      </w:pPr>
      <w:r>
        <w:t>Бүх хайгуулын нотолгоог нэг GIS орчинд нэгтгэнэ.</w:t>
      </w:r>
    </w:p>
    <w:p>
      <w:pPr>
        <w:pStyle w:val="ListNumber"/>
        <w:spacing w:after="20"/>
      </w:pPr>
      <w:r>
        <w:t>Дата бүрийн чанарын шалгалт буюу QA/QC хийнэ.</w:t>
      </w:r>
    </w:p>
    <w:p>
      <w:pPr>
        <w:pStyle w:val="ListNumber"/>
        <w:spacing w:after="20"/>
      </w:pPr>
      <w:r>
        <w:t>Геологи, структур, хувирал, геохими, remote sensing, field evidence, CMCS мэдээллийг давхарлан тайлбарлана.</w:t>
      </w:r>
    </w:p>
    <w:p>
      <w:pPr>
        <w:pStyle w:val="ListNumber"/>
        <w:spacing w:after="20"/>
      </w:pPr>
      <w:r>
        <w:t>Боломжит mineral target polygon-уудыг тодорхойлно.</w:t>
      </w:r>
    </w:p>
    <w:p>
      <w:pPr>
        <w:pStyle w:val="ListNumber"/>
        <w:spacing w:after="20"/>
      </w:pPr>
      <w:r>
        <w:t>Target бүрт оноо өгч A / B / C зэрэглэлд ангилна.</w:t>
      </w:r>
    </w:p>
    <w:p>
      <w:pPr>
        <w:pStyle w:val="ListNumber"/>
        <w:spacing w:after="20"/>
      </w:pPr>
      <w:r>
        <w:t>Target бүр дээр тайлбар sheet бэлтгэнэ.</w:t>
      </w:r>
    </w:p>
    <w:p>
      <w:pPr>
        <w:pStyle w:val="ListNumber"/>
        <w:spacing w:after="20"/>
      </w:pPr>
      <w:r>
        <w:t>Go / No-Go шийдвэр гаргана.</w:t>
      </w:r>
    </w:p>
    <w:p>
      <w:pPr>
        <w:pStyle w:val="ListNumber"/>
        <w:spacing w:after="20"/>
      </w:pPr>
      <w:r>
        <w:t>Final GIS map, ranking table, integrated interpretation report гаргана.</w:t>
      </w:r>
    </w:p>
    <w:p>
      <w:pPr>
        <w:pStyle w:val="Heading1"/>
      </w:pPr>
      <w:r>
        <w:t>2. Ашиглах үндсэн input data</w:t>
      </w:r>
    </w:p>
    <w:p>
      <w:pPr>
        <w:spacing w:after="60"/>
      </w:pPr>
      <w:r>
        <w:rPr>
          <w:b w:val="0"/>
        </w:rPr>
        <w:t>Энэ шатанд өмнөх бүх phase-ийн баталгаажсан дата ашиглагдана. Ялангуяа дараах дата заавал орно.</w:t>
      </w:r>
    </w:p>
    <w:p>
      <w:pPr>
        <w:pStyle w:val="Heading2"/>
      </w:pPr>
      <w:r>
        <w:t>2.1 Геологийн дата</w:t>
      </w:r>
    </w:p>
    <w:p>
      <w:pPr>
        <w:spacing w:after="60"/>
      </w:pPr>
      <w:r>
        <w:rPr>
          <w:b/>
        </w:rPr>
        <w:t>Ашиглах материал:</w:t>
      </w:r>
    </w:p>
    <w:p>
      <w:pPr>
        <w:pStyle w:val="ListBullet"/>
        <w:spacing w:after="20"/>
      </w:pPr>
      <w:r>
        <w:t>Геологийн зураг</w:t>
      </w:r>
    </w:p>
    <w:p>
      <w:pPr>
        <w:pStyle w:val="ListBullet"/>
        <w:spacing w:after="20"/>
      </w:pPr>
      <w:r>
        <w:t>Литологийн зураг</w:t>
      </w:r>
    </w:p>
    <w:p>
      <w:pPr>
        <w:pStyle w:val="ListBullet"/>
        <w:spacing w:after="20"/>
      </w:pPr>
      <w:r>
        <w:t>Интрузив, вулканик, тунамал нэгжүүд</w:t>
      </w:r>
    </w:p>
    <w:p>
      <w:pPr>
        <w:pStyle w:val="ListBullet"/>
        <w:spacing w:after="20"/>
      </w:pPr>
      <w:r>
        <w:t>Хувиралтай бүсүүд</w:t>
      </w:r>
    </w:p>
    <w:p>
      <w:pPr>
        <w:pStyle w:val="ListBullet"/>
        <w:spacing w:after="20"/>
      </w:pPr>
      <w:r>
        <w:t>Хагарал, ан цав, lineament</w:t>
      </w:r>
    </w:p>
    <w:p>
      <w:pPr>
        <w:pStyle w:val="ListBullet"/>
        <w:spacing w:after="20"/>
      </w:pPr>
      <w:r>
        <w:t>Структурын хэмжилт</w:t>
      </w:r>
    </w:p>
    <w:p>
      <w:pPr>
        <w:pStyle w:val="ListBullet"/>
        <w:spacing w:after="20"/>
      </w:pPr>
      <w:r>
        <w:t>Field mapping observation</w:t>
      </w:r>
    </w:p>
    <w:p>
      <w:pPr>
        <w:pStyle w:val="ListBullet"/>
        <w:spacing w:after="20"/>
      </w:pPr>
      <w:r>
        <w:t>Rock unit boundary</w:t>
      </w:r>
    </w:p>
    <w:p>
      <w:pPr>
        <w:pStyle w:val="ListBullet"/>
        <w:spacing w:after="20"/>
      </w:pPr>
      <w:r>
        <w:t>Mineralized zone boundary</w:t>
      </w:r>
    </w:p>
    <w:p>
      <w:pPr>
        <w:spacing w:after="60"/>
      </w:pPr>
      <w:r>
        <w:rPr>
          <w:b/>
        </w:rPr>
        <w:t>Хийх ажил:</w:t>
      </w:r>
    </w:p>
    <w:p>
      <w:pPr>
        <w:pStyle w:val="ListBullet"/>
        <w:spacing w:after="20"/>
      </w:pPr>
      <w:r>
        <w:t>Геологийн нэгжүүдийг target area-тай давхарлуулж шалгана.</w:t>
      </w:r>
    </w:p>
    <w:p>
      <w:pPr>
        <w:pStyle w:val="ListBullet"/>
        <w:spacing w:after="20"/>
      </w:pPr>
      <w:r>
        <w:t>Хүдэржилттэй холбоотой байж болох lithology-г ялгана.</w:t>
      </w:r>
    </w:p>
    <w:p>
      <w:pPr>
        <w:pStyle w:val="ListBullet"/>
        <w:spacing w:after="20"/>
      </w:pPr>
      <w:r>
        <w:t>Интрузив биет, контакт бүс, skarn potential, alteration halo, vein zone зэргийг тодорхойлно.</w:t>
      </w:r>
    </w:p>
    <w:p>
      <w:pPr>
        <w:pStyle w:val="ListBullet"/>
        <w:spacing w:after="20"/>
      </w:pPr>
      <w:r>
        <w:t>Ордын загвартай тохирох геологийн нөхцөл байгаа эсэхийг шалгана.</w:t>
      </w:r>
    </w:p>
    <w:p>
      <w:pPr>
        <w:pStyle w:val="Heading2"/>
      </w:pPr>
      <w:r>
        <w:t>2.2 Металлогени ба ойролцоох орд/илрэл</w:t>
      </w:r>
    </w:p>
    <w:p>
      <w:pPr>
        <w:spacing w:after="60"/>
      </w:pPr>
      <w:r>
        <w:rPr>
          <w:b/>
        </w:rPr>
        <w:t>Ашиглах материал:</w:t>
      </w:r>
    </w:p>
    <w:p>
      <w:pPr>
        <w:pStyle w:val="ListBullet"/>
        <w:spacing w:after="20"/>
      </w:pPr>
      <w:r>
        <w:t>CMCS database</w:t>
      </w:r>
    </w:p>
    <w:p>
      <w:pPr>
        <w:pStyle w:val="ListBullet"/>
        <w:spacing w:after="20"/>
      </w:pPr>
      <w:r>
        <w:t>MRAM/АМГТГ-ийн mineral occurrence мэдээлэл</w:t>
      </w:r>
    </w:p>
    <w:p>
      <w:pPr>
        <w:pStyle w:val="ListBullet"/>
        <w:spacing w:after="20"/>
      </w:pPr>
      <w:r>
        <w:t>Ойролцоох орд, илрэл, prospect</w:t>
      </w:r>
    </w:p>
    <w:p>
      <w:pPr>
        <w:pStyle w:val="ListBullet"/>
        <w:spacing w:after="20"/>
      </w:pPr>
      <w:r>
        <w:t>Бүс нутгийн metallogenic map</w:t>
      </w:r>
    </w:p>
    <w:p>
      <w:pPr>
        <w:pStyle w:val="ListBullet"/>
        <w:spacing w:after="20"/>
      </w:pPr>
      <w:r>
        <w:t>Known deposit trend</w:t>
      </w:r>
    </w:p>
    <w:p>
      <w:pPr>
        <w:pStyle w:val="ListBullet"/>
        <w:spacing w:after="20"/>
      </w:pPr>
      <w:r>
        <w:t>Ore district boundary</w:t>
      </w:r>
    </w:p>
    <w:p>
      <w:pPr>
        <w:pStyle w:val="ListBullet"/>
        <w:spacing w:after="20"/>
      </w:pPr>
      <w:r>
        <w:t>Historical exploration result</w:t>
      </w:r>
    </w:p>
    <w:p>
      <w:pPr>
        <w:spacing w:after="60"/>
      </w:pPr>
      <w:r>
        <w:rPr>
          <w:b/>
        </w:rPr>
        <w:t>Хийх ажил:</w:t>
      </w:r>
    </w:p>
    <w:p>
      <w:pPr>
        <w:pStyle w:val="ListBullet"/>
        <w:spacing w:after="20"/>
      </w:pPr>
      <w:r>
        <w:t>Талбайн ойролцоо ямар төрлийн орд, илрэл байгааг шалгана.</w:t>
      </w:r>
    </w:p>
    <w:p>
      <w:pPr>
        <w:pStyle w:val="ListBullet"/>
        <w:spacing w:after="20"/>
      </w:pPr>
      <w:r>
        <w:t>Зэс, алт, мөнгө, полиметалл, молибден, төмөр, никель гэх мэт commodity бүрийг тусад нь бүртгэнэ.</w:t>
      </w:r>
    </w:p>
    <w:p>
      <w:pPr>
        <w:pStyle w:val="ListBullet"/>
        <w:spacing w:after="20"/>
      </w:pPr>
      <w:r>
        <w:t>Ойролцоох орд/илрэлүүд талбайтай нэг structural trend, lithological belt, intrusive belt, alteration corridor дотор байгаа эсэхийг шалгана.</w:t>
      </w:r>
    </w:p>
    <w:p>
      <w:pPr>
        <w:pStyle w:val="ListBullet"/>
        <w:spacing w:after="20"/>
      </w:pPr>
      <w:r>
        <w:t>CMCS мэдээллээс ордын төрөл, эрдсийн бүрдэл, координат, статус, судалгааны түвшинг бүртгэнэ.</w:t>
      </w:r>
    </w:p>
    <w:p>
      <w:pPr>
        <w:pStyle w:val="ListBullet"/>
        <w:spacing w:after="20"/>
      </w:pPr>
      <w:r>
        <w:t>Талбайн target-уудыг ойролцоох орд/илрэлтэй харьцуулж potential resource type тодорхойлно.</w:t>
      </w:r>
    </w:p>
    <w:p>
      <w:pPr>
        <w:spacing w:after="60"/>
      </w:pPr>
      <w:r>
        <w:rPr>
          <w:b/>
        </w:rPr>
        <w:t>Жишээ үнэлгээ:</w:t>
      </w:r>
    </w:p>
    <w:tbl>
      <w:tblPr>
        <w:tblStyle w:val="TableGrid"/>
        <w:tblW w:type="auto" w:w="0"/>
        <w:jc w:val="center"/>
        <w:tblLook w:firstColumn="1" w:firstRow="1" w:lastColumn="0" w:lastRow="0" w:noHBand="0" w:noVBand="1" w:val="04A0"/>
      </w:tblPr>
      <w:tblGrid>
        <w:gridCol w:w="5184"/>
        <w:gridCol w:w="5184"/>
      </w:tblGrid>
      <w:tr>
        <w:tc>
          <w:tcPr>
            <w:tcW w:type="dxa" w:w="3600"/>
            <w:vAlign w:val="center"/>
            <w:shd w:fill="D9EAF7"/>
          </w:tcPr>
          <w:p>
            <w:pPr>
              <w:spacing w:after="0"/>
            </w:pPr>
            <w:r/>
            <w:r>
              <w:rPr>
                <w:rFonts w:ascii="Arial" w:hAnsi="Arial" w:eastAsia="Arial"/>
                <w:b/>
                <w:sz w:val="16"/>
              </w:rPr>
              <w:t>Үзүүлэлт</w:t>
            </w:r>
          </w:p>
        </w:tc>
        <w:tc>
          <w:tcPr>
            <w:tcW w:type="dxa" w:w="6480"/>
            <w:vAlign w:val="center"/>
            <w:shd w:fill="D9EAF7"/>
          </w:tcPr>
          <w:p>
            <w:pPr>
              <w:spacing w:after="0"/>
            </w:pPr>
            <w:r/>
            <w:r>
              <w:rPr>
                <w:rFonts w:ascii="Arial" w:hAnsi="Arial" w:eastAsia="Arial"/>
                <w:b/>
                <w:sz w:val="16"/>
              </w:rPr>
              <w:t>Ач холбогдол</w:t>
            </w:r>
          </w:p>
        </w:tc>
      </w:tr>
      <w:tr>
        <w:tc>
          <w:tcPr>
            <w:tcW w:type="dxa" w:w="3600"/>
            <w:vAlign w:val="center"/>
          </w:tcPr>
          <w:p>
            <w:pPr>
              <w:spacing w:after="0"/>
            </w:pPr>
            <w:r/>
            <w:r>
              <w:rPr>
                <w:rFonts w:ascii="Arial" w:hAnsi="Arial" w:eastAsia="Arial"/>
                <w:b w:val="0"/>
                <w:sz w:val="16"/>
              </w:rPr>
              <w:t>Ойролцоох Cu-Au порфир орд</w:t>
            </w:r>
          </w:p>
        </w:tc>
        <w:tc>
          <w:tcPr>
            <w:tcW w:type="dxa" w:w="6480"/>
            <w:vAlign w:val="center"/>
          </w:tcPr>
          <w:p>
            <w:pPr>
              <w:spacing w:after="0"/>
            </w:pPr>
            <w:r/>
            <w:r>
              <w:rPr>
                <w:rFonts w:ascii="Arial" w:hAnsi="Arial" w:eastAsia="Arial"/>
                <w:b w:val="0"/>
                <w:sz w:val="16"/>
              </w:rPr>
              <w:t>Porphyry Cu-Au target магадлал нэмэгдэнэ</w:t>
            </w:r>
          </w:p>
        </w:tc>
      </w:tr>
      <w:tr>
        <w:tc>
          <w:tcPr>
            <w:tcW w:type="dxa" w:w="3600"/>
            <w:vAlign w:val="center"/>
          </w:tcPr>
          <w:p>
            <w:pPr>
              <w:spacing w:after="0"/>
            </w:pPr>
            <w:r/>
            <w:r>
              <w:rPr>
                <w:rFonts w:ascii="Arial" w:hAnsi="Arial" w:eastAsia="Arial"/>
                <w:b w:val="0"/>
                <w:sz w:val="16"/>
              </w:rPr>
              <w:t>Au-Ag судлын илрэл</w:t>
            </w:r>
          </w:p>
        </w:tc>
        <w:tc>
          <w:tcPr>
            <w:tcW w:type="dxa" w:w="6480"/>
            <w:vAlign w:val="center"/>
          </w:tcPr>
          <w:p>
            <w:pPr>
              <w:spacing w:after="0"/>
            </w:pPr>
            <w:r/>
            <w:r>
              <w:rPr>
                <w:rFonts w:ascii="Arial" w:hAnsi="Arial" w:eastAsia="Arial"/>
                <w:b w:val="0"/>
                <w:sz w:val="16"/>
              </w:rPr>
              <w:t>Epithermal эсвэл vein target магадлал нэмэгдэнэ</w:t>
            </w:r>
          </w:p>
        </w:tc>
      </w:tr>
      <w:tr>
        <w:tc>
          <w:tcPr>
            <w:tcW w:type="dxa" w:w="3600"/>
            <w:vAlign w:val="center"/>
          </w:tcPr>
          <w:p>
            <w:pPr>
              <w:spacing w:after="0"/>
            </w:pPr>
            <w:r/>
            <w:r>
              <w:rPr>
                <w:rFonts w:ascii="Arial" w:hAnsi="Arial" w:eastAsia="Arial"/>
                <w:b w:val="0"/>
                <w:sz w:val="16"/>
              </w:rPr>
              <w:t>Skarn Cu-Fe илрэл</w:t>
            </w:r>
          </w:p>
        </w:tc>
        <w:tc>
          <w:tcPr>
            <w:tcW w:type="dxa" w:w="6480"/>
            <w:vAlign w:val="center"/>
          </w:tcPr>
          <w:p>
            <w:pPr>
              <w:spacing w:after="0"/>
            </w:pPr>
            <w:r/>
            <w:r>
              <w:rPr>
                <w:rFonts w:ascii="Arial" w:hAnsi="Arial" w:eastAsia="Arial"/>
                <w:b w:val="0"/>
                <w:sz w:val="16"/>
              </w:rPr>
              <w:t>Интрузив-карбонат контакт бүс чухал болно</w:t>
            </w:r>
          </w:p>
        </w:tc>
      </w:tr>
      <w:tr>
        <w:tc>
          <w:tcPr>
            <w:tcW w:type="dxa" w:w="3600"/>
            <w:vAlign w:val="center"/>
          </w:tcPr>
          <w:p>
            <w:pPr>
              <w:spacing w:after="0"/>
            </w:pPr>
            <w:r/>
            <w:r>
              <w:rPr>
                <w:rFonts w:ascii="Arial" w:hAnsi="Arial" w:eastAsia="Arial"/>
                <w:b w:val="0"/>
                <w:sz w:val="16"/>
              </w:rPr>
              <w:t>Polymetallic Pb-Zn-Ag илрэл</w:t>
            </w:r>
          </w:p>
        </w:tc>
        <w:tc>
          <w:tcPr>
            <w:tcW w:type="dxa" w:w="6480"/>
            <w:vAlign w:val="center"/>
          </w:tcPr>
          <w:p>
            <w:pPr>
              <w:spacing w:after="0"/>
            </w:pPr>
            <w:r/>
            <w:r>
              <w:rPr>
                <w:rFonts w:ascii="Arial" w:hAnsi="Arial" w:eastAsia="Arial"/>
                <w:b w:val="0"/>
                <w:sz w:val="16"/>
              </w:rPr>
              <w:t>Structural vein corridor шалгах шаардлагатай</w:t>
            </w:r>
          </w:p>
        </w:tc>
      </w:tr>
      <w:tr>
        <w:tc>
          <w:tcPr>
            <w:tcW w:type="dxa" w:w="3600"/>
            <w:vAlign w:val="center"/>
          </w:tcPr>
          <w:p>
            <w:pPr>
              <w:spacing w:after="0"/>
            </w:pPr>
            <w:r/>
            <w:r>
              <w:rPr>
                <w:rFonts w:ascii="Arial" w:hAnsi="Arial" w:eastAsia="Arial"/>
                <w:b w:val="0"/>
                <w:sz w:val="16"/>
              </w:rPr>
              <w:t>Ni-Cu илрэл</w:t>
            </w:r>
          </w:p>
        </w:tc>
        <w:tc>
          <w:tcPr>
            <w:tcW w:type="dxa" w:w="6480"/>
            <w:vAlign w:val="center"/>
          </w:tcPr>
          <w:p>
            <w:pPr>
              <w:spacing w:after="0"/>
            </w:pPr>
            <w:r/>
            <w:r>
              <w:rPr>
                <w:rFonts w:ascii="Arial" w:hAnsi="Arial" w:eastAsia="Arial"/>
                <w:b w:val="0"/>
                <w:sz w:val="16"/>
              </w:rPr>
              <w:t>Mafic-ultramafic lithology-г нарийвчлан шалгана</w:t>
            </w:r>
          </w:p>
        </w:tc>
      </w:tr>
    </w:tbl>
    <w:p/>
    <w:p>
      <w:pPr>
        <w:pStyle w:val="Heading2"/>
      </w:pPr>
      <w:r>
        <w:t>2.3 Stream sediment, heavy mineral дата</w:t>
      </w:r>
    </w:p>
    <w:p>
      <w:pPr>
        <w:spacing w:after="60"/>
      </w:pPr>
      <w:r>
        <w:rPr>
          <w:b/>
        </w:rPr>
        <w:t>Ашиглах материал:</w:t>
      </w:r>
    </w:p>
    <w:p>
      <w:pPr>
        <w:pStyle w:val="ListBullet"/>
        <w:spacing w:after="20"/>
      </w:pPr>
      <w:r>
        <w:t>Stream sediment assay</w:t>
      </w:r>
    </w:p>
    <w:p>
      <w:pPr>
        <w:pStyle w:val="ListBullet"/>
        <w:spacing w:after="20"/>
      </w:pPr>
      <w:r>
        <w:t>Heavy mineral concentrate result</w:t>
      </w:r>
    </w:p>
    <w:p>
      <w:pPr>
        <w:pStyle w:val="ListBullet"/>
        <w:spacing w:after="20"/>
      </w:pPr>
      <w:r>
        <w:t>Drainage basin boundary</w:t>
      </w:r>
    </w:p>
    <w:p>
      <w:pPr>
        <w:pStyle w:val="ListBullet"/>
        <w:spacing w:after="20"/>
      </w:pPr>
      <w:r>
        <w:t>Sample location</w:t>
      </w:r>
    </w:p>
    <w:p>
      <w:pPr>
        <w:pStyle w:val="ListBullet"/>
        <w:spacing w:after="20"/>
      </w:pPr>
      <w:r>
        <w:t>Geochemical anomaly map</w:t>
      </w:r>
    </w:p>
    <w:p>
      <w:pPr>
        <w:pStyle w:val="ListBullet"/>
        <w:spacing w:after="20"/>
      </w:pPr>
      <w:r>
        <w:t>Element association</w:t>
      </w:r>
    </w:p>
    <w:p>
      <w:pPr>
        <w:spacing w:after="60"/>
      </w:pPr>
      <w:r>
        <w:rPr>
          <w:b/>
        </w:rPr>
        <w:t>Хийх ажил:</w:t>
      </w:r>
    </w:p>
    <w:p>
      <w:pPr>
        <w:pStyle w:val="ListBullet"/>
        <w:spacing w:after="20"/>
      </w:pPr>
      <w:r>
        <w:t>Cu, Au, Ag, Pb, Zn, Mo, As, Sb, Bi, W, Sn, Ni, Co зэрэг элементүүдийг тусад нь шалгана.</w:t>
      </w:r>
    </w:p>
    <w:p>
      <w:pPr>
        <w:pStyle w:val="ListBullet"/>
        <w:spacing w:after="20"/>
      </w:pPr>
      <w:r>
        <w:t>Anomalous value-г background, threshold, percentile аргаар тодорхойлно.</w:t>
      </w:r>
    </w:p>
    <w:p>
      <w:pPr>
        <w:pStyle w:val="ListBullet"/>
        <w:spacing w:after="20"/>
      </w:pPr>
      <w:r>
        <w:t>Дээжийн anomalous point-уудыг drainage catchment-тэй холбож source area тодорхойлно.</w:t>
      </w:r>
    </w:p>
    <w:p>
      <w:pPr>
        <w:pStyle w:val="ListBullet"/>
        <w:spacing w:after="20"/>
      </w:pPr>
      <w:r>
        <w:t>Stream anomaly нь target polygon-тай огтлолцож байгаа эсэхийг шалгана.</w:t>
      </w:r>
    </w:p>
    <w:p>
      <w:pPr>
        <w:pStyle w:val="ListBullet"/>
        <w:spacing w:after="20"/>
      </w:pPr>
      <w:r>
        <w:t>Heavy mineral indication байгаа бол эх үүсвэрийн талбайг upstream чиглэлээр тодорхойлно.</w:t>
      </w:r>
    </w:p>
    <w:p>
      <w:pPr>
        <w:pStyle w:val="Heading2"/>
      </w:pPr>
      <w:r>
        <w:t>2.4 pXRF болон лабораторийн assay дата</w:t>
      </w:r>
    </w:p>
    <w:p>
      <w:pPr>
        <w:spacing w:after="60"/>
      </w:pPr>
      <w:r>
        <w:rPr>
          <w:b/>
        </w:rPr>
        <w:t>Ашиглах материал:</w:t>
      </w:r>
    </w:p>
    <w:p>
      <w:pPr>
        <w:pStyle w:val="ListBullet"/>
        <w:spacing w:after="20"/>
      </w:pPr>
      <w:r>
        <w:t>pXRF field reading</w:t>
      </w:r>
    </w:p>
    <w:p>
      <w:pPr>
        <w:pStyle w:val="ListBullet"/>
        <w:spacing w:after="20"/>
      </w:pPr>
      <w:r>
        <w:t>Rock chip assay</w:t>
      </w:r>
    </w:p>
    <w:p>
      <w:pPr>
        <w:pStyle w:val="ListBullet"/>
        <w:spacing w:after="20"/>
      </w:pPr>
      <w:r>
        <w:t>Channel sample assay</w:t>
      </w:r>
    </w:p>
    <w:p>
      <w:pPr>
        <w:pStyle w:val="ListBullet"/>
        <w:spacing w:after="20"/>
      </w:pPr>
      <w:r>
        <w:t>Soil assay</w:t>
      </w:r>
    </w:p>
    <w:p>
      <w:pPr>
        <w:pStyle w:val="ListBullet"/>
        <w:spacing w:after="20"/>
      </w:pPr>
      <w:r>
        <w:t>Lab assay certificate</w:t>
      </w:r>
    </w:p>
    <w:p>
      <w:pPr>
        <w:pStyle w:val="ListBullet"/>
        <w:spacing w:after="20"/>
      </w:pPr>
      <w:r>
        <w:t>QA/QC sample result</w:t>
      </w:r>
    </w:p>
    <w:p>
      <w:pPr>
        <w:pStyle w:val="ListBullet"/>
        <w:spacing w:after="20"/>
      </w:pPr>
      <w:r>
        <w:t>Standard, blank, duplicate result</w:t>
      </w:r>
    </w:p>
    <w:p>
      <w:pPr>
        <w:pStyle w:val="ListBullet"/>
        <w:spacing w:after="20"/>
      </w:pPr>
      <w:r>
        <w:t>pXRF-lab correlation table</w:t>
      </w:r>
    </w:p>
    <w:p>
      <w:pPr>
        <w:spacing w:after="60"/>
      </w:pPr>
      <w:r>
        <w:rPr>
          <w:b/>
        </w:rPr>
        <w:t>Хийх ажил:</w:t>
      </w:r>
    </w:p>
    <w:p>
      <w:pPr>
        <w:pStyle w:val="ListBullet"/>
        <w:spacing w:after="20"/>
      </w:pPr>
      <w:r>
        <w:t>pXRF ба лабораторийн үр дүнг харьцуулна.</w:t>
      </w:r>
    </w:p>
    <w:p>
      <w:pPr>
        <w:pStyle w:val="ListBullet"/>
        <w:spacing w:after="20"/>
      </w:pPr>
      <w:r>
        <w:t>Cu, Zn, Pb, As, Mo, Fe зэрэг pXRF-д сайн хэмжигдэх элементүүдийн correlation шалгана.</w:t>
      </w:r>
    </w:p>
    <w:p>
      <w:pPr>
        <w:pStyle w:val="ListBullet"/>
        <w:spacing w:after="20"/>
      </w:pPr>
      <w:r>
        <w:t>Au зэрэг pXRF-д найдвартай хэмжигдэхгүй элементийг лабораторийн assay дээр үндэслэнэ.</w:t>
      </w:r>
    </w:p>
    <w:p>
      <w:pPr>
        <w:pStyle w:val="ListBullet"/>
        <w:spacing w:after="20"/>
      </w:pPr>
      <w:r>
        <w:t>Duplicate sample-ийн зөрүүг шалгана.</w:t>
      </w:r>
    </w:p>
    <w:p>
      <w:pPr>
        <w:pStyle w:val="ListBullet"/>
        <w:spacing w:after="20"/>
      </w:pPr>
      <w:r>
        <w:t>Blank contamination байгаа эсэхийг шалгана.</w:t>
      </w:r>
    </w:p>
    <w:p>
      <w:pPr>
        <w:pStyle w:val="ListBullet"/>
        <w:spacing w:after="20"/>
      </w:pPr>
      <w:r>
        <w:t>CRM буюу certified reference material зөв хэмжигдсэн эсэхийг баталгаажуулна.</w:t>
      </w:r>
    </w:p>
    <w:p>
      <w:pPr>
        <w:pStyle w:val="ListBullet"/>
        <w:spacing w:after="20"/>
      </w:pPr>
      <w:r>
        <w:t>Outlier value-г шалгаж, алдаа эсвэл жинхэнэ high-grade утга эсэхийг тогтооно.</w:t>
      </w:r>
    </w:p>
    <w:p>
      <w:pPr>
        <w:pStyle w:val="Heading2"/>
      </w:pPr>
      <w:r>
        <w:t>2.5 Remote sensing дата</w:t>
      </w:r>
    </w:p>
    <w:p>
      <w:pPr>
        <w:spacing w:after="60"/>
      </w:pPr>
      <w:r>
        <w:rPr>
          <w:b/>
        </w:rPr>
        <w:t>Ашиглах материал:</w:t>
      </w:r>
    </w:p>
    <w:p>
      <w:pPr>
        <w:pStyle w:val="ListBullet"/>
        <w:spacing w:after="20"/>
      </w:pPr>
      <w:r>
        <w:t>Sentinel imagery</w:t>
      </w:r>
    </w:p>
    <w:p>
      <w:pPr>
        <w:pStyle w:val="ListBullet"/>
        <w:spacing w:after="20"/>
      </w:pPr>
      <w:r>
        <w:t>ASTER alteration index</w:t>
      </w:r>
    </w:p>
    <w:p>
      <w:pPr>
        <w:pStyle w:val="ListBullet"/>
        <w:spacing w:after="20"/>
      </w:pPr>
      <w:r>
        <w:t>KOMPSAT imagery</w:t>
      </w:r>
    </w:p>
    <w:p>
      <w:pPr>
        <w:pStyle w:val="ListBullet"/>
        <w:spacing w:after="20"/>
      </w:pPr>
      <w:r>
        <w:t>ALOS DEM</w:t>
      </w:r>
    </w:p>
    <w:p>
      <w:pPr>
        <w:pStyle w:val="ListBullet"/>
        <w:spacing w:after="20"/>
      </w:pPr>
      <w:r>
        <w:t>Drone imagery</w:t>
      </w:r>
    </w:p>
    <w:p>
      <w:pPr>
        <w:pStyle w:val="ListBullet"/>
        <w:spacing w:after="20"/>
      </w:pPr>
      <w:r>
        <w:t>LiDAR</w:t>
      </w:r>
    </w:p>
    <w:p>
      <w:pPr>
        <w:pStyle w:val="ListBullet"/>
        <w:spacing w:after="20"/>
      </w:pPr>
      <w:r>
        <w:t>Photogrammetry output</w:t>
      </w:r>
    </w:p>
    <w:p>
      <w:pPr>
        <w:pStyle w:val="ListBullet"/>
        <w:spacing w:after="20"/>
      </w:pPr>
      <w:r>
        <w:t>Lineament interpretation</w:t>
      </w:r>
    </w:p>
    <w:p>
      <w:pPr>
        <w:pStyle w:val="ListBullet"/>
        <w:spacing w:after="20"/>
      </w:pPr>
      <w:r>
        <w:t>Alteration map</w:t>
      </w:r>
    </w:p>
    <w:p>
      <w:pPr>
        <w:spacing w:after="60"/>
      </w:pPr>
      <w:r>
        <w:rPr>
          <w:b/>
        </w:rPr>
        <w:t>Хийх ажил:</w:t>
      </w:r>
    </w:p>
    <w:p>
      <w:pPr>
        <w:pStyle w:val="ListBullet"/>
        <w:spacing w:after="20"/>
      </w:pPr>
      <w:r>
        <w:t>ASTER/Sentinel-ээс clay, iron oxide, silica, carbonate alteration indicator гаргана.</w:t>
      </w:r>
    </w:p>
    <w:p>
      <w:pPr>
        <w:pStyle w:val="ListBullet"/>
        <w:spacing w:after="20"/>
      </w:pPr>
      <w:r>
        <w:t>Lineament, fault, fracture zone-уудыг ялгана.</w:t>
      </w:r>
    </w:p>
    <w:p>
      <w:pPr>
        <w:pStyle w:val="ListBullet"/>
        <w:spacing w:after="20"/>
      </w:pPr>
      <w:r>
        <w:t>DEM болон hillshade дээр structural control шалгана.</w:t>
      </w:r>
    </w:p>
    <w:p>
      <w:pPr>
        <w:pStyle w:val="ListBullet"/>
        <w:spacing w:after="20"/>
      </w:pPr>
      <w:r>
        <w:t>Drone/LiDAR дата дээр outcrop, vein, gossan, alteration zone, old working байгаа эсэхийг шалгана.</w:t>
      </w:r>
    </w:p>
    <w:p>
      <w:pPr>
        <w:pStyle w:val="ListBullet"/>
        <w:spacing w:after="20"/>
      </w:pPr>
      <w:r>
        <w:t>Remote sensing anomaly нь field evidence болон geochemical anomaly-той давхцаж байгаа эсэхийг баталгаажуулна.</w:t>
      </w:r>
    </w:p>
    <w:p>
      <w:pPr>
        <w:pStyle w:val="Heading2"/>
      </w:pPr>
      <w:r>
        <w:t>2.6 Field mapping дата</w:t>
      </w:r>
    </w:p>
    <w:p>
      <w:pPr>
        <w:spacing w:after="60"/>
      </w:pPr>
      <w:r>
        <w:rPr>
          <w:b/>
        </w:rPr>
        <w:t>Ашиглах материал:</w:t>
      </w:r>
    </w:p>
    <w:p>
      <w:pPr>
        <w:pStyle w:val="ListBullet"/>
        <w:spacing w:after="20"/>
      </w:pPr>
      <w:r>
        <w:t>Field observation point</w:t>
      </w:r>
    </w:p>
    <w:p>
      <w:pPr>
        <w:pStyle w:val="ListBullet"/>
        <w:spacing w:after="20"/>
      </w:pPr>
      <w:r>
        <w:t>Lithology observation</w:t>
      </w:r>
    </w:p>
    <w:p>
      <w:pPr>
        <w:pStyle w:val="ListBullet"/>
        <w:spacing w:after="20"/>
      </w:pPr>
      <w:r>
        <w:t>Alteration observation</w:t>
      </w:r>
    </w:p>
    <w:p>
      <w:pPr>
        <w:pStyle w:val="ListBullet"/>
        <w:spacing w:after="20"/>
      </w:pPr>
      <w:r>
        <w:t>Mineralization observation</w:t>
      </w:r>
    </w:p>
    <w:p>
      <w:pPr>
        <w:pStyle w:val="ListBullet"/>
        <w:spacing w:after="20"/>
      </w:pPr>
      <w:r>
        <w:t>Structure measurement</w:t>
      </w:r>
    </w:p>
    <w:p>
      <w:pPr>
        <w:pStyle w:val="ListBullet"/>
        <w:spacing w:after="20"/>
      </w:pPr>
      <w:r>
        <w:t>Photo point</w:t>
      </w:r>
    </w:p>
    <w:p>
      <w:pPr>
        <w:pStyle w:val="ListBullet"/>
        <w:spacing w:after="20"/>
      </w:pPr>
      <w:r>
        <w:t>Sample point</w:t>
      </w:r>
    </w:p>
    <w:p>
      <w:pPr>
        <w:pStyle w:val="ListBullet"/>
        <w:spacing w:after="20"/>
      </w:pPr>
      <w:r>
        <w:t>Traverse track</w:t>
      </w:r>
    </w:p>
    <w:p>
      <w:pPr>
        <w:spacing w:after="60"/>
      </w:pPr>
      <w:r>
        <w:rPr>
          <w:b/>
        </w:rPr>
        <w:t>Хийх ажил:</w:t>
      </w:r>
    </w:p>
    <w:p>
      <w:pPr>
        <w:pStyle w:val="ListBullet"/>
        <w:spacing w:after="20"/>
      </w:pPr>
      <w:r>
        <w:t>Хээрийн ажиглалтын цэгүүдийг GIS дээр шалгана.</w:t>
      </w:r>
    </w:p>
    <w:p>
      <w:pPr>
        <w:pStyle w:val="ListBullet"/>
        <w:spacing w:after="20"/>
      </w:pPr>
      <w:r>
        <w:t>Хүдэржилтийн тэмдэглэлүүдийг эрдсийн төрөл, хүч, тархалтаар ангилна.</w:t>
      </w:r>
    </w:p>
    <w:p>
      <w:pPr>
        <w:pStyle w:val="ListBullet"/>
        <w:spacing w:after="20"/>
      </w:pPr>
      <w:r>
        <w:t>Quartz vein, sulfide vein, gossan, malachite, azurite, chalcopyrite, pyrite, galena, sphalerite зэрэг тэмдэглэлүүдийг ялгана.</w:t>
      </w:r>
    </w:p>
    <w:p>
      <w:pPr>
        <w:pStyle w:val="ListBullet"/>
        <w:spacing w:after="20"/>
      </w:pPr>
      <w:r>
        <w:t>Хувирал болон хүдэржилт давхацсан хэсгийг өндөр ач холбогдолтой гэж үзнэ.</w:t>
      </w:r>
    </w:p>
    <w:p>
      <w:pPr>
        <w:pStyle w:val="ListBullet"/>
        <w:spacing w:after="20"/>
      </w:pPr>
      <w:r>
        <w:t>Field photo-г target sheet-д нотлох баримт болгон оруулна.</w:t>
      </w:r>
    </w:p>
    <w:p>
      <w:pPr>
        <w:pStyle w:val="Heading1"/>
      </w:pPr>
      <w:r>
        <w:t>3. Processing folder structure үүсгэх</w:t>
      </w:r>
    </w:p>
    <w:p>
      <w:pPr>
        <w:spacing w:after="60"/>
      </w:pPr>
      <w:r>
        <w:rPr>
          <w:b w:val="0"/>
        </w:rPr>
        <w:t>Доорх фолдерийн бүтцийг яг ижил үүсгэнэ.</w:t>
      </w:r>
    </w:p>
    <w:p>
      <w:pPr>
        <w:pStyle w:val="CodeBlock"/>
      </w:pPr>
      <w:r>
        <w:t>10_Phase_10_Integrated_Interpretation_and_Final_Target_Ranking/</w:t>
      </w:r>
    </w:p>
    <w:p>
      <w:pPr>
        <w:pStyle w:val="CodeBlock"/>
      </w:pPr>
      <w:r>
        <w:t>│</w:t>
      </w:r>
    </w:p>
    <w:p>
      <w:pPr>
        <w:pStyle w:val="CodeBlock"/>
      </w:pPr>
      <w:r>
        <w:t>├── 01_Assay_Validation</w:t>
      </w:r>
    </w:p>
    <w:p>
      <w:pPr>
        <w:pStyle w:val="CodeBlock"/>
      </w:pPr>
      <w:r>
        <w:t>├── 02_Evidence_Integration</w:t>
      </w:r>
    </w:p>
    <w:p>
      <w:pPr>
        <w:pStyle w:val="CodeBlock"/>
      </w:pPr>
      <w:r>
        <w:t>├── 03_Target_Scoring</w:t>
      </w:r>
    </w:p>
    <w:p>
      <w:pPr>
        <w:pStyle w:val="CodeBlock"/>
      </w:pPr>
      <w:r>
        <w:t>├── 04_Target_Description_Sheets</w:t>
      </w:r>
    </w:p>
    <w:p>
      <w:pPr>
        <w:pStyle w:val="CodeBlock"/>
      </w:pPr>
      <w:r>
        <w:t>├── 05_Go_NoGo_Decision</w:t>
      </w:r>
    </w:p>
    <w:p>
      <w:pPr>
        <w:pStyle w:val="CodeBlock"/>
      </w:pPr>
      <w:r>
        <w:t>└── 06_Final_Target_GIS_Map_Report</w:t>
      </w:r>
    </w:p>
    <w:p>
      <w:pPr>
        <w:pStyle w:val="Heading2"/>
      </w:pPr>
      <w:r>
        <w:t>3.1 01_Assay_Validation</w:t>
      </w:r>
    </w:p>
    <w:p>
      <w:pPr>
        <w:spacing w:after="60"/>
      </w:pPr>
      <w:r>
        <w:rPr>
          <w:b w:val="0"/>
        </w:rPr>
        <w:t>Энд дараах файлууд хадгалагдана.</w:t>
      </w:r>
    </w:p>
    <w:p>
      <w:pPr>
        <w:pStyle w:val="ListBullet"/>
        <w:spacing w:after="20"/>
      </w:pPr>
      <w:r>
        <w:t>Lab assay result</w:t>
      </w:r>
    </w:p>
    <w:p>
      <w:pPr>
        <w:pStyle w:val="ListBullet"/>
        <w:spacing w:after="20"/>
      </w:pPr>
      <w:r>
        <w:t>pXRF result</w:t>
      </w:r>
    </w:p>
    <w:p>
      <w:pPr>
        <w:pStyle w:val="ListBullet"/>
        <w:spacing w:after="20"/>
      </w:pPr>
      <w:r>
        <w:t>QA/QC log</w:t>
      </w:r>
    </w:p>
    <w:p>
      <w:pPr>
        <w:pStyle w:val="ListBullet"/>
        <w:spacing w:after="20"/>
      </w:pPr>
      <w:r>
        <w:t>CRM result</w:t>
      </w:r>
    </w:p>
    <w:p>
      <w:pPr>
        <w:pStyle w:val="ListBullet"/>
        <w:spacing w:after="20"/>
      </w:pPr>
      <w:r>
        <w:t>Blank result</w:t>
      </w:r>
    </w:p>
    <w:p>
      <w:pPr>
        <w:pStyle w:val="ListBullet"/>
        <w:spacing w:after="20"/>
      </w:pPr>
      <w:r>
        <w:t>Duplicate result</w:t>
      </w:r>
    </w:p>
    <w:p>
      <w:pPr>
        <w:pStyle w:val="ListBullet"/>
        <w:spacing w:after="20"/>
      </w:pPr>
      <w:r>
        <w:t>pXRF-lab correlation file</w:t>
      </w:r>
    </w:p>
    <w:p>
      <w:pPr>
        <w:pStyle w:val="ListBullet"/>
        <w:spacing w:after="20"/>
      </w:pPr>
      <w:r>
        <w:t>Outlier check file</w:t>
      </w:r>
    </w:p>
    <w:p>
      <w:pPr>
        <w:pStyle w:val="Heading2"/>
      </w:pPr>
      <w:r>
        <w:t>3.2 02_Evidence_Integration</w:t>
      </w:r>
    </w:p>
    <w:p>
      <w:pPr>
        <w:spacing w:after="60"/>
      </w:pPr>
      <w:r>
        <w:rPr>
          <w:b w:val="0"/>
        </w:rPr>
        <w:t>Энд бүх evidence layer-үүд хадгалагдана.</w:t>
      </w:r>
    </w:p>
    <w:p>
      <w:pPr>
        <w:pStyle w:val="ListBullet"/>
        <w:spacing w:after="20"/>
      </w:pPr>
      <w:r>
        <w:t>Geology layer</w:t>
      </w:r>
    </w:p>
    <w:p>
      <w:pPr>
        <w:pStyle w:val="ListBullet"/>
        <w:spacing w:after="20"/>
      </w:pPr>
      <w:r>
        <w:t>Structure layer</w:t>
      </w:r>
    </w:p>
    <w:p>
      <w:pPr>
        <w:pStyle w:val="ListBullet"/>
        <w:spacing w:after="20"/>
      </w:pPr>
      <w:r>
        <w:t>Alteration layer</w:t>
      </w:r>
    </w:p>
    <w:p>
      <w:pPr>
        <w:pStyle w:val="ListBullet"/>
        <w:spacing w:after="20"/>
      </w:pPr>
      <w:r>
        <w:t>Geochemistry anomaly layer</w:t>
      </w:r>
    </w:p>
    <w:p>
      <w:pPr>
        <w:pStyle w:val="ListBullet"/>
        <w:spacing w:after="20"/>
      </w:pPr>
      <w:r>
        <w:t>Remote sensing anomaly layer</w:t>
      </w:r>
    </w:p>
    <w:p>
      <w:pPr>
        <w:pStyle w:val="ListBullet"/>
        <w:spacing w:after="20"/>
      </w:pPr>
      <w:r>
        <w:t>CMCS occurrence layer</w:t>
      </w:r>
    </w:p>
    <w:p>
      <w:pPr>
        <w:pStyle w:val="ListBullet"/>
        <w:spacing w:after="20"/>
      </w:pPr>
      <w:r>
        <w:t>Nearby deposits layer</w:t>
      </w:r>
    </w:p>
    <w:p>
      <w:pPr>
        <w:pStyle w:val="ListBullet"/>
        <w:spacing w:after="20"/>
      </w:pPr>
      <w:r>
        <w:t>Field observation layer</w:t>
      </w:r>
    </w:p>
    <w:p>
      <w:pPr>
        <w:pStyle w:val="ListBullet"/>
        <w:spacing w:after="20"/>
      </w:pPr>
      <w:r>
        <w:t>Sample point layer</w:t>
      </w:r>
    </w:p>
    <w:p>
      <w:pPr>
        <w:pStyle w:val="Heading2"/>
      </w:pPr>
      <w:r>
        <w:t>3.3 03_Target_Scoring</w:t>
      </w:r>
    </w:p>
    <w:p>
      <w:pPr>
        <w:spacing w:after="60"/>
      </w:pPr>
      <w:r>
        <w:rPr>
          <w:b w:val="0"/>
        </w:rPr>
        <w:t>Энд target ranking хийх хүснэгт хадгалагдана.</w:t>
      </w:r>
    </w:p>
    <w:p>
      <w:pPr>
        <w:pStyle w:val="ListBullet"/>
        <w:spacing w:after="20"/>
      </w:pPr>
      <w:r>
        <w:t>Target scoring matrix</w:t>
      </w:r>
    </w:p>
    <w:p>
      <w:pPr>
        <w:pStyle w:val="ListBullet"/>
        <w:spacing w:after="20"/>
      </w:pPr>
      <w:r>
        <w:t>Weighting table</w:t>
      </w:r>
    </w:p>
    <w:p>
      <w:pPr>
        <w:pStyle w:val="ListBullet"/>
        <w:spacing w:after="20"/>
      </w:pPr>
      <w:r>
        <w:t>A/B/C classification table</w:t>
      </w:r>
    </w:p>
    <w:p>
      <w:pPr>
        <w:pStyle w:val="ListBullet"/>
        <w:spacing w:after="20"/>
      </w:pPr>
      <w:r>
        <w:t>Target priority ranking</w:t>
      </w:r>
    </w:p>
    <w:p>
      <w:pPr>
        <w:pStyle w:val="ListBullet"/>
        <w:spacing w:after="20"/>
      </w:pPr>
      <w:r>
        <w:t>Risk/data gap table</w:t>
      </w:r>
    </w:p>
    <w:p>
      <w:pPr>
        <w:pStyle w:val="Heading2"/>
      </w:pPr>
      <w:r>
        <w:t>3.4 04_Target_Description_Sheets</w:t>
      </w:r>
    </w:p>
    <w:p>
      <w:pPr>
        <w:spacing w:after="60"/>
      </w:pPr>
      <w:r>
        <w:rPr>
          <w:b w:val="0"/>
        </w:rPr>
        <w:t>Энд target бүрийн тайлбар sheet хадгалагдана.</w:t>
      </w:r>
    </w:p>
    <w:p>
      <w:pPr>
        <w:pStyle w:val="ListBullet"/>
        <w:spacing w:after="20"/>
      </w:pPr>
      <w:r>
        <w:t>Target A1 description</w:t>
      </w:r>
    </w:p>
    <w:p>
      <w:pPr>
        <w:pStyle w:val="ListBullet"/>
        <w:spacing w:after="20"/>
      </w:pPr>
      <w:r>
        <w:t>Target A2 description</w:t>
      </w:r>
    </w:p>
    <w:p>
      <w:pPr>
        <w:pStyle w:val="ListBullet"/>
        <w:spacing w:after="20"/>
      </w:pPr>
      <w:r>
        <w:t>Target B1 description</w:t>
      </w:r>
    </w:p>
    <w:p>
      <w:pPr>
        <w:pStyle w:val="ListBullet"/>
        <w:spacing w:after="20"/>
      </w:pPr>
      <w:r>
        <w:t>Target C1 description</w:t>
      </w:r>
    </w:p>
    <w:p>
      <w:pPr>
        <w:pStyle w:val="ListBullet"/>
        <w:spacing w:after="20"/>
      </w:pPr>
      <w:r>
        <w:t>Field photo attachment</w:t>
      </w:r>
    </w:p>
    <w:p>
      <w:pPr>
        <w:pStyle w:val="ListBullet"/>
        <w:spacing w:after="20"/>
      </w:pPr>
      <w:r>
        <w:t>Evidence summary map</w:t>
      </w:r>
    </w:p>
    <w:p>
      <w:pPr>
        <w:pStyle w:val="Heading2"/>
      </w:pPr>
      <w:r>
        <w:t>3.5 05_Go_NoGo_Decision</w:t>
      </w:r>
    </w:p>
    <w:p>
      <w:pPr>
        <w:spacing w:after="60"/>
      </w:pPr>
      <w:r>
        <w:rPr>
          <w:b w:val="0"/>
        </w:rPr>
        <w:t>Энд шийдвэрийн материал хадгалагдана.</w:t>
      </w:r>
    </w:p>
    <w:p>
      <w:pPr>
        <w:pStyle w:val="ListBullet"/>
        <w:spacing w:after="20"/>
      </w:pPr>
      <w:r>
        <w:t>Go/No-Go decision log</w:t>
      </w:r>
    </w:p>
    <w:p>
      <w:pPr>
        <w:pStyle w:val="ListBullet"/>
        <w:spacing w:after="20"/>
      </w:pPr>
      <w:r>
        <w:t>Reviewer comments</w:t>
      </w:r>
    </w:p>
    <w:p>
      <w:pPr>
        <w:pStyle w:val="ListBullet"/>
        <w:spacing w:after="20"/>
      </w:pPr>
      <w:r>
        <w:t>Recommended next phase</w:t>
      </w:r>
    </w:p>
    <w:p>
      <w:pPr>
        <w:pStyle w:val="ListBullet"/>
        <w:spacing w:after="20"/>
      </w:pPr>
      <w:r>
        <w:t>Trench/geophysics/drilling recommendation</w:t>
      </w:r>
    </w:p>
    <w:p>
      <w:pPr>
        <w:pStyle w:val="Heading2"/>
      </w:pPr>
      <w:r>
        <w:t>3.6 06_Final_Target_GIS_Map_Report</w:t>
      </w:r>
    </w:p>
    <w:p>
      <w:pPr>
        <w:spacing w:after="60"/>
      </w:pPr>
      <w:r>
        <w:rPr>
          <w:b w:val="0"/>
        </w:rPr>
        <w:t>Энд final output хадгалагдана.</w:t>
      </w:r>
    </w:p>
    <w:p>
      <w:pPr>
        <w:pStyle w:val="ListBullet"/>
        <w:spacing w:after="20"/>
      </w:pPr>
      <w:r>
        <w:t>Final target GIS package</w:t>
      </w:r>
    </w:p>
    <w:p>
      <w:pPr>
        <w:pStyle w:val="ListBullet"/>
        <w:spacing w:after="20"/>
      </w:pPr>
      <w:r>
        <w:t>Final target map</w:t>
      </w:r>
    </w:p>
    <w:p>
      <w:pPr>
        <w:pStyle w:val="ListBullet"/>
        <w:spacing w:after="20"/>
      </w:pPr>
      <w:r>
        <w:t>Integrated interpretation report</w:t>
      </w:r>
    </w:p>
    <w:p>
      <w:pPr>
        <w:pStyle w:val="ListBullet"/>
        <w:spacing w:after="20"/>
      </w:pPr>
      <w:r>
        <w:t>Final ranking table</w:t>
      </w:r>
    </w:p>
    <w:p>
      <w:pPr>
        <w:pStyle w:val="ListBullet"/>
        <w:spacing w:after="20"/>
      </w:pPr>
      <w:r>
        <w:t>Map PDF</w:t>
      </w:r>
    </w:p>
    <w:p>
      <w:pPr>
        <w:pStyle w:val="ListBullet"/>
        <w:spacing w:after="20"/>
      </w:pPr>
      <w:r>
        <w:t>GeoPackage / shapefile / QGIS project</w:t>
      </w:r>
    </w:p>
    <w:p>
      <w:pPr>
        <w:pStyle w:val="Heading1"/>
      </w:pPr>
      <w:r>
        <w:t>4. Алхамчилсан аргачлал</w:t>
      </w:r>
    </w:p>
    <w:p>
      <w:pPr>
        <w:pStyle w:val="Heading2"/>
      </w:pPr>
      <w:r>
        <w:t>Алхам 1. Бүх input data-г бүртгэх</w:t>
      </w:r>
    </w:p>
    <w:p>
      <w:pPr>
        <w:spacing w:after="60"/>
      </w:pPr>
      <w:r>
        <w:rPr>
          <w:b w:val="0"/>
        </w:rPr>
        <w:t>Юуны өмнө Phase 1–9 хүртэлх бүх баталгаажсан файлыг жагсаана.</w:t>
      </w:r>
    </w:p>
    <w:p>
      <w:pPr>
        <w:spacing w:after="60"/>
      </w:pPr>
      <w:r>
        <w:rPr>
          <w:b w:val="0"/>
        </w:rPr>
        <w:t>Бүртгэлд дараах багана орно.</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504"/>
            <w:vAlign w:val="center"/>
            <w:shd w:fill="D9EAF7"/>
          </w:tcPr>
          <w:p>
            <w:pPr>
              <w:spacing w:after="0"/>
            </w:pPr>
            <w:r/>
            <w:r>
              <w:rPr>
                <w:rFonts w:ascii="Arial" w:hAnsi="Arial" w:eastAsia="Arial"/>
                <w:b/>
                <w:sz w:val="16"/>
              </w:rPr>
              <w:t>№</w:t>
            </w:r>
          </w:p>
        </w:tc>
        <w:tc>
          <w:tcPr>
            <w:tcW w:type="dxa" w:w="2016"/>
            <w:vAlign w:val="center"/>
            <w:shd w:fill="D9EAF7"/>
          </w:tcPr>
          <w:p>
            <w:pPr>
              <w:spacing w:after="0"/>
            </w:pPr>
            <w:r/>
            <w:r>
              <w:rPr>
                <w:rFonts w:ascii="Arial" w:hAnsi="Arial" w:eastAsia="Arial"/>
                <w:b/>
                <w:sz w:val="16"/>
              </w:rPr>
              <w:t>Файлын нэр</w:t>
            </w:r>
          </w:p>
        </w:tc>
        <w:tc>
          <w:tcPr>
            <w:tcW w:type="dxa" w:w="1440"/>
            <w:vAlign w:val="center"/>
            <w:shd w:fill="D9EAF7"/>
          </w:tcPr>
          <w:p>
            <w:pPr>
              <w:spacing w:after="0"/>
            </w:pPr>
            <w:r/>
            <w:r>
              <w:rPr>
                <w:rFonts w:ascii="Arial" w:hAnsi="Arial" w:eastAsia="Arial"/>
                <w:b/>
                <w:sz w:val="16"/>
              </w:rPr>
              <w:t>Дата төрөл</w:t>
            </w:r>
          </w:p>
        </w:tc>
        <w:tc>
          <w:tcPr>
            <w:tcW w:type="dxa" w:w="1584"/>
            <w:vAlign w:val="center"/>
            <w:shd w:fill="D9EAF7"/>
          </w:tcPr>
          <w:p>
            <w:pPr>
              <w:spacing w:after="0"/>
            </w:pPr>
            <w:r/>
            <w:r>
              <w:rPr>
                <w:rFonts w:ascii="Arial" w:hAnsi="Arial" w:eastAsia="Arial"/>
                <w:b/>
                <w:sz w:val="16"/>
              </w:rPr>
              <w:t>Эх сурвалж</w:t>
            </w:r>
          </w:p>
        </w:tc>
        <w:tc>
          <w:tcPr>
            <w:tcW w:type="dxa" w:w="1080"/>
            <w:vAlign w:val="center"/>
            <w:shd w:fill="D9EAF7"/>
          </w:tcPr>
          <w:p>
            <w:pPr>
              <w:spacing w:after="0"/>
            </w:pPr>
            <w:r/>
            <w:r>
              <w:rPr>
                <w:rFonts w:ascii="Arial" w:hAnsi="Arial" w:eastAsia="Arial"/>
                <w:b/>
                <w:sz w:val="16"/>
              </w:rPr>
              <w:t>Огноо</w:t>
            </w:r>
          </w:p>
        </w:tc>
        <w:tc>
          <w:tcPr>
            <w:tcW w:type="dxa" w:w="1656"/>
            <w:vAlign w:val="center"/>
            <w:shd w:fill="D9EAF7"/>
          </w:tcPr>
          <w:p>
            <w:pPr>
              <w:spacing w:after="0"/>
            </w:pPr>
            <w:r/>
            <w:r>
              <w:rPr>
                <w:rFonts w:ascii="Arial" w:hAnsi="Arial" w:eastAsia="Arial"/>
                <w:b/>
                <w:sz w:val="16"/>
              </w:rPr>
              <w:t>Coordinate system</w:t>
            </w:r>
          </w:p>
        </w:tc>
        <w:tc>
          <w:tcPr>
            <w:tcW w:type="dxa" w:w="1296"/>
            <w:vAlign w:val="center"/>
            <w:shd w:fill="D9EAF7"/>
          </w:tcPr>
          <w:p>
            <w:pPr>
              <w:spacing w:after="0"/>
            </w:pPr>
            <w:r/>
            <w:r>
              <w:rPr>
                <w:rFonts w:ascii="Arial" w:hAnsi="Arial" w:eastAsia="Arial"/>
                <w:b/>
                <w:sz w:val="16"/>
              </w:rPr>
              <w:t>Ашигласан эсэх</w:t>
            </w:r>
          </w:p>
        </w:tc>
        <w:tc>
          <w:tcPr>
            <w:tcW w:type="dxa" w:w="1728"/>
            <w:vAlign w:val="center"/>
            <w:shd w:fill="D9EAF7"/>
          </w:tcPr>
          <w:p>
            <w:pPr>
              <w:spacing w:after="0"/>
            </w:pPr>
            <w:r/>
            <w:r>
              <w:rPr>
                <w:rFonts w:ascii="Arial" w:hAnsi="Arial" w:eastAsia="Arial"/>
                <w:b/>
                <w:sz w:val="16"/>
              </w:rPr>
              <w:t>Тайлбар</w:t>
            </w:r>
          </w:p>
        </w:tc>
      </w:tr>
      <w:tr>
        <w:tc>
          <w:tcPr>
            <w:tcW w:type="dxa" w:w="504"/>
            <w:vAlign w:val="center"/>
          </w:tcPr>
          <w:p>
            <w:pPr>
              <w:spacing w:after="0"/>
            </w:pPr>
            <w:r/>
            <w:r>
              <w:rPr>
                <w:rFonts w:ascii="Arial" w:hAnsi="Arial" w:eastAsia="Arial"/>
                <w:b w:val="0"/>
                <w:sz w:val="16"/>
              </w:rPr>
            </w:r>
          </w:p>
        </w:tc>
        <w:tc>
          <w:tcPr>
            <w:tcW w:type="dxa" w:w="2016"/>
            <w:vAlign w:val="center"/>
          </w:tcPr>
          <w:p>
            <w:pPr>
              <w:spacing w:after="0"/>
            </w:pPr>
            <w:r/>
            <w:r>
              <w:rPr>
                <w:rFonts w:ascii="Arial" w:hAnsi="Arial" w:eastAsia="Arial"/>
                <w:b w:val="0"/>
                <w:sz w:val="16"/>
              </w:rPr>
            </w:r>
          </w:p>
        </w:tc>
        <w:tc>
          <w:tcPr>
            <w:tcW w:type="dxa" w:w="1440"/>
            <w:vAlign w:val="center"/>
          </w:tcPr>
          <w:p>
            <w:pPr>
              <w:spacing w:after="0"/>
            </w:pPr>
            <w:r/>
            <w:r>
              <w:rPr>
                <w:rFonts w:ascii="Arial" w:hAnsi="Arial" w:eastAsia="Arial"/>
                <w:b w:val="0"/>
                <w:sz w:val="16"/>
              </w:rPr>
            </w:r>
          </w:p>
        </w:tc>
        <w:tc>
          <w:tcPr>
            <w:tcW w:type="dxa" w:w="1584"/>
            <w:vAlign w:val="center"/>
          </w:tcPr>
          <w:p>
            <w:pPr>
              <w:spacing w:after="0"/>
            </w:pPr>
            <w:r/>
            <w:r>
              <w:rPr>
                <w:rFonts w:ascii="Arial" w:hAnsi="Arial" w:eastAsia="Arial"/>
                <w:b w:val="0"/>
                <w:sz w:val="16"/>
              </w:rPr>
            </w:r>
          </w:p>
        </w:tc>
        <w:tc>
          <w:tcPr>
            <w:tcW w:type="dxa" w:w="1080"/>
            <w:vAlign w:val="center"/>
          </w:tcPr>
          <w:p>
            <w:pPr>
              <w:spacing w:after="0"/>
            </w:pPr>
            <w:r/>
            <w:r>
              <w:rPr>
                <w:rFonts w:ascii="Arial" w:hAnsi="Arial" w:eastAsia="Arial"/>
                <w:b w:val="0"/>
                <w:sz w:val="16"/>
              </w:rPr>
            </w:r>
          </w:p>
        </w:tc>
        <w:tc>
          <w:tcPr>
            <w:tcW w:type="dxa" w:w="1656"/>
            <w:vAlign w:val="center"/>
          </w:tcPr>
          <w:p>
            <w:pPr>
              <w:spacing w:after="0"/>
            </w:pPr>
            <w:r/>
            <w:r>
              <w:rPr>
                <w:rFonts w:ascii="Arial" w:hAnsi="Arial" w:eastAsia="Arial"/>
                <w:b w:val="0"/>
                <w:sz w:val="16"/>
              </w:rPr>
            </w:r>
          </w:p>
        </w:tc>
        <w:tc>
          <w:tcPr>
            <w:tcW w:type="dxa" w:w="1296"/>
            <w:vAlign w:val="center"/>
          </w:tcPr>
          <w:p>
            <w:pPr>
              <w:spacing w:after="0"/>
            </w:pPr>
            <w:r/>
            <w:r>
              <w:rPr>
                <w:rFonts w:ascii="Arial" w:hAnsi="Arial" w:eastAsia="Arial"/>
                <w:b w:val="0"/>
                <w:sz w:val="16"/>
              </w:rPr>
            </w:r>
          </w:p>
        </w:tc>
        <w:tc>
          <w:tcPr>
            <w:tcW w:type="dxa" w:w="1728"/>
            <w:vAlign w:val="center"/>
          </w:tcPr>
          <w:p>
            <w:pPr>
              <w:spacing w:after="0"/>
            </w:pPr>
            <w:r/>
            <w:r>
              <w:rPr>
                <w:rFonts w:ascii="Arial" w:hAnsi="Arial" w:eastAsia="Arial"/>
                <w:b w:val="0"/>
                <w:sz w:val="16"/>
              </w:rPr>
            </w:r>
          </w:p>
        </w:tc>
      </w:tr>
    </w:tbl>
    <w:p/>
    <w:p>
      <w:pPr>
        <w:spacing w:after="60"/>
      </w:pPr>
      <w:r>
        <w:rPr>
          <w:b/>
        </w:rPr>
        <w:t>Заавал шалгах зүйл:</w:t>
      </w:r>
    </w:p>
    <w:p>
      <w:pPr>
        <w:pStyle w:val="ListBullet"/>
        <w:spacing w:after="20"/>
      </w:pPr>
      <w:r>
        <w:t>Файл duplicate эсэх</w:t>
      </w:r>
    </w:p>
    <w:p>
      <w:pPr>
        <w:pStyle w:val="ListBullet"/>
        <w:spacing w:after="20"/>
      </w:pPr>
      <w:r>
        <w:t>Coordinate system зөв эсэх</w:t>
      </w:r>
    </w:p>
    <w:p>
      <w:pPr>
        <w:pStyle w:val="ListBullet"/>
        <w:spacing w:after="20"/>
      </w:pPr>
      <w:r>
        <w:t>Файл эвдэрсэн эсэх</w:t>
      </w:r>
    </w:p>
    <w:p>
      <w:pPr>
        <w:pStyle w:val="ListBullet"/>
        <w:spacing w:after="20"/>
      </w:pPr>
      <w:r>
        <w:t>Attribute table бүрэн эсэх</w:t>
      </w:r>
    </w:p>
    <w:p>
      <w:pPr>
        <w:pStyle w:val="ListBullet"/>
        <w:spacing w:after="20"/>
      </w:pPr>
      <w:r>
        <w:t>Source filename тодорхой эсэх</w:t>
      </w:r>
    </w:p>
    <w:p>
      <w:pPr>
        <w:pStyle w:val="ListBullet"/>
        <w:spacing w:after="20"/>
      </w:pPr>
      <w:r>
        <w:t>Raw input filename Section 1-тэй таарч байгаа эсэх</w:t>
      </w:r>
    </w:p>
    <w:p>
      <w:pPr>
        <w:spacing w:after="60"/>
      </w:pPr>
      <w:r>
        <w:rPr>
          <w:b w:val="0"/>
        </w:rPr>
        <w:t>Анхаарах зүйл: Final target sheet бүр дээр “generic source” бичиж болохгүй. Заавал яг эх файлын нэрийг иш татна.</w:t>
      </w:r>
    </w:p>
    <w:p>
      <w:pPr>
        <w:spacing w:after="60"/>
      </w:pPr>
      <w:r>
        <w:rPr>
          <w:b/>
        </w:rPr>
        <w:t>Буруу жишээ:</w:t>
      </w:r>
    </w:p>
    <w:p>
      <w:pPr>
        <w:pStyle w:val="CodeBlock"/>
      </w:pPr>
      <w:r>
        <w:t>Source: Geochemistry data</w:t>
      </w:r>
    </w:p>
    <w:p>
      <w:pPr>
        <w:spacing w:after="60"/>
      </w:pPr>
      <w:r>
        <w:rPr>
          <w:b/>
        </w:rPr>
        <w:t>Зөв жишээ:</w:t>
      </w:r>
    </w:p>
    <w:p>
      <w:pPr>
        <w:pStyle w:val="CodeBlock"/>
      </w:pPr>
      <w:r>
        <w:t>Source: XV-023222_Buduunkhad_RockChip_Assay_Result_2026_v01.xlsx</w:t>
      </w:r>
    </w:p>
    <w:p>
      <w:pPr>
        <w:pStyle w:val="Heading2"/>
      </w:pPr>
      <w:r>
        <w:t>Алхам 2. Coordinate system шалгах</w:t>
      </w:r>
    </w:p>
    <w:p>
      <w:pPr>
        <w:spacing w:after="60"/>
      </w:pPr>
      <w:r>
        <w:rPr>
          <w:b w:val="0"/>
        </w:rPr>
        <w:t>Бүх GIS layer-ийг нэг coordinate system-д оруулна.</w:t>
      </w:r>
    </w:p>
    <w:p>
      <w:pPr>
        <w:spacing w:after="60"/>
      </w:pPr>
      <w:r>
        <w:rPr>
          <w:b/>
        </w:rPr>
        <w:t>Шалгах зүйл:</w:t>
      </w:r>
    </w:p>
    <w:p>
      <w:pPr>
        <w:pStyle w:val="ListBullet"/>
        <w:spacing w:after="20"/>
      </w:pPr>
      <w:r>
        <w:t>Layer бүрийн CRS</w:t>
      </w:r>
    </w:p>
    <w:p>
      <w:pPr>
        <w:pStyle w:val="ListBullet"/>
        <w:spacing w:after="20"/>
      </w:pPr>
      <w:r>
        <w:t>UTM zone</w:t>
      </w:r>
    </w:p>
    <w:p>
      <w:pPr>
        <w:pStyle w:val="ListBullet"/>
        <w:spacing w:after="20"/>
      </w:pPr>
      <w:r>
        <w:t>Datum</w:t>
      </w:r>
    </w:p>
    <w:p>
      <w:pPr>
        <w:pStyle w:val="ListBullet"/>
        <w:spacing w:after="20"/>
      </w:pPr>
      <w:r>
        <w:t>EPSG code</w:t>
      </w:r>
    </w:p>
    <w:p>
      <w:pPr>
        <w:pStyle w:val="ListBullet"/>
        <w:spacing w:after="20"/>
      </w:pPr>
      <w:r>
        <w:t>Coordinate shift байгаа эсэх</w:t>
      </w:r>
    </w:p>
    <w:p>
      <w:pPr>
        <w:pStyle w:val="ListBullet"/>
        <w:spacing w:after="20"/>
      </w:pPr>
      <w:r>
        <w:t>Sample point зурагтай давхцаж байгаа эсэх</w:t>
      </w:r>
    </w:p>
    <w:p>
      <w:pPr>
        <w:spacing w:after="60"/>
      </w:pPr>
      <w:r>
        <w:rPr>
          <w:b w:val="0"/>
        </w:rPr>
        <w:t>Хэрэв Монголын талбай UTM ашиглаж байгаа бол тухайн талбайн уртрагаас хамаарч UTM zone зөв эсэхийг шалгана.</w:t>
      </w:r>
    </w:p>
    <w:p>
      <w:pPr>
        <w:spacing w:after="60"/>
      </w:pPr>
      <w:r>
        <w:rPr>
          <w:b/>
        </w:rPr>
        <w:t>QGIS дээр хийх:</w:t>
      </w:r>
    </w:p>
    <w:p>
      <w:pPr>
        <w:pStyle w:val="ListNumber"/>
        <w:spacing w:after="20"/>
      </w:pPr>
      <w:r>
        <w:t>QGIS нээнэ.</w:t>
      </w:r>
    </w:p>
    <w:p>
      <w:pPr>
        <w:pStyle w:val="ListNumber"/>
        <w:spacing w:after="20"/>
      </w:pPr>
      <w:r>
        <w:t>Project CRS-ийг тохируулна.</w:t>
      </w:r>
    </w:p>
    <w:p>
      <w:pPr>
        <w:pStyle w:val="ListNumber"/>
        <w:spacing w:after="20"/>
      </w:pPr>
      <w:r>
        <w:t>Layer бүрийн Properties → Information → CRS шалгана.</w:t>
      </w:r>
    </w:p>
    <w:p>
      <w:pPr>
        <w:pStyle w:val="ListNumber"/>
        <w:spacing w:after="20"/>
      </w:pPr>
      <w:r>
        <w:t>Зөрүүтэй layer байвал Reproject Layer хийнэ.</w:t>
      </w:r>
    </w:p>
    <w:p>
      <w:pPr>
        <w:pStyle w:val="ListNumber"/>
        <w:spacing w:after="20"/>
      </w:pPr>
      <w:r>
        <w:t>Бүх layer-ийг нэг CRS-д хадгална.</w:t>
      </w:r>
    </w:p>
    <w:p>
      <w:pPr>
        <w:pStyle w:val="ListNumber"/>
        <w:spacing w:after="20"/>
      </w:pPr>
      <w:r>
        <w:t>Map дээр sample point, geology boundary, satellite image хооронд shift байгаа эсэхийг шалгана.</w:t>
      </w:r>
    </w:p>
    <w:p>
      <w:pPr>
        <w:pStyle w:val="Heading2"/>
      </w:pPr>
      <w:r>
        <w:t>Алхам 3. Assay QA/QC шалгах</w:t>
      </w:r>
    </w:p>
    <w:p>
      <w:pPr>
        <w:spacing w:after="60"/>
      </w:pPr>
      <w:r>
        <w:rPr>
          <w:b w:val="0"/>
        </w:rPr>
        <w:t>Энэ алхам нь target ranking хийхээс өмнө заавал дууссан байх ёстой.</w:t>
      </w:r>
    </w:p>
    <w:p>
      <w:pPr>
        <w:pStyle w:val="Heading3"/>
      </w:pPr>
      <w:r>
        <w:t>3.1 Duplicate check</w:t>
      </w:r>
    </w:p>
    <w:p>
      <w:pPr>
        <w:spacing w:after="60"/>
      </w:pPr>
      <w:r>
        <w:rPr>
          <w:b w:val="0"/>
        </w:rPr>
        <w:t>Duplicate sample-ийн үр дүн original sample-тай ойролцоо байгаа эсэхийг шалгана.</w:t>
      </w:r>
    </w:p>
    <w:p>
      <w:pPr>
        <w:spacing w:after="60"/>
      </w:pPr>
      <w:r>
        <w:rPr>
          <w:b/>
        </w:rPr>
        <w:t>Шалгах үзүүлэлт:</w:t>
      </w:r>
    </w:p>
    <w:p>
      <w:pPr>
        <w:pStyle w:val="ListBullet"/>
        <w:spacing w:after="20"/>
      </w:pPr>
      <w:r>
        <w:t>Cu</w:t>
      </w:r>
    </w:p>
    <w:p>
      <w:pPr>
        <w:pStyle w:val="ListBullet"/>
        <w:spacing w:after="20"/>
      </w:pPr>
      <w:r>
        <w:t>Au</w:t>
      </w:r>
    </w:p>
    <w:p>
      <w:pPr>
        <w:pStyle w:val="ListBullet"/>
        <w:spacing w:after="20"/>
      </w:pPr>
      <w:r>
        <w:t>Ag</w:t>
      </w:r>
    </w:p>
    <w:p>
      <w:pPr>
        <w:pStyle w:val="ListBullet"/>
        <w:spacing w:after="20"/>
      </w:pPr>
      <w:r>
        <w:t>Pb</w:t>
      </w:r>
    </w:p>
    <w:p>
      <w:pPr>
        <w:pStyle w:val="ListBullet"/>
        <w:spacing w:after="20"/>
      </w:pPr>
      <w:r>
        <w:t>Zn</w:t>
      </w:r>
    </w:p>
    <w:p>
      <w:pPr>
        <w:pStyle w:val="ListBullet"/>
        <w:spacing w:after="20"/>
      </w:pPr>
      <w:r>
        <w:t>Mo</w:t>
      </w:r>
    </w:p>
    <w:p>
      <w:pPr>
        <w:pStyle w:val="ListBullet"/>
        <w:spacing w:after="20"/>
      </w:pPr>
      <w:r>
        <w:t>As</w:t>
      </w:r>
    </w:p>
    <w:p>
      <w:pPr>
        <w:pStyle w:val="ListBullet"/>
        <w:spacing w:after="20"/>
      </w:pPr>
      <w:r>
        <w:t>Sb</w:t>
      </w:r>
    </w:p>
    <w:p>
      <w:pPr>
        <w:pStyle w:val="ListBullet"/>
        <w:spacing w:after="20"/>
      </w:pPr>
      <w:r>
        <w:t>Ni</w:t>
      </w:r>
    </w:p>
    <w:p>
      <w:pPr>
        <w:pStyle w:val="ListBullet"/>
        <w:spacing w:after="20"/>
      </w:pPr>
      <w:r>
        <w:t>Co</w:t>
      </w:r>
    </w:p>
    <w:p>
      <w:pPr>
        <w:spacing w:after="60"/>
      </w:pPr>
      <w:r>
        <w:rPr>
          <w:b/>
        </w:rPr>
        <w:t>Үнэлгээ:</w:t>
      </w:r>
    </w:p>
    <w:tbl>
      <w:tblPr>
        <w:tblStyle w:val="TableGrid"/>
        <w:tblW w:type="auto" w:w="0"/>
        <w:jc w:val="center"/>
        <w:tblLook w:firstColumn="1" w:firstRow="1" w:lastColumn="0" w:lastRow="0" w:noHBand="0" w:noVBand="1" w:val="04A0"/>
      </w:tblPr>
      <w:tblGrid>
        <w:gridCol w:w="5184"/>
        <w:gridCol w:w="5184"/>
      </w:tblGrid>
      <w:tr>
        <w:tc>
          <w:tcPr>
            <w:tcW w:type="dxa" w:w="1728"/>
            <w:vAlign w:val="center"/>
            <w:shd w:fill="D9EAF7"/>
          </w:tcPr>
          <w:p>
            <w:pPr>
              <w:spacing w:after="0"/>
            </w:pPr>
            <w:r/>
            <w:r>
              <w:rPr>
                <w:rFonts w:ascii="Arial" w:hAnsi="Arial" w:eastAsia="Arial"/>
                <w:b/>
                <w:sz w:val="16"/>
              </w:rPr>
              <w:t>Зөрүү</w:t>
            </w:r>
          </w:p>
        </w:tc>
        <w:tc>
          <w:tcPr>
            <w:tcW w:type="dxa" w:w="6912"/>
            <w:vAlign w:val="center"/>
            <w:shd w:fill="D9EAF7"/>
          </w:tcPr>
          <w:p>
            <w:pPr>
              <w:spacing w:after="0"/>
            </w:pPr>
            <w:r/>
            <w:r>
              <w:rPr>
                <w:rFonts w:ascii="Arial" w:hAnsi="Arial" w:eastAsia="Arial"/>
                <w:b/>
                <w:sz w:val="16"/>
              </w:rPr>
              <w:t>Үнэлгээ</w:t>
            </w:r>
          </w:p>
        </w:tc>
      </w:tr>
      <w:tr>
        <w:tc>
          <w:tcPr>
            <w:tcW w:type="dxa" w:w="1728"/>
            <w:vAlign w:val="center"/>
          </w:tcPr>
          <w:p>
            <w:pPr>
              <w:spacing w:after="0"/>
            </w:pPr>
            <w:r/>
            <w:r>
              <w:rPr>
                <w:rFonts w:ascii="Arial" w:hAnsi="Arial" w:eastAsia="Arial"/>
                <w:b w:val="0"/>
                <w:sz w:val="16"/>
              </w:rPr>
              <w:t>0–10%</w:t>
            </w:r>
          </w:p>
        </w:tc>
        <w:tc>
          <w:tcPr>
            <w:tcW w:type="dxa" w:w="6912"/>
            <w:vAlign w:val="center"/>
          </w:tcPr>
          <w:p>
            <w:pPr>
              <w:spacing w:after="0"/>
            </w:pPr>
            <w:r/>
            <w:r>
              <w:rPr>
                <w:rFonts w:ascii="Arial" w:hAnsi="Arial" w:eastAsia="Arial"/>
                <w:b w:val="0"/>
                <w:sz w:val="16"/>
              </w:rPr>
              <w:t>Маш сайн</w:t>
            </w:r>
          </w:p>
        </w:tc>
      </w:tr>
      <w:tr>
        <w:tc>
          <w:tcPr>
            <w:tcW w:type="dxa" w:w="1728"/>
            <w:vAlign w:val="center"/>
          </w:tcPr>
          <w:p>
            <w:pPr>
              <w:spacing w:after="0"/>
            </w:pPr>
            <w:r/>
            <w:r>
              <w:rPr>
                <w:rFonts w:ascii="Arial" w:hAnsi="Arial" w:eastAsia="Arial"/>
                <w:b w:val="0"/>
                <w:sz w:val="16"/>
              </w:rPr>
              <w:t>10–20%</w:t>
            </w:r>
          </w:p>
        </w:tc>
        <w:tc>
          <w:tcPr>
            <w:tcW w:type="dxa" w:w="6912"/>
            <w:vAlign w:val="center"/>
          </w:tcPr>
          <w:p>
            <w:pPr>
              <w:spacing w:after="0"/>
            </w:pPr>
            <w:r/>
            <w:r>
              <w:rPr>
                <w:rFonts w:ascii="Arial" w:hAnsi="Arial" w:eastAsia="Arial"/>
                <w:b w:val="0"/>
                <w:sz w:val="16"/>
              </w:rPr>
              <w:t>Зөвшөөрөх боломжтой</w:t>
            </w:r>
          </w:p>
        </w:tc>
      </w:tr>
      <w:tr>
        <w:tc>
          <w:tcPr>
            <w:tcW w:type="dxa" w:w="1728"/>
            <w:vAlign w:val="center"/>
          </w:tcPr>
          <w:p>
            <w:pPr>
              <w:spacing w:after="0"/>
            </w:pPr>
            <w:r/>
            <w:r>
              <w:rPr>
                <w:rFonts w:ascii="Arial" w:hAnsi="Arial" w:eastAsia="Arial"/>
                <w:b w:val="0"/>
                <w:sz w:val="16"/>
              </w:rPr>
              <w:t>20–30%</w:t>
            </w:r>
          </w:p>
        </w:tc>
        <w:tc>
          <w:tcPr>
            <w:tcW w:type="dxa" w:w="6912"/>
            <w:vAlign w:val="center"/>
          </w:tcPr>
          <w:p>
            <w:pPr>
              <w:spacing w:after="0"/>
            </w:pPr>
            <w:r/>
            <w:r>
              <w:rPr>
                <w:rFonts w:ascii="Arial" w:hAnsi="Arial" w:eastAsia="Arial"/>
                <w:b w:val="0"/>
                <w:sz w:val="16"/>
              </w:rPr>
              <w:t>Анхаарах шаардлагатай</w:t>
            </w:r>
          </w:p>
        </w:tc>
      </w:tr>
      <w:tr>
        <w:tc>
          <w:tcPr>
            <w:tcW w:type="dxa" w:w="1728"/>
            <w:vAlign w:val="center"/>
          </w:tcPr>
          <w:p>
            <w:pPr>
              <w:spacing w:after="0"/>
            </w:pPr>
            <w:r/>
            <w:r>
              <w:rPr>
                <w:rFonts w:ascii="Arial" w:hAnsi="Arial" w:eastAsia="Arial"/>
                <w:b w:val="0"/>
                <w:sz w:val="16"/>
              </w:rPr>
              <w:t>&gt;30%</w:t>
            </w:r>
          </w:p>
        </w:tc>
        <w:tc>
          <w:tcPr>
            <w:tcW w:type="dxa" w:w="6912"/>
            <w:vAlign w:val="center"/>
          </w:tcPr>
          <w:p>
            <w:pPr>
              <w:spacing w:after="0"/>
            </w:pPr>
            <w:r/>
            <w:r>
              <w:rPr>
                <w:rFonts w:ascii="Arial" w:hAnsi="Arial" w:eastAsia="Arial"/>
                <w:b w:val="0"/>
                <w:sz w:val="16"/>
              </w:rPr>
              <w:t>Дахин шалгах шаардлагатай</w:t>
            </w:r>
          </w:p>
        </w:tc>
      </w:tr>
    </w:tbl>
    <w:p/>
    <w:p>
      <w:pPr>
        <w:pStyle w:val="Heading3"/>
      </w:pPr>
      <w:r>
        <w:t>3.2 Blank check</w:t>
      </w:r>
    </w:p>
    <w:p>
      <w:pPr>
        <w:spacing w:after="60"/>
      </w:pPr>
      <w:r>
        <w:rPr>
          <w:b w:val="0"/>
        </w:rPr>
        <w:t>Blank sample дээр high value гарсан эсэхийг шалгана.</w:t>
      </w:r>
    </w:p>
    <w:p>
      <w:pPr>
        <w:spacing w:after="60"/>
      </w:pPr>
      <w:r>
        <w:rPr>
          <w:b w:val="0"/>
        </w:rPr>
        <w:t>Хэрэв blank дээр Cu, Au, Pb, Zn зэрэг элементүүд өндөр гарвал:</w:t>
      </w:r>
    </w:p>
    <w:p>
      <w:pPr>
        <w:pStyle w:val="ListBullet"/>
        <w:spacing w:after="20"/>
      </w:pPr>
      <w:r>
        <w:t>Contamination байж болзошгүй</w:t>
      </w:r>
    </w:p>
    <w:p>
      <w:pPr>
        <w:pStyle w:val="ListBullet"/>
        <w:spacing w:after="20"/>
      </w:pPr>
      <w:r>
        <w:t>Sample preparation алдаа байж болзошгүй</w:t>
      </w:r>
    </w:p>
    <w:p>
      <w:pPr>
        <w:pStyle w:val="ListBullet"/>
        <w:spacing w:after="20"/>
      </w:pPr>
      <w:r>
        <w:t>Lab batch дахин шалгах шаардлагатай</w:t>
      </w:r>
    </w:p>
    <w:p>
      <w:pPr>
        <w:pStyle w:val="Heading3"/>
      </w:pPr>
      <w:r>
        <w:t>3.3 CRM check</w:t>
      </w:r>
    </w:p>
    <w:p>
      <w:pPr>
        <w:spacing w:after="60"/>
      </w:pPr>
      <w:r>
        <w:rPr>
          <w:b w:val="0"/>
        </w:rPr>
        <w:t>CRM result нь certified value-тэй нийцэж байгаа эсэхийг шалгана.</w:t>
      </w:r>
    </w:p>
    <w:p>
      <w:pPr>
        <w:spacing w:after="60"/>
      </w:pPr>
      <w:r>
        <w:rPr>
          <w:b w:val="0"/>
        </w:rPr>
        <w:t>Хэрэв CRM deviation өндөр бол:</w:t>
      </w:r>
    </w:p>
    <w:p>
      <w:pPr>
        <w:pStyle w:val="ListBullet"/>
        <w:spacing w:after="20"/>
      </w:pPr>
      <w:r>
        <w:t>Тухайн batch-ийн assay result-ийг болгоомжтой ашиглана.</w:t>
      </w:r>
    </w:p>
    <w:p>
      <w:pPr>
        <w:pStyle w:val="ListBullet"/>
        <w:spacing w:after="20"/>
      </w:pPr>
      <w:r>
        <w:t>Lab-аас clarification авна.</w:t>
      </w:r>
    </w:p>
    <w:p>
      <w:pPr>
        <w:pStyle w:val="ListBullet"/>
        <w:spacing w:after="20"/>
      </w:pPr>
      <w:r>
        <w:t>Шаардлагатай бол re-assay санал болгоно.</w:t>
      </w:r>
    </w:p>
    <w:p>
      <w:pPr>
        <w:pStyle w:val="Heading3"/>
      </w:pPr>
      <w:r>
        <w:t>3.4 pXRF-lab correlation</w:t>
      </w:r>
    </w:p>
    <w:p>
      <w:pPr>
        <w:spacing w:after="60"/>
      </w:pPr>
      <w:r>
        <w:rPr>
          <w:b w:val="0"/>
        </w:rPr>
        <w:t>pXRF ба lab result-ийг element бүрээр scatter plot хийж харьцуулна.</w:t>
      </w:r>
    </w:p>
    <w:p>
      <w:pPr>
        <w:spacing w:after="60"/>
      </w:pPr>
      <w:r>
        <w:rPr>
          <w:b w:val="0"/>
        </w:rPr>
        <w:t>Хүчтэй correlation гарвал:</w:t>
      </w:r>
    </w:p>
    <w:p>
      <w:pPr>
        <w:pStyle w:val="ListBullet"/>
        <w:spacing w:after="20"/>
      </w:pPr>
      <w:r>
        <w:t>pXRF дата-г vector trend, anomaly support evidence болгон ашиглаж болно.</w:t>
      </w:r>
    </w:p>
    <w:p>
      <w:pPr>
        <w:spacing w:after="60"/>
      </w:pPr>
      <w:r>
        <w:rPr>
          <w:b w:val="0"/>
        </w:rPr>
        <w:t>Сул correlation гарвал:</w:t>
      </w:r>
    </w:p>
    <w:p>
      <w:pPr>
        <w:pStyle w:val="ListBullet"/>
        <w:spacing w:after="20"/>
      </w:pPr>
      <w:r>
        <w:t>pXRF-г зөвхөн field screening evidence гэж үзнэ.</w:t>
      </w:r>
    </w:p>
    <w:p>
      <w:pPr>
        <w:pStyle w:val="ListBullet"/>
        <w:spacing w:after="20"/>
      </w:pPr>
      <w:r>
        <w:t>Final ranking-д lab assay-г илүү өндөр жинтэй авна.</w:t>
      </w:r>
    </w:p>
    <w:p>
      <w:pPr>
        <w:pStyle w:val="Heading2"/>
      </w:pPr>
      <w:r>
        <w:t>Алхам 4. CMCS болон ойролцоох орд/илрэлийн мэдээлэл татах</w:t>
      </w:r>
    </w:p>
    <w:p>
      <w:pPr>
        <w:spacing w:after="60"/>
      </w:pPr>
      <w:r>
        <w:rPr>
          <w:b w:val="0"/>
        </w:rPr>
        <w:t>CMCS эх сурвалж ашиглана:</w:t>
      </w:r>
    </w:p>
    <w:p>
      <w:pPr>
        <w:pStyle w:val="CodeBlock"/>
      </w:pPr>
      <w:r>
        <w:t>https://cmcs.mrpam.gov.mn/cmcs#c=Map</w:t>
      </w:r>
    </w:p>
    <w:p>
      <w:pPr>
        <w:spacing w:after="60"/>
      </w:pPr>
      <w:r>
        <w:rPr>
          <w:b/>
        </w:rPr>
        <w:t>Хийх дараалал:</w:t>
      </w:r>
    </w:p>
    <w:p>
      <w:pPr>
        <w:pStyle w:val="ListNumber"/>
        <w:spacing w:after="20"/>
      </w:pPr>
      <w:r>
        <w:t>CMCS map нээнэ.</w:t>
      </w:r>
    </w:p>
    <w:p>
      <w:pPr>
        <w:pStyle w:val="ListNumber"/>
        <w:spacing w:after="20"/>
      </w:pPr>
      <w:r>
        <w:t>Талбайн лицензийн координат эсвэл төв цэгээр хайна.</w:t>
      </w:r>
    </w:p>
    <w:p>
      <w:pPr>
        <w:pStyle w:val="ListNumber"/>
        <w:spacing w:after="20"/>
      </w:pPr>
      <w:r>
        <w:t>Талбайн ойролцоо 5 км, 10 км, 25 км, 50 км radius buffer үүсгэж орд/илрэлүүдийг шалгана.</w:t>
      </w:r>
    </w:p>
    <w:p>
      <w:pPr>
        <w:pStyle w:val="ListNumber"/>
        <w:spacing w:after="20"/>
      </w:pPr>
      <w:r>
        <w:t>Илэрсэн орд/илрэл бүрийн мэдээллийг бүртгэнэ.</w:t>
      </w:r>
    </w:p>
    <w:p>
      <w:pPr>
        <w:pStyle w:val="ListNumber"/>
        <w:spacing w:after="20"/>
      </w:pPr>
      <w:r>
        <w:t>Commodity, deposit type, occurrence status, distance, geological setting-ийг тэмдэглэнэ.</w:t>
      </w:r>
    </w:p>
    <w:p>
      <w:pPr>
        <w:pStyle w:val="ListNumber"/>
        <w:spacing w:after="20"/>
      </w:pPr>
      <w:r>
        <w:t>Мэдээллийг GIS layer болгож хадгална.</w:t>
      </w:r>
    </w:p>
    <w:p>
      <w:pPr>
        <w:pStyle w:val="ListNumber"/>
        <w:spacing w:after="20"/>
      </w:pPr>
      <w:r>
        <w:t>Final map дээр nearby deposit/occurrence layer болгон оруулна.</w:t>
      </w:r>
    </w:p>
    <w:p>
      <w:pPr>
        <w:spacing w:after="60"/>
      </w:pPr>
      <w:r>
        <w:rPr>
          <w:b/>
        </w:rPr>
        <w:t>Бүртгэлийн хүснэгт:</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504"/>
            <w:vAlign w:val="center"/>
            <w:shd w:fill="D9EAF7"/>
          </w:tcPr>
          <w:p>
            <w:pPr>
              <w:spacing w:after="0"/>
            </w:pPr>
            <w:r/>
            <w:r>
              <w:rPr>
                <w:rFonts w:ascii="Arial" w:hAnsi="Arial" w:eastAsia="Arial"/>
                <w:b/>
                <w:sz w:val="16"/>
              </w:rPr>
              <w:t>№</w:t>
            </w:r>
          </w:p>
        </w:tc>
        <w:tc>
          <w:tcPr>
            <w:tcW w:type="dxa" w:w="1440"/>
            <w:vAlign w:val="center"/>
            <w:shd w:fill="D9EAF7"/>
          </w:tcPr>
          <w:p>
            <w:pPr>
              <w:spacing w:after="0"/>
            </w:pPr>
            <w:r/>
            <w:r>
              <w:rPr>
                <w:rFonts w:ascii="Arial" w:hAnsi="Arial" w:eastAsia="Arial"/>
                <w:b/>
                <w:sz w:val="16"/>
              </w:rPr>
              <w:t>Нэр</w:t>
            </w:r>
          </w:p>
        </w:tc>
        <w:tc>
          <w:tcPr>
            <w:tcW w:type="dxa" w:w="1152"/>
            <w:vAlign w:val="center"/>
            <w:shd w:fill="D9EAF7"/>
          </w:tcPr>
          <w:p>
            <w:pPr>
              <w:spacing w:after="0"/>
            </w:pPr>
            <w:r/>
            <w:r>
              <w:rPr>
                <w:rFonts w:ascii="Arial" w:hAnsi="Arial" w:eastAsia="Arial"/>
                <w:b/>
                <w:sz w:val="16"/>
              </w:rPr>
              <w:t>Төрөл</w:t>
            </w:r>
          </w:p>
        </w:tc>
        <w:tc>
          <w:tcPr>
            <w:tcW w:type="dxa" w:w="1296"/>
            <w:vAlign w:val="center"/>
            <w:shd w:fill="D9EAF7"/>
          </w:tcPr>
          <w:p>
            <w:pPr>
              <w:spacing w:after="0"/>
            </w:pPr>
            <w:r/>
            <w:r>
              <w:rPr>
                <w:rFonts w:ascii="Arial" w:hAnsi="Arial" w:eastAsia="Arial"/>
                <w:b/>
                <w:sz w:val="16"/>
              </w:rPr>
              <w:t>Commodity</w:t>
            </w:r>
          </w:p>
        </w:tc>
        <w:tc>
          <w:tcPr>
            <w:tcW w:type="dxa" w:w="1584"/>
            <w:vAlign w:val="center"/>
            <w:shd w:fill="D9EAF7"/>
          </w:tcPr>
          <w:p>
            <w:pPr>
              <w:spacing w:after="0"/>
            </w:pPr>
            <w:r/>
            <w:r>
              <w:rPr>
                <w:rFonts w:ascii="Arial" w:hAnsi="Arial" w:eastAsia="Arial"/>
                <w:b/>
                <w:sz w:val="16"/>
              </w:rPr>
              <w:t>Distance from license</w:t>
            </w:r>
          </w:p>
        </w:tc>
        <w:tc>
          <w:tcPr>
            <w:tcW w:type="dxa" w:w="2016"/>
            <w:vAlign w:val="center"/>
            <w:shd w:fill="D9EAF7"/>
          </w:tcPr>
          <w:p>
            <w:pPr>
              <w:spacing w:after="0"/>
            </w:pPr>
            <w:r/>
            <w:r>
              <w:rPr>
                <w:rFonts w:ascii="Arial" w:hAnsi="Arial" w:eastAsia="Arial"/>
                <w:b/>
                <w:sz w:val="16"/>
              </w:rPr>
              <w:t>Geological relation</w:t>
            </w:r>
          </w:p>
        </w:tc>
        <w:tc>
          <w:tcPr>
            <w:tcW w:type="dxa" w:w="1152"/>
            <w:vAlign w:val="center"/>
            <w:shd w:fill="D9EAF7"/>
          </w:tcPr>
          <w:p>
            <w:pPr>
              <w:spacing w:after="0"/>
            </w:pPr>
            <w:r/>
            <w:r>
              <w:rPr>
                <w:rFonts w:ascii="Arial" w:hAnsi="Arial" w:eastAsia="Arial"/>
                <w:b/>
                <w:sz w:val="16"/>
              </w:rPr>
              <w:t>Source</w:t>
            </w:r>
          </w:p>
        </w:tc>
        <w:tc>
          <w:tcPr>
            <w:tcW w:type="dxa" w:w="1584"/>
            <w:vAlign w:val="center"/>
            <w:shd w:fill="D9EAF7"/>
          </w:tcPr>
          <w:p>
            <w:pPr>
              <w:spacing w:after="0"/>
            </w:pPr>
            <w:r/>
            <w:r>
              <w:rPr>
                <w:rFonts w:ascii="Arial" w:hAnsi="Arial" w:eastAsia="Arial"/>
                <w:b/>
                <w:sz w:val="16"/>
              </w:rPr>
              <w:t>Target relevance</w:t>
            </w:r>
          </w:p>
        </w:tc>
      </w:tr>
      <w:tr>
        <w:tc>
          <w:tcPr>
            <w:tcW w:type="dxa" w:w="504"/>
            <w:vAlign w:val="center"/>
          </w:tcPr>
          <w:p>
            <w:pPr>
              <w:spacing w:after="0"/>
            </w:pPr>
            <w:r/>
            <w:r>
              <w:rPr>
                <w:rFonts w:ascii="Arial" w:hAnsi="Arial" w:eastAsia="Arial"/>
                <w:b w:val="0"/>
                <w:sz w:val="16"/>
              </w:rPr>
            </w:r>
          </w:p>
        </w:tc>
        <w:tc>
          <w:tcPr>
            <w:tcW w:type="dxa" w:w="1440"/>
            <w:vAlign w:val="center"/>
          </w:tcPr>
          <w:p>
            <w:pPr>
              <w:spacing w:after="0"/>
            </w:pPr>
            <w:r/>
            <w:r>
              <w:rPr>
                <w:rFonts w:ascii="Arial" w:hAnsi="Arial" w:eastAsia="Arial"/>
                <w:b w:val="0"/>
                <w:sz w:val="16"/>
              </w:rPr>
            </w:r>
          </w:p>
        </w:tc>
        <w:tc>
          <w:tcPr>
            <w:tcW w:type="dxa" w:w="1152"/>
            <w:vAlign w:val="center"/>
          </w:tcPr>
          <w:p>
            <w:pPr>
              <w:spacing w:after="0"/>
            </w:pPr>
            <w:r/>
            <w:r>
              <w:rPr>
                <w:rFonts w:ascii="Arial" w:hAnsi="Arial" w:eastAsia="Arial"/>
                <w:b w:val="0"/>
                <w:sz w:val="16"/>
              </w:rPr>
            </w:r>
          </w:p>
        </w:tc>
        <w:tc>
          <w:tcPr>
            <w:tcW w:type="dxa" w:w="1296"/>
            <w:vAlign w:val="center"/>
          </w:tcPr>
          <w:p>
            <w:pPr>
              <w:spacing w:after="0"/>
            </w:pPr>
            <w:r/>
            <w:r>
              <w:rPr>
                <w:rFonts w:ascii="Arial" w:hAnsi="Arial" w:eastAsia="Arial"/>
                <w:b w:val="0"/>
                <w:sz w:val="16"/>
              </w:rPr>
            </w:r>
          </w:p>
        </w:tc>
        <w:tc>
          <w:tcPr>
            <w:tcW w:type="dxa" w:w="1584"/>
            <w:vAlign w:val="center"/>
          </w:tcPr>
          <w:p>
            <w:pPr>
              <w:spacing w:after="0"/>
            </w:pPr>
            <w:r/>
            <w:r>
              <w:rPr>
                <w:rFonts w:ascii="Arial" w:hAnsi="Arial" w:eastAsia="Arial"/>
                <w:b w:val="0"/>
                <w:sz w:val="16"/>
              </w:rPr>
            </w:r>
          </w:p>
        </w:tc>
        <w:tc>
          <w:tcPr>
            <w:tcW w:type="dxa" w:w="2016"/>
            <w:vAlign w:val="center"/>
          </w:tcPr>
          <w:p>
            <w:pPr>
              <w:spacing w:after="0"/>
            </w:pPr>
            <w:r/>
            <w:r>
              <w:rPr>
                <w:rFonts w:ascii="Arial" w:hAnsi="Arial" w:eastAsia="Arial"/>
                <w:b w:val="0"/>
                <w:sz w:val="16"/>
              </w:rPr>
            </w:r>
          </w:p>
        </w:tc>
        <w:tc>
          <w:tcPr>
            <w:tcW w:type="dxa" w:w="1152"/>
            <w:vAlign w:val="center"/>
          </w:tcPr>
          <w:p>
            <w:pPr>
              <w:spacing w:after="0"/>
            </w:pPr>
            <w:r/>
            <w:r>
              <w:rPr>
                <w:rFonts w:ascii="Arial" w:hAnsi="Arial" w:eastAsia="Arial"/>
                <w:b w:val="0"/>
                <w:sz w:val="16"/>
              </w:rPr>
            </w:r>
          </w:p>
        </w:tc>
        <w:tc>
          <w:tcPr>
            <w:tcW w:type="dxa" w:w="1584"/>
            <w:vAlign w:val="center"/>
          </w:tcPr>
          <w:p>
            <w:pPr>
              <w:spacing w:after="0"/>
            </w:pPr>
            <w:r/>
            <w:r>
              <w:rPr>
                <w:rFonts w:ascii="Arial" w:hAnsi="Arial" w:eastAsia="Arial"/>
                <w:b w:val="0"/>
                <w:sz w:val="16"/>
              </w:rPr>
            </w:r>
          </w:p>
        </w:tc>
      </w:tr>
    </w:tbl>
    <w:p/>
    <w:p>
      <w:pPr>
        <w:spacing w:after="60"/>
      </w:pPr>
      <w:r>
        <w:rPr>
          <w:b/>
        </w:rPr>
        <w:t>Target relevance үнэлгээ:</w:t>
      </w:r>
    </w:p>
    <w:tbl>
      <w:tblPr>
        <w:tblStyle w:val="TableGrid"/>
        <w:tblW w:type="auto" w:w="0"/>
        <w:jc w:val="center"/>
        <w:tblLook w:firstColumn="1" w:firstRow="1" w:lastColumn="0" w:lastRow="0" w:noHBand="0" w:noVBand="1" w:val="04A0"/>
      </w:tblPr>
      <w:tblGrid>
        <w:gridCol w:w="5184"/>
        <w:gridCol w:w="5184"/>
      </w:tblGrid>
      <w:tr>
        <w:tc>
          <w:tcPr>
            <w:tcW w:type="dxa" w:w="1728"/>
            <w:vAlign w:val="center"/>
            <w:shd w:fill="D9EAF7"/>
          </w:tcPr>
          <w:p>
            <w:pPr>
              <w:spacing w:after="0"/>
            </w:pPr>
            <w:r/>
            <w:r>
              <w:rPr>
                <w:rFonts w:ascii="Arial" w:hAnsi="Arial" w:eastAsia="Arial"/>
                <w:b/>
                <w:sz w:val="16"/>
              </w:rPr>
              <w:t>Үнэлгээ</w:t>
            </w:r>
          </w:p>
        </w:tc>
        <w:tc>
          <w:tcPr>
            <w:tcW w:type="dxa" w:w="7632"/>
            <w:vAlign w:val="center"/>
            <w:shd w:fill="D9EAF7"/>
          </w:tcPr>
          <w:p>
            <w:pPr>
              <w:spacing w:after="0"/>
            </w:pPr>
            <w:r/>
            <w:r>
              <w:rPr>
                <w:rFonts w:ascii="Arial" w:hAnsi="Arial" w:eastAsia="Arial"/>
                <w:b/>
                <w:sz w:val="16"/>
              </w:rPr>
              <w:t>Тайлбар</w:t>
            </w:r>
          </w:p>
        </w:tc>
      </w:tr>
      <w:tr>
        <w:tc>
          <w:tcPr>
            <w:tcW w:type="dxa" w:w="1728"/>
            <w:vAlign w:val="center"/>
          </w:tcPr>
          <w:p>
            <w:pPr>
              <w:spacing w:after="0"/>
            </w:pPr>
            <w:r/>
            <w:r>
              <w:rPr>
                <w:rFonts w:ascii="Arial" w:hAnsi="Arial" w:eastAsia="Arial"/>
                <w:b w:val="0"/>
                <w:sz w:val="16"/>
              </w:rPr>
              <w:t>High</w:t>
            </w:r>
          </w:p>
        </w:tc>
        <w:tc>
          <w:tcPr>
            <w:tcW w:type="dxa" w:w="7632"/>
            <w:vAlign w:val="center"/>
          </w:tcPr>
          <w:p>
            <w:pPr>
              <w:spacing w:after="0"/>
            </w:pPr>
            <w:r/>
            <w:r>
              <w:rPr>
                <w:rFonts w:ascii="Arial" w:hAnsi="Arial" w:eastAsia="Arial"/>
                <w:b w:val="0"/>
                <w:sz w:val="16"/>
              </w:rPr>
              <w:t>Нэг structural trend, нэг lithological belt, ижил commodity</w:t>
            </w:r>
          </w:p>
        </w:tc>
      </w:tr>
      <w:tr>
        <w:tc>
          <w:tcPr>
            <w:tcW w:type="dxa" w:w="1728"/>
            <w:vAlign w:val="center"/>
          </w:tcPr>
          <w:p>
            <w:pPr>
              <w:spacing w:after="0"/>
            </w:pPr>
            <w:r/>
            <w:r>
              <w:rPr>
                <w:rFonts w:ascii="Arial" w:hAnsi="Arial" w:eastAsia="Arial"/>
                <w:b w:val="0"/>
                <w:sz w:val="16"/>
              </w:rPr>
              <w:t>Medium</w:t>
            </w:r>
          </w:p>
        </w:tc>
        <w:tc>
          <w:tcPr>
            <w:tcW w:type="dxa" w:w="7632"/>
            <w:vAlign w:val="center"/>
          </w:tcPr>
          <w:p>
            <w:pPr>
              <w:spacing w:after="0"/>
            </w:pPr>
            <w:r/>
            <w:r>
              <w:rPr>
                <w:rFonts w:ascii="Arial" w:hAnsi="Arial" w:eastAsia="Arial"/>
                <w:b w:val="0"/>
                <w:sz w:val="16"/>
              </w:rPr>
              <w:t>Ойролцоо байрлалтай боловч geological relation дунд зэрэг</w:t>
            </w:r>
          </w:p>
        </w:tc>
      </w:tr>
      <w:tr>
        <w:tc>
          <w:tcPr>
            <w:tcW w:type="dxa" w:w="1728"/>
            <w:vAlign w:val="center"/>
          </w:tcPr>
          <w:p>
            <w:pPr>
              <w:spacing w:after="0"/>
            </w:pPr>
            <w:r/>
            <w:r>
              <w:rPr>
                <w:rFonts w:ascii="Arial" w:hAnsi="Arial" w:eastAsia="Arial"/>
                <w:b w:val="0"/>
                <w:sz w:val="16"/>
              </w:rPr>
              <w:t>Low</w:t>
            </w:r>
          </w:p>
        </w:tc>
        <w:tc>
          <w:tcPr>
            <w:tcW w:type="dxa" w:w="7632"/>
            <w:vAlign w:val="center"/>
          </w:tcPr>
          <w:p>
            <w:pPr>
              <w:spacing w:after="0"/>
            </w:pPr>
            <w:r/>
            <w:r>
              <w:rPr>
                <w:rFonts w:ascii="Arial" w:hAnsi="Arial" w:eastAsia="Arial"/>
                <w:b w:val="0"/>
                <w:sz w:val="16"/>
              </w:rPr>
              <w:t>Зөвхөн бүс нутгийн мэдээлэл, шууд холбоо сул</w:t>
            </w:r>
          </w:p>
        </w:tc>
      </w:tr>
    </w:tbl>
    <w:p/>
    <w:p>
      <w:pPr>
        <w:pStyle w:val="Heading2"/>
      </w:pPr>
      <w:r>
        <w:t>Алхам 5. Evidence layer бүрийг standardize хийх</w:t>
      </w:r>
    </w:p>
    <w:p>
      <w:pPr>
        <w:spacing w:after="60"/>
      </w:pPr>
      <w:r>
        <w:rPr>
          <w:b w:val="0"/>
        </w:rPr>
        <w:t>Бүх нотолгооны layer-үүдийг нэг форматтай болгоно.</w:t>
      </w:r>
    </w:p>
    <w:p>
      <w:pPr>
        <w:spacing w:after="60"/>
      </w:pPr>
      <w:r>
        <w:rPr>
          <w:b w:val="0"/>
        </w:rPr>
        <w:t>Layer бүрийн attribute table-д дараах багана байх хэрэгтэй.</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D9EAF7"/>
          </w:tcPr>
          <w:p>
            <w:pPr>
              <w:spacing w:after="0"/>
            </w:pPr>
            <w:r/>
            <w:r>
              <w:rPr>
                <w:rFonts w:ascii="Arial" w:hAnsi="Arial" w:eastAsia="Arial"/>
                <w:b/>
                <w:sz w:val="16"/>
              </w:rPr>
              <w:t>Field name</w:t>
            </w:r>
          </w:p>
        </w:tc>
        <w:tc>
          <w:tcPr>
            <w:tcW w:type="dxa" w:w="6624"/>
            <w:vAlign w:val="center"/>
            <w:shd w:fill="D9EAF7"/>
          </w:tcPr>
          <w:p>
            <w:pPr>
              <w:spacing w:after="0"/>
            </w:pPr>
            <w:r/>
            <w:r>
              <w:rPr>
                <w:rFonts w:ascii="Arial" w:hAnsi="Arial" w:eastAsia="Arial"/>
                <w:b/>
                <w:sz w:val="16"/>
              </w:rPr>
              <w:t>Тайлбар</w:t>
            </w:r>
          </w:p>
        </w:tc>
      </w:tr>
      <w:tr>
        <w:tc>
          <w:tcPr>
            <w:tcW w:type="dxa" w:w="2880"/>
            <w:vAlign w:val="center"/>
          </w:tcPr>
          <w:p>
            <w:pPr>
              <w:spacing w:after="0"/>
            </w:pPr>
            <w:r/>
            <w:r>
              <w:rPr>
                <w:rFonts w:ascii="Arial" w:hAnsi="Arial" w:eastAsia="Arial"/>
                <w:b w:val="0"/>
                <w:sz w:val="16"/>
              </w:rPr>
              <w:t>evidence_id</w:t>
            </w:r>
          </w:p>
        </w:tc>
        <w:tc>
          <w:tcPr>
            <w:tcW w:type="dxa" w:w="6624"/>
            <w:vAlign w:val="center"/>
          </w:tcPr>
          <w:p>
            <w:pPr>
              <w:spacing w:after="0"/>
            </w:pPr>
            <w:r/>
            <w:r>
              <w:rPr>
                <w:rFonts w:ascii="Arial" w:hAnsi="Arial" w:eastAsia="Arial"/>
                <w:b w:val="0"/>
                <w:sz w:val="16"/>
              </w:rPr>
              <w:t>Нотолгооны давхаргын ID</w:t>
            </w:r>
          </w:p>
        </w:tc>
      </w:tr>
      <w:tr>
        <w:tc>
          <w:tcPr>
            <w:tcW w:type="dxa" w:w="2880"/>
            <w:vAlign w:val="center"/>
          </w:tcPr>
          <w:p>
            <w:pPr>
              <w:spacing w:after="0"/>
            </w:pPr>
            <w:r/>
            <w:r>
              <w:rPr>
                <w:rFonts w:ascii="Arial" w:hAnsi="Arial" w:eastAsia="Arial"/>
                <w:b w:val="0"/>
                <w:sz w:val="16"/>
              </w:rPr>
              <w:t>evidence_type</w:t>
            </w:r>
          </w:p>
        </w:tc>
        <w:tc>
          <w:tcPr>
            <w:tcW w:type="dxa" w:w="6624"/>
            <w:vAlign w:val="center"/>
          </w:tcPr>
          <w:p>
            <w:pPr>
              <w:spacing w:after="0"/>
            </w:pPr>
            <w:r/>
            <w:r>
              <w:rPr>
                <w:rFonts w:ascii="Arial" w:hAnsi="Arial" w:eastAsia="Arial"/>
                <w:b w:val="0"/>
                <w:sz w:val="16"/>
              </w:rPr>
              <w:t>Geology, structure, assay, alteration гэх мэт</w:t>
            </w:r>
          </w:p>
        </w:tc>
      </w:tr>
      <w:tr>
        <w:tc>
          <w:tcPr>
            <w:tcW w:type="dxa" w:w="2880"/>
            <w:vAlign w:val="center"/>
          </w:tcPr>
          <w:p>
            <w:pPr>
              <w:spacing w:after="0"/>
            </w:pPr>
            <w:r/>
            <w:r>
              <w:rPr>
                <w:rFonts w:ascii="Arial" w:hAnsi="Arial" w:eastAsia="Arial"/>
                <w:b w:val="0"/>
                <w:sz w:val="16"/>
              </w:rPr>
              <w:t>source_file</w:t>
            </w:r>
          </w:p>
        </w:tc>
        <w:tc>
          <w:tcPr>
            <w:tcW w:type="dxa" w:w="6624"/>
            <w:vAlign w:val="center"/>
          </w:tcPr>
          <w:p>
            <w:pPr>
              <w:spacing w:after="0"/>
            </w:pPr>
            <w:r/>
            <w:r>
              <w:rPr>
                <w:rFonts w:ascii="Arial" w:hAnsi="Arial" w:eastAsia="Arial"/>
                <w:b w:val="0"/>
                <w:sz w:val="16"/>
              </w:rPr>
              <w:t>Эх файлын нэр</w:t>
            </w:r>
          </w:p>
        </w:tc>
      </w:tr>
      <w:tr>
        <w:tc>
          <w:tcPr>
            <w:tcW w:type="dxa" w:w="2880"/>
            <w:vAlign w:val="center"/>
          </w:tcPr>
          <w:p>
            <w:pPr>
              <w:spacing w:after="0"/>
            </w:pPr>
            <w:r/>
            <w:r>
              <w:rPr>
                <w:rFonts w:ascii="Arial" w:hAnsi="Arial" w:eastAsia="Arial"/>
                <w:b w:val="0"/>
                <w:sz w:val="16"/>
              </w:rPr>
              <w:t>confidence</w:t>
            </w:r>
          </w:p>
        </w:tc>
        <w:tc>
          <w:tcPr>
            <w:tcW w:type="dxa" w:w="6624"/>
            <w:vAlign w:val="center"/>
          </w:tcPr>
          <w:p>
            <w:pPr>
              <w:spacing w:after="0"/>
            </w:pPr>
            <w:r/>
            <w:r>
              <w:rPr>
                <w:rFonts w:ascii="Arial" w:hAnsi="Arial" w:eastAsia="Arial"/>
                <w:b w:val="0"/>
                <w:sz w:val="16"/>
              </w:rPr>
              <w:t>High / Medium / Low</w:t>
            </w:r>
          </w:p>
        </w:tc>
      </w:tr>
      <w:tr>
        <w:tc>
          <w:tcPr>
            <w:tcW w:type="dxa" w:w="2880"/>
            <w:vAlign w:val="center"/>
          </w:tcPr>
          <w:p>
            <w:pPr>
              <w:spacing w:after="0"/>
            </w:pPr>
            <w:r/>
            <w:r>
              <w:rPr>
                <w:rFonts w:ascii="Arial" w:hAnsi="Arial" w:eastAsia="Arial"/>
                <w:b w:val="0"/>
                <w:sz w:val="16"/>
              </w:rPr>
              <w:t>relevance</w:t>
            </w:r>
          </w:p>
        </w:tc>
        <w:tc>
          <w:tcPr>
            <w:tcW w:type="dxa" w:w="6624"/>
            <w:vAlign w:val="center"/>
          </w:tcPr>
          <w:p>
            <w:pPr>
              <w:spacing w:after="0"/>
            </w:pPr>
            <w:r/>
            <w:r>
              <w:rPr>
                <w:rFonts w:ascii="Arial" w:hAnsi="Arial" w:eastAsia="Arial"/>
                <w:b w:val="0"/>
                <w:sz w:val="16"/>
              </w:rPr>
              <w:t>High / Medium / Low</w:t>
            </w:r>
          </w:p>
        </w:tc>
      </w:tr>
      <w:tr>
        <w:tc>
          <w:tcPr>
            <w:tcW w:type="dxa" w:w="2880"/>
            <w:vAlign w:val="center"/>
          </w:tcPr>
          <w:p>
            <w:pPr>
              <w:spacing w:after="0"/>
            </w:pPr>
            <w:r/>
            <w:r>
              <w:rPr>
                <w:rFonts w:ascii="Arial" w:hAnsi="Arial" w:eastAsia="Arial"/>
                <w:b w:val="0"/>
                <w:sz w:val="16"/>
              </w:rPr>
              <w:t>comment</w:t>
            </w:r>
          </w:p>
        </w:tc>
        <w:tc>
          <w:tcPr>
            <w:tcW w:type="dxa" w:w="6624"/>
            <w:vAlign w:val="center"/>
          </w:tcPr>
          <w:p>
            <w:pPr>
              <w:spacing w:after="0"/>
            </w:pPr>
            <w:r/>
            <w:r>
              <w:rPr>
                <w:rFonts w:ascii="Arial" w:hAnsi="Arial" w:eastAsia="Arial"/>
                <w:b w:val="0"/>
                <w:sz w:val="16"/>
              </w:rPr>
              <w:t>Тайлбар</w:t>
            </w:r>
          </w:p>
        </w:tc>
      </w:tr>
      <w:tr>
        <w:tc>
          <w:tcPr>
            <w:tcW w:type="dxa" w:w="2880"/>
            <w:vAlign w:val="center"/>
          </w:tcPr>
          <w:p>
            <w:pPr>
              <w:spacing w:after="0"/>
            </w:pPr>
            <w:r/>
            <w:r>
              <w:rPr>
                <w:rFonts w:ascii="Arial" w:hAnsi="Arial" w:eastAsia="Arial"/>
                <w:b w:val="0"/>
                <w:sz w:val="16"/>
              </w:rPr>
              <w:t>reviewer</w:t>
            </w:r>
          </w:p>
        </w:tc>
        <w:tc>
          <w:tcPr>
            <w:tcW w:type="dxa" w:w="6624"/>
            <w:vAlign w:val="center"/>
          </w:tcPr>
          <w:p>
            <w:pPr>
              <w:spacing w:after="0"/>
            </w:pPr>
            <w:r/>
            <w:r>
              <w:rPr>
                <w:rFonts w:ascii="Arial" w:hAnsi="Arial" w:eastAsia="Arial"/>
                <w:b w:val="0"/>
                <w:sz w:val="16"/>
              </w:rPr>
              <w:t>Шалгасан хүн</w:t>
            </w:r>
          </w:p>
        </w:tc>
      </w:tr>
      <w:tr>
        <w:tc>
          <w:tcPr>
            <w:tcW w:type="dxa" w:w="2880"/>
            <w:vAlign w:val="center"/>
          </w:tcPr>
          <w:p>
            <w:pPr>
              <w:spacing w:after="0"/>
            </w:pPr>
            <w:r/>
            <w:r>
              <w:rPr>
                <w:rFonts w:ascii="Arial" w:hAnsi="Arial" w:eastAsia="Arial"/>
                <w:b w:val="0"/>
                <w:sz w:val="16"/>
              </w:rPr>
              <w:t>review_date</w:t>
            </w:r>
          </w:p>
        </w:tc>
        <w:tc>
          <w:tcPr>
            <w:tcW w:type="dxa" w:w="6624"/>
            <w:vAlign w:val="center"/>
          </w:tcPr>
          <w:p>
            <w:pPr>
              <w:spacing w:after="0"/>
            </w:pPr>
            <w:r/>
            <w:r>
              <w:rPr>
                <w:rFonts w:ascii="Arial" w:hAnsi="Arial" w:eastAsia="Arial"/>
                <w:b w:val="0"/>
                <w:sz w:val="16"/>
              </w:rPr>
              <w:t>Шалгасан огноо</w:t>
            </w:r>
          </w:p>
        </w:tc>
      </w:tr>
    </w:tbl>
    <w:p/>
    <w:p>
      <w:pPr>
        <w:spacing w:after="60"/>
      </w:pPr>
      <w:r>
        <w:rPr>
          <w:b/>
        </w:rPr>
        <w:t>Evidence type ангилал:</w:t>
      </w:r>
    </w:p>
    <w:p>
      <w:pPr>
        <w:pStyle w:val="ListBullet"/>
        <w:spacing w:after="20"/>
      </w:pPr>
      <w:r>
        <w:t>Geology</w:t>
      </w:r>
    </w:p>
    <w:p>
      <w:pPr>
        <w:pStyle w:val="ListBullet"/>
        <w:spacing w:after="20"/>
      </w:pPr>
      <w:r>
        <w:t>Structure</w:t>
      </w:r>
    </w:p>
    <w:p>
      <w:pPr>
        <w:pStyle w:val="ListBullet"/>
        <w:spacing w:after="20"/>
      </w:pPr>
      <w:r>
        <w:t>Alteration</w:t>
      </w:r>
    </w:p>
    <w:p>
      <w:pPr>
        <w:pStyle w:val="ListBullet"/>
        <w:spacing w:after="20"/>
      </w:pPr>
      <w:r>
        <w:t>Geochemistry</w:t>
      </w:r>
    </w:p>
    <w:p>
      <w:pPr>
        <w:pStyle w:val="ListBullet"/>
        <w:spacing w:after="20"/>
      </w:pPr>
      <w:r>
        <w:t>Assay</w:t>
      </w:r>
    </w:p>
    <w:p>
      <w:pPr>
        <w:pStyle w:val="ListBullet"/>
        <w:spacing w:after="20"/>
      </w:pPr>
      <w:r>
        <w:t>pXRF</w:t>
      </w:r>
    </w:p>
    <w:p>
      <w:pPr>
        <w:pStyle w:val="ListBullet"/>
        <w:spacing w:after="20"/>
      </w:pPr>
      <w:r>
        <w:t>Remote sensing</w:t>
      </w:r>
    </w:p>
    <w:p>
      <w:pPr>
        <w:pStyle w:val="ListBullet"/>
        <w:spacing w:after="20"/>
      </w:pPr>
      <w:r>
        <w:t>CMCS</w:t>
      </w:r>
    </w:p>
    <w:p>
      <w:pPr>
        <w:pStyle w:val="ListBullet"/>
        <w:spacing w:after="20"/>
      </w:pPr>
      <w:r>
        <w:t>Nearby deposit</w:t>
      </w:r>
    </w:p>
    <w:p>
      <w:pPr>
        <w:pStyle w:val="ListBullet"/>
        <w:spacing w:after="20"/>
      </w:pPr>
      <w:r>
        <w:t>Field observation</w:t>
      </w:r>
    </w:p>
    <w:p>
      <w:pPr>
        <w:pStyle w:val="ListBullet"/>
        <w:spacing w:after="20"/>
      </w:pPr>
      <w:r>
        <w:t>Geophysics</w:t>
      </w:r>
    </w:p>
    <w:p>
      <w:pPr>
        <w:pStyle w:val="ListBullet"/>
        <w:spacing w:after="20"/>
      </w:pPr>
      <w:r>
        <w:t>Drone/LiDAR</w:t>
      </w:r>
    </w:p>
    <w:p>
      <w:pPr>
        <w:pStyle w:val="Heading2"/>
      </w:pPr>
      <w:r>
        <w:t>Алхам 6. Evidence integration хийх</w:t>
      </w:r>
    </w:p>
    <w:p>
      <w:pPr>
        <w:spacing w:after="60"/>
      </w:pPr>
      <w:r>
        <w:rPr>
          <w:b w:val="0"/>
        </w:rPr>
        <w:t>QGIS дээр бүх баталгаажсан layer-үүдийг дараах дарааллаар давхарлуулна.</w:t>
      </w:r>
    </w:p>
    <w:p>
      <w:pPr>
        <w:pStyle w:val="ListNumber"/>
        <w:spacing w:after="20"/>
      </w:pPr>
      <w:r>
        <w:t>Base map</w:t>
      </w:r>
    </w:p>
    <w:p>
      <w:pPr>
        <w:pStyle w:val="ListNumber"/>
        <w:spacing w:after="20"/>
      </w:pPr>
      <w:r>
        <w:t>DEM / hillshade</w:t>
      </w:r>
    </w:p>
    <w:p>
      <w:pPr>
        <w:pStyle w:val="ListNumber"/>
        <w:spacing w:after="20"/>
      </w:pPr>
      <w:r>
        <w:t>Geology</w:t>
      </w:r>
    </w:p>
    <w:p>
      <w:pPr>
        <w:pStyle w:val="ListNumber"/>
        <w:spacing w:after="20"/>
      </w:pPr>
      <w:r>
        <w:t>Structure</w:t>
      </w:r>
    </w:p>
    <w:p>
      <w:pPr>
        <w:pStyle w:val="ListNumber"/>
        <w:spacing w:after="20"/>
      </w:pPr>
      <w:r>
        <w:t>Alteration</w:t>
      </w:r>
    </w:p>
    <w:p>
      <w:pPr>
        <w:pStyle w:val="ListNumber"/>
        <w:spacing w:after="20"/>
      </w:pPr>
      <w:r>
        <w:t>Remote sensing anomaly</w:t>
      </w:r>
    </w:p>
    <w:p>
      <w:pPr>
        <w:pStyle w:val="ListNumber"/>
        <w:spacing w:after="20"/>
      </w:pPr>
      <w:r>
        <w:t>Stream sediment anomaly</w:t>
      </w:r>
    </w:p>
    <w:p>
      <w:pPr>
        <w:pStyle w:val="ListNumber"/>
        <w:spacing w:after="20"/>
      </w:pPr>
      <w:r>
        <w:t>Soil anomaly</w:t>
      </w:r>
    </w:p>
    <w:p>
      <w:pPr>
        <w:pStyle w:val="ListNumber"/>
        <w:spacing w:after="20"/>
      </w:pPr>
      <w:r>
        <w:t>Rock chip/channel assay</w:t>
      </w:r>
    </w:p>
    <w:p>
      <w:pPr>
        <w:pStyle w:val="ListNumber"/>
        <w:spacing w:after="20"/>
      </w:pPr>
      <w:r>
        <w:t>pXRF anomaly</w:t>
      </w:r>
    </w:p>
    <w:p>
      <w:pPr>
        <w:pStyle w:val="ListNumber"/>
        <w:spacing w:after="20"/>
      </w:pPr>
      <w:r>
        <w:t>Field mineralization observation</w:t>
      </w:r>
    </w:p>
    <w:p>
      <w:pPr>
        <w:pStyle w:val="ListNumber"/>
        <w:spacing w:after="20"/>
      </w:pPr>
      <w:r>
        <w:t>CMCS occurrence</w:t>
      </w:r>
    </w:p>
    <w:p>
      <w:pPr>
        <w:pStyle w:val="ListNumber"/>
        <w:spacing w:after="20"/>
      </w:pPr>
      <w:r>
        <w:t>Nearby deposit</w:t>
      </w:r>
    </w:p>
    <w:p>
      <w:pPr>
        <w:pStyle w:val="ListNumber"/>
        <w:spacing w:after="20"/>
      </w:pPr>
      <w:r>
        <w:t>Preliminary target polygon</w:t>
      </w:r>
    </w:p>
    <w:p>
      <w:pPr>
        <w:spacing w:after="60"/>
      </w:pPr>
      <w:r>
        <w:rPr>
          <w:b/>
        </w:rPr>
        <w:t>Давхцал шалгах үндсэн асуултууд:</w:t>
      </w:r>
    </w:p>
    <w:p>
      <w:pPr>
        <w:pStyle w:val="ListBullet"/>
        <w:spacing w:after="20"/>
      </w:pPr>
      <w:r>
        <w:t>Геохимийн anomaly структуртай давхцаж байна уу?</w:t>
      </w:r>
    </w:p>
    <w:p>
      <w:pPr>
        <w:pStyle w:val="ListBullet"/>
        <w:spacing w:after="20"/>
      </w:pPr>
      <w:r>
        <w:t>Хувиралтай бүс field observation-оор баталгаажсан уу?</w:t>
      </w:r>
    </w:p>
    <w:p>
      <w:pPr>
        <w:pStyle w:val="ListBullet"/>
        <w:spacing w:after="20"/>
      </w:pPr>
      <w:r>
        <w:t>ASTER/Sentinel anomaly нь sample assay-тай нийцэж байна уу?</w:t>
      </w:r>
    </w:p>
    <w:p>
      <w:pPr>
        <w:pStyle w:val="ListBullet"/>
        <w:spacing w:after="20"/>
      </w:pPr>
      <w:r>
        <w:t>CMCS илрэлүүд ижил trend дээр байна уу?</w:t>
      </w:r>
    </w:p>
    <w:p>
      <w:pPr>
        <w:pStyle w:val="ListBullet"/>
        <w:spacing w:after="20"/>
      </w:pPr>
      <w:r>
        <w:t>Ойролцоох ордын төрлүүд талбайн geology-той нийцэж байна уу?</w:t>
      </w:r>
    </w:p>
    <w:p>
      <w:pPr>
        <w:pStyle w:val="ListBullet"/>
        <w:spacing w:after="20"/>
      </w:pPr>
      <w:r>
        <w:t>Target polygon дотор олон төрлийн independent evidence байна уу?</w:t>
      </w:r>
    </w:p>
    <w:p>
      <w:pPr>
        <w:pStyle w:val="Heading2"/>
      </w:pPr>
      <w:r>
        <w:t>Алхам 7. Target polygon үүсгэх</w:t>
      </w:r>
    </w:p>
    <w:p>
      <w:pPr>
        <w:spacing w:after="60"/>
      </w:pPr>
      <w:r>
        <w:rPr>
          <w:b w:val="0"/>
        </w:rPr>
        <w:t>Target polygon үүсгэхдээ зөвхөн нэг төрлийн дата дээр үндэслэхгүй. Доорх нотолгооноос хамгийн багадаа 3 төрлийн evidence давхцсан хэсгийг target болгон авна.</w:t>
      </w:r>
    </w:p>
    <w:p>
      <w:pPr>
        <w:spacing w:after="60"/>
      </w:pPr>
      <w:r>
        <w:rPr>
          <w:b/>
        </w:rPr>
        <w:t>Жишээ:</w:t>
      </w:r>
    </w:p>
    <w:p>
      <w:pPr>
        <w:pStyle w:val="ListBullet"/>
        <w:spacing w:after="20"/>
      </w:pPr>
      <w:r>
        <w:t>Geochemical anomaly + structure + alteration</w:t>
      </w:r>
    </w:p>
    <w:p>
      <w:pPr>
        <w:pStyle w:val="ListBullet"/>
        <w:spacing w:after="20"/>
      </w:pPr>
      <w:r>
        <w:t>Rock assay + field mineralization + remote sensing alteration</w:t>
      </w:r>
    </w:p>
    <w:p>
      <w:pPr>
        <w:pStyle w:val="ListBullet"/>
        <w:spacing w:after="20"/>
      </w:pPr>
      <w:r>
        <w:t>CMCS nearby deposit + favorable lithology + stream sediment anomaly</w:t>
      </w:r>
    </w:p>
    <w:p>
      <w:pPr>
        <w:pStyle w:val="ListBullet"/>
        <w:spacing w:after="20"/>
      </w:pPr>
      <w:r>
        <w:t>Intrusive contact + skarn alteration + Cu/Fe anomaly</w:t>
      </w:r>
    </w:p>
    <w:p>
      <w:pPr>
        <w:pStyle w:val="ListBullet"/>
        <w:spacing w:after="20"/>
      </w:pPr>
      <w:r>
        <w:t>Fault intersection + quartz vein + Au-As-Sb anomaly</w:t>
      </w:r>
    </w:p>
    <w:p>
      <w:pPr>
        <w:spacing w:after="60"/>
      </w:pPr>
      <w:r>
        <w:rPr>
          <w:b/>
        </w:rPr>
        <w:t>Target polygon үүсгэх шалгуур:</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D9EAF7"/>
          </w:tcPr>
          <w:p>
            <w:pPr>
              <w:spacing w:after="0"/>
            </w:pPr>
            <w:r/>
            <w:r>
              <w:rPr>
                <w:rFonts w:ascii="Arial" w:hAnsi="Arial" w:eastAsia="Arial"/>
                <w:b/>
                <w:sz w:val="16"/>
              </w:rPr>
              <w:t>Шалгуур</w:t>
            </w:r>
          </w:p>
        </w:tc>
        <w:tc>
          <w:tcPr>
            <w:tcW w:type="dxa" w:w="6624"/>
            <w:vAlign w:val="center"/>
            <w:shd w:fill="D9EAF7"/>
          </w:tcPr>
          <w:p>
            <w:pPr>
              <w:spacing w:after="0"/>
            </w:pPr>
            <w:r/>
            <w:r>
              <w:rPr>
                <w:rFonts w:ascii="Arial" w:hAnsi="Arial" w:eastAsia="Arial"/>
                <w:b/>
                <w:sz w:val="16"/>
              </w:rPr>
              <w:t>Тайлбар</w:t>
            </w:r>
          </w:p>
        </w:tc>
      </w:tr>
      <w:tr>
        <w:tc>
          <w:tcPr>
            <w:tcW w:type="dxa" w:w="2880"/>
            <w:vAlign w:val="center"/>
          </w:tcPr>
          <w:p>
            <w:pPr>
              <w:spacing w:after="0"/>
            </w:pPr>
            <w:r/>
            <w:r>
              <w:rPr>
                <w:rFonts w:ascii="Arial" w:hAnsi="Arial" w:eastAsia="Arial"/>
                <w:b w:val="0"/>
                <w:sz w:val="16"/>
              </w:rPr>
              <w:t>Evidence overlap</w:t>
            </w:r>
          </w:p>
        </w:tc>
        <w:tc>
          <w:tcPr>
            <w:tcW w:type="dxa" w:w="6624"/>
            <w:vAlign w:val="center"/>
          </w:tcPr>
          <w:p>
            <w:pPr>
              <w:spacing w:after="0"/>
            </w:pPr>
            <w:r/>
            <w:r>
              <w:rPr>
                <w:rFonts w:ascii="Arial" w:hAnsi="Arial" w:eastAsia="Arial"/>
                <w:b w:val="0"/>
                <w:sz w:val="16"/>
              </w:rPr>
              <w:t>3 ба түүнээс дээш нотолгоо давхцах</w:t>
            </w:r>
          </w:p>
        </w:tc>
      </w:tr>
      <w:tr>
        <w:tc>
          <w:tcPr>
            <w:tcW w:type="dxa" w:w="2880"/>
            <w:vAlign w:val="center"/>
          </w:tcPr>
          <w:p>
            <w:pPr>
              <w:spacing w:after="0"/>
            </w:pPr>
            <w:r/>
            <w:r>
              <w:rPr>
                <w:rFonts w:ascii="Arial" w:hAnsi="Arial" w:eastAsia="Arial"/>
                <w:b w:val="0"/>
                <w:sz w:val="16"/>
              </w:rPr>
              <w:t>Geological plausibility</w:t>
            </w:r>
          </w:p>
        </w:tc>
        <w:tc>
          <w:tcPr>
            <w:tcW w:type="dxa" w:w="6624"/>
            <w:vAlign w:val="center"/>
          </w:tcPr>
          <w:p>
            <w:pPr>
              <w:spacing w:after="0"/>
            </w:pPr>
            <w:r/>
            <w:r>
              <w:rPr>
                <w:rFonts w:ascii="Arial" w:hAnsi="Arial" w:eastAsia="Arial"/>
                <w:b w:val="0"/>
                <w:sz w:val="16"/>
              </w:rPr>
              <w:t>Ордын загвартай нийцэх</w:t>
            </w:r>
          </w:p>
        </w:tc>
      </w:tr>
      <w:tr>
        <w:tc>
          <w:tcPr>
            <w:tcW w:type="dxa" w:w="2880"/>
            <w:vAlign w:val="center"/>
          </w:tcPr>
          <w:p>
            <w:pPr>
              <w:spacing w:after="0"/>
            </w:pPr>
            <w:r/>
            <w:r>
              <w:rPr>
                <w:rFonts w:ascii="Arial" w:hAnsi="Arial" w:eastAsia="Arial"/>
                <w:b w:val="0"/>
                <w:sz w:val="16"/>
              </w:rPr>
              <w:t>Assay support</w:t>
            </w:r>
          </w:p>
        </w:tc>
        <w:tc>
          <w:tcPr>
            <w:tcW w:type="dxa" w:w="6624"/>
            <w:vAlign w:val="center"/>
          </w:tcPr>
          <w:p>
            <w:pPr>
              <w:spacing w:after="0"/>
            </w:pPr>
            <w:r/>
            <w:r>
              <w:rPr>
                <w:rFonts w:ascii="Arial" w:hAnsi="Arial" w:eastAsia="Arial"/>
                <w:b w:val="0"/>
                <w:sz w:val="16"/>
              </w:rPr>
              <w:t>Лабораторийн эсвэл field assay дэмжлэгтэй</w:t>
            </w:r>
          </w:p>
        </w:tc>
      </w:tr>
      <w:tr>
        <w:tc>
          <w:tcPr>
            <w:tcW w:type="dxa" w:w="2880"/>
            <w:vAlign w:val="center"/>
          </w:tcPr>
          <w:p>
            <w:pPr>
              <w:spacing w:after="0"/>
            </w:pPr>
            <w:r/>
            <w:r>
              <w:rPr>
                <w:rFonts w:ascii="Arial" w:hAnsi="Arial" w:eastAsia="Arial"/>
                <w:b w:val="0"/>
                <w:sz w:val="16"/>
              </w:rPr>
              <w:t>Structural control</w:t>
            </w:r>
          </w:p>
        </w:tc>
        <w:tc>
          <w:tcPr>
            <w:tcW w:type="dxa" w:w="6624"/>
            <w:vAlign w:val="center"/>
          </w:tcPr>
          <w:p>
            <w:pPr>
              <w:spacing w:after="0"/>
            </w:pPr>
            <w:r/>
            <w:r>
              <w:rPr>
                <w:rFonts w:ascii="Arial" w:hAnsi="Arial" w:eastAsia="Arial"/>
                <w:b w:val="0"/>
                <w:sz w:val="16"/>
              </w:rPr>
              <w:t>Хагарал, lineament, contact zone-тэй холбоотой</w:t>
            </w:r>
          </w:p>
        </w:tc>
      </w:tr>
      <w:tr>
        <w:tc>
          <w:tcPr>
            <w:tcW w:type="dxa" w:w="2880"/>
            <w:vAlign w:val="center"/>
          </w:tcPr>
          <w:p>
            <w:pPr>
              <w:spacing w:after="0"/>
            </w:pPr>
            <w:r/>
            <w:r>
              <w:rPr>
                <w:rFonts w:ascii="Arial" w:hAnsi="Arial" w:eastAsia="Arial"/>
                <w:b w:val="0"/>
                <w:sz w:val="16"/>
              </w:rPr>
              <w:t>Alteration support</w:t>
            </w:r>
          </w:p>
        </w:tc>
        <w:tc>
          <w:tcPr>
            <w:tcW w:type="dxa" w:w="6624"/>
            <w:vAlign w:val="center"/>
          </w:tcPr>
          <w:p>
            <w:pPr>
              <w:spacing w:after="0"/>
            </w:pPr>
            <w:r/>
            <w:r>
              <w:rPr>
                <w:rFonts w:ascii="Arial" w:hAnsi="Arial" w:eastAsia="Arial"/>
                <w:b w:val="0"/>
                <w:sz w:val="16"/>
              </w:rPr>
              <w:t>Хувирал илэрсэн</w:t>
            </w:r>
          </w:p>
        </w:tc>
      </w:tr>
      <w:tr>
        <w:tc>
          <w:tcPr>
            <w:tcW w:type="dxa" w:w="2880"/>
            <w:vAlign w:val="center"/>
          </w:tcPr>
          <w:p>
            <w:pPr>
              <w:spacing w:after="0"/>
            </w:pPr>
            <w:r/>
            <w:r>
              <w:rPr>
                <w:rFonts w:ascii="Arial" w:hAnsi="Arial" w:eastAsia="Arial"/>
                <w:b w:val="0"/>
                <w:sz w:val="16"/>
              </w:rPr>
              <w:t>Size potential</w:t>
            </w:r>
          </w:p>
        </w:tc>
        <w:tc>
          <w:tcPr>
            <w:tcW w:type="dxa" w:w="6624"/>
            <w:vAlign w:val="center"/>
          </w:tcPr>
          <w:p>
            <w:pPr>
              <w:spacing w:after="0"/>
            </w:pPr>
            <w:r/>
            <w:r>
              <w:rPr>
                <w:rFonts w:ascii="Arial" w:hAnsi="Arial" w:eastAsia="Arial"/>
                <w:b w:val="0"/>
                <w:sz w:val="16"/>
              </w:rPr>
              <w:t>Хайгуулын үргэлжлэл хийх боломжтой хэмжээтэй</w:t>
            </w:r>
          </w:p>
        </w:tc>
      </w:tr>
      <w:tr>
        <w:tc>
          <w:tcPr>
            <w:tcW w:type="dxa" w:w="2880"/>
            <w:vAlign w:val="center"/>
          </w:tcPr>
          <w:p>
            <w:pPr>
              <w:spacing w:after="0"/>
            </w:pPr>
            <w:r/>
            <w:r>
              <w:rPr>
                <w:rFonts w:ascii="Arial" w:hAnsi="Arial" w:eastAsia="Arial"/>
                <w:b w:val="0"/>
                <w:sz w:val="16"/>
              </w:rPr>
              <w:t>Accessibility</w:t>
            </w:r>
          </w:p>
        </w:tc>
        <w:tc>
          <w:tcPr>
            <w:tcW w:type="dxa" w:w="6624"/>
            <w:vAlign w:val="center"/>
          </w:tcPr>
          <w:p>
            <w:pPr>
              <w:spacing w:after="0"/>
            </w:pPr>
            <w:r/>
            <w:r>
              <w:rPr>
                <w:rFonts w:ascii="Arial" w:hAnsi="Arial" w:eastAsia="Arial"/>
                <w:b w:val="0"/>
                <w:sz w:val="16"/>
              </w:rPr>
              <w:t>Талбай дээр очиж шалгах боломжтой</w:t>
            </w:r>
          </w:p>
        </w:tc>
      </w:tr>
    </w:tbl>
    <w:p/>
    <w:p>
      <w:pPr>
        <w:pStyle w:val="Heading1"/>
      </w:pPr>
      <w:r>
        <w:t>5. Target scoring аргачлал</w:t>
      </w:r>
    </w:p>
    <w:p>
      <w:pPr>
        <w:spacing w:after="60"/>
      </w:pPr>
      <w:r>
        <w:rPr>
          <w:b w:val="0"/>
        </w:rPr>
        <w:t>Target бүрийг оноогоор үнэлнэ. Нийт оноо 100 байхаар тооцно.</w:t>
      </w:r>
    </w:p>
    <w:p>
      <w:pPr>
        <w:pStyle w:val="Heading2"/>
      </w:pPr>
      <w:r>
        <w:t>5.1 Онооны үндсэн хүснэгт</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rFonts w:ascii="Arial" w:hAnsi="Arial" w:eastAsia="Arial"/>
                <w:b/>
                <w:sz w:val="16"/>
              </w:rPr>
              <w:t>Үзүүлэлт</w:t>
            </w:r>
          </w:p>
        </w:tc>
        <w:tc>
          <w:tcPr>
            <w:tcW w:type="dxa" w:w="864"/>
            <w:vAlign w:val="center"/>
            <w:shd w:fill="D9EAF7"/>
          </w:tcPr>
          <w:p>
            <w:pPr>
              <w:spacing w:after="0"/>
            </w:pPr>
            <w:r/>
            <w:r>
              <w:rPr>
                <w:rFonts w:ascii="Arial" w:hAnsi="Arial" w:eastAsia="Arial"/>
                <w:b/>
                <w:sz w:val="16"/>
              </w:rPr>
              <w:t>Жин</w:t>
            </w:r>
          </w:p>
        </w:tc>
        <w:tc>
          <w:tcPr>
            <w:tcW w:type="dxa" w:w="5328"/>
            <w:vAlign w:val="center"/>
            <w:shd w:fill="D9EAF7"/>
          </w:tcPr>
          <w:p>
            <w:pPr>
              <w:spacing w:after="0"/>
            </w:pPr>
            <w:r/>
            <w:r>
              <w:rPr>
                <w:rFonts w:ascii="Arial" w:hAnsi="Arial" w:eastAsia="Arial"/>
                <w:b/>
                <w:sz w:val="16"/>
              </w:rPr>
              <w:t>Оноо өгөх зарчим</w:t>
            </w:r>
          </w:p>
        </w:tc>
      </w:tr>
      <w:tr>
        <w:tc>
          <w:tcPr>
            <w:tcW w:type="dxa" w:w="3456"/>
            <w:vAlign w:val="center"/>
          </w:tcPr>
          <w:p>
            <w:pPr>
              <w:spacing w:after="0"/>
            </w:pPr>
            <w:r/>
            <w:r>
              <w:rPr>
                <w:rFonts w:ascii="Arial" w:hAnsi="Arial" w:eastAsia="Arial"/>
                <w:b w:val="0"/>
                <w:sz w:val="16"/>
              </w:rPr>
              <w:t>Геологийн тохиромжтой орчин</w:t>
            </w:r>
          </w:p>
        </w:tc>
        <w:tc>
          <w:tcPr>
            <w:tcW w:type="dxa" w:w="864"/>
            <w:vAlign w:val="center"/>
          </w:tcPr>
          <w:p>
            <w:pPr>
              <w:spacing w:after="0"/>
            </w:pPr>
            <w:r/>
            <w:r>
              <w:rPr>
                <w:rFonts w:ascii="Arial" w:hAnsi="Arial" w:eastAsia="Arial"/>
                <w:b w:val="0"/>
                <w:sz w:val="16"/>
              </w:rPr>
              <w:t>15</w:t>
            </w:r>
          </w:p>
        </w:tc>
        <w:tc>
          <w:tcPr>
            <w:tcW w:type="dxa" w:w="5328"/>
            <w:vAlign w:val="center"/>
          </w:tcPr>
          <w:p>
            <w:pPr>
              <w:spacing w:after="0"/>
            </w:pPr>
            <w:r/>
            <w:r>
              <w:rPr>
                <w:rFonts w:ascii="Arial" w:hAnsi="Arial" w:eastAsia="Arial"/>
                <w:b w:val="0"/>
                <w:sz w:val="16"/>
              </w:rPr>
              <w:t>Ордын загвартай нийцэж байвал өндөр</w:t>
            </w:r>
          </w:p>
        </w:tc>
      </w:tr>
      <w:tr>
        <w:tc>
          <w:tcPr>
            <w:tcW w:type="dxa" w:w="3456"/>
            <w:vAlign w:val="center"/>
          </w:tcPr>
          <w:p>
            <w:pPr>
              <w:spacing w:after="0"/>
            </w:pPr>
            <w:r/>
            <w:r>
              <w:rPr>
                <w:rFonts w:ascii="Arial" w:hAnsi="Arial" w:eastAsia="Arial"/>
                <w:b w:val="0"/>
                <w:sz w:val="16"/>
              </w:rPr>
              <w:t>Структурын хяналт</w:t>
            </w:r>
          </w:p>
        </w:tc>
        <w:tc>
          <w:tcPr>
            <w:tcW w:type="dxa" w:w="864"/>
            <w:vAlign w:val="center"/>
          </w:tcPr>
          <w:p>
            <w:pPr>
              <w:spacing w:after="0"/>
            </w:pPr>
            <w:r/>
            <w:r>
              <w:rPr>
                <w:rFonts w:ascii="Arial" w:hAnsi="Arial" w:eastAsia="Arial"/>
                <w:b w:val="0"/>
                <w:sz w:val="16"/>
              </w:rPr>
              <w:t>10</w:t>
            </w:r>
          </w:p>
        </w:tc>
        <w:tc>
          <w:tcPr>
            <w:tcW w:type="dxa" w:w="5328"/>
            <w:vAlign w:val="center"/>
          </w:tcPr>
          <w:p>
            <w:pPr>
              <w:spacing w:after="0"/>
            </w:pPr>
            <w:r/>
            <w:r>
              <w:rPr>
                <w:rFonts w:ascii="Arial" w:hAnsi="Arial" w:eastAsia="Arial"/>
                <w:b w:val="0"/>
                <w:sz w:val="16"/>
              </w:rPr>
              <w:t>Fault/contact/intersection байвал өндөр</w:t>
            </w:r>
          </w:p>
        </w:tc>
      </w:tr>
      <w:tr>
        <w:tc>
          <w:tcPr>
            <w:tcW w:type="dxa" w:w="3456"/>
            <w:vAlign w:val="center"/>
          </w:tcPr>
          <w:p>
            <w:pPr>
              <w:spacing w:after="0"/>
            </w:pPr>
            <w:r/>
            <w:r>
              <w:rPr>
                <w:rFonts w:ascii="Arial" w:hAnsi="Arial" w:eastAsia="Arial"/>
                <w:b w:val="0"/>
                <w:sz w:val="16"/>
              </w:rPr>
              <w:t>Хувирал</w:t>
            </w:r>
          </w:p>
        </w:tc>
        <w:tc>
          <w:tcPr>
            <w:tcW w:type="dxa" w:w="864"/>
            <w:vAlign w:val="center"/>
          </w:tcPr>
          <w:p>
            <w:pPr>
              <w:spacing w:after="0"/>
            </w:pPr>
            <w:r/>
            <w:r>
              <w:rPr>
                <w:rFonts w:ascii="Arial" w:hAnsi="Arial" w:eastAsia="Arial"/>
                <w:b w:val="0"/>
                <w:sz w:val="16"/>
              </w:rPr>
              <w:t>10</w:t>
            </w:r>
          </w:p>
        </w:tc>
        <w:tc>
          <w:tcPr>
            <w:tcW w:type="dxa" w:w="5328"/>
            <w:vAlign w:val="center"/>
          </w:tcPr>
          <w:p>
            <w:pPr>
              <w:spacing w:after="0"/>
            </w:pPr>
            <w:r/>
            <w:r>
              <w:rPr>
                <w:rFonts w:ascii="Arial" w:hAnsi="Arial" w:eastAsia="Arial"/>
                <w:b w:val="0"/>
                <w:sz w:val="16"/>
              </w:rPr>
              <w:t>ASTER, field alteration, mineral alteration давхцвал өндөр</w:t>
            </w:r>
          </w:p>
        </w:tc>
      </w:tr>
      <w:tr>
        <w:tc>
          <w:tcPr>
            <w:tcW w:type="dxa" w:w="3456"/>
            <w:vAlign w:val="center"/>
          </w:tcPr>
          <w:p>
            <w:pPr>
              <w:spacing w:after="0"/>
            </w:pPr>
            <w:r/>
            <w:r>
              <w:rPr>
                <w:rFonts w:ascii="Arial" w:hAnsi="Arial" w:eastAsia="Arial"/>
                <w:b w:val="0"/>
                <w:sz w:val="16"/>
              </w:rPr>
              <w:t>Геохимийн anomaly</w:t>
            </w:r>
          </w:p>
        </w:tc>
        <w:tc>
          <w:tcPr>
            <w:tcW w:type="dxa" w:w="864"/>
            <w:vAlign w:val="center"/>
          </w:tcPr>
          <w:p>
            <w:pPr>
              <w:spacing w:after="0"/>
            </w:pPr>
            <w:r/>
            <w:r>
              <w:rPr>
                <w:rFonts w:ascii="Arial" w:hAnsi="Arial" w:eastAsia="Arial"/>
                <w:b w:val="0"/>
                <w:sz w:val="16"/>
              </w:rPr>
              <w:t>15</w:t>
            </w:r>
          </w:p>
        </w:tc>
        <w:tc>
          <w:tcPr>
            <w:tcW w:type="dxa" w:w="5328"/>
            <w:vAlign w:val="center"/>
          </w:tcPr>
          <w:p>
            <w:pPr>
              <w:spacing w:after="0"/>
            </w:pPr>
            <w:r/>
            <w:r>
              <w:rPr>
                <w:rFonts w:ascii="Arial" w:hAnsi="Arial" w:eastAsia="Arial"/>
                <w:b w:val="0"/>
                <w:sz w:val="16"/>
              </w:rPr>
              <w:t>Олон элемент, өндөр anomaly байвал өндөр</w:t>
            </w:r>
          </w:p>
        </w:tc>
      </w:tr>
      <w:tr>
        <w:tc>
          <w:tcPr>
            <w:tcW w:type="dxa" w:w="3456"/>
            <w:vAlign w:val="center"/>
          </w:tcPr>
          <w:p>
            <w:pPr>
              <w:spacing w:after="0"/>
            </w:pPr>
            <w:r/>
            <w:r>
              <w:rPr>
                <w:rFonts w:ascii="Arial" w:hAnsi="Arial" w:eastAsia="Arial"/>
                <w:b w:val="0"/>
                <w:sz w:val="16"/>
              </w:rPr>
              <w:t>Assay evidence</w:t>
            </w:r>
          </w:p>
        </w:tc>
        <w:tc>
          <w:tcPr>
            <w:tcW w:type="dxa" w:w="864"/>
            <w:vAlign w:val="center"/>
          </w:tcPr>
          <w:p>
            <w:pPr>
              <w:spacing w:after="0"/>
            </w:pPr>
            <w:r/>
            <w:r>
              <w:rPr>
                <w:rFonts w:ascii="Arial" w:hAnsi="Arial" w:eastAsia="Arial"/>
                <w:b w:val="0"/>
                <w:sz w:val="16"/>
              </w:rPr>
              <w:t>15</w:t>
            </w:r>
          </w:p>
        </w:tc>
        <w:tc>
          <w:tcPr>
            <w:tcW w:type="dxa" w:w="5328"/>
            <w:vAlign w:val="center"/>
          </w:tcPr>
          <w:p>
            <w:pPr>
              <w:spacing w:after="0"/>
            </w:pPr>
            <w:r/>
            <w:r>
              <w:rPr>
                <w:rFonts w:ascii="Arial" w:hAnsi="Arial" w:eastAsia="Arial"/>
                <w:b w:val="0"/>
                <w:sz w:val="16"/>
              </w:rPr>
              <w:t>Lab result баталгаатай бол өндөр</w:t>
            </w:r>
          </w:p>
        </w:tc>
      </w:tr>
      <w:tr>
        <w:tc>
          <w:tcPr>
            <w:tcW w:type="dxa" w:w="3456"/>
            <w:vAlign w:val="center"/>
          </w:tcPr>
          <w:p>
            <w:pPr>
              <w:spacing w:after="0"/>
            </w:pPr>
            <w:r/>
            <w:r>
              <w:rPr>
                <w:rFonts w:ascii="Arial" w:hAnsi="Arial" w:eastAsia="Arial"/>
                <w:b w:val="0"/>
                <w:sz w:val="16"/>
              </w:rPr>
              <w:t>Field mineralization</w:t>
            </w:r>
          </w:p>
        </w:tc>
        <w:tc>
          <w:tcPr>
            <w:tcW w:type="dxa" w:w="864"/>
            <w:vAlign w:val="center"/>
          </w:tcPr>
          <w:p>
            <w:pPr>
              <w:spacing w:after="0"/>
            </w:pPr>
            <w:r/>
            <w:r>
              <w:rPr>
                <w:rFonts w:ascii="Arial" w:hAnsi="Arial" w:eastAsia="Arial"/>
                <w:b w:val="0"/>
                <w:sz w:val="16"/>
              </w:rPr>
              <w:t>10</w:t>
            </w:r>
          </w:p>
        </w:tc>
        <w:tc>
          <w:tcPr>
            <w:tcW w:type="dxa" w:w="5328"/>
            <w:vAlign w:val="center"/>
          </w:tcPr>
          <w:p>
            <w:pPr>
              <w:spacing w:after="0"/>
            </w:pPr>
            <w:r/>
            <w:r>
              <w:rPr>
                <w:rFonts w:ascii="Arial" w:hAnsi="Arial" w:eastAsia="Arial"/>
                <w:b w:val="0"/>
                <w:sz w:val="16"/>
              </w:rPr>
              <w:t>Sulfide, vein, gossan, malachite зэрэг ажиглагдвал өндөр</w:t>
            </w:r>
          </w:p>
        </w:tc>
      </w:tr>
      <w:tr>
        <w:tc>
          <w:tcPr>
            <w:tcW w:type="dxa" w:w="3456"/>
            <w:vAlign w:val="center"/>
          </w:tcPr>
          <w:p>
            <w:pPr>
              <w:spacing w:after="0"/>
            </w:pPr>
            <w:r/>
            <w:r>
              <w:rPr>
                <w:rFonts w:ascii="Arial" w:hAnsi="Arial" w:eastAsia="Arial"/>
                <w:b w:val="0"/>
                <w:sz w:val="16"/>
              </w:rPr>
              <w:t>Remote sensing support</w:t>
            </w:r>
          </w:p>
        </w:tc>
        <w:tc>
          <w:tcPr>
            <w:tcW w:type="dxa" w:w="864"/>
            <w:vAlign w:val="center"/>
          </w:tcPr>
          <w:p>
            <w:pPr>
              <w:spacing w:after="0"/>
            </w:pPr>
            <w:r/>
            <w:r>
              <w:rPr>
                <w:rFonts w:ascii="Arial" w:hAnsi="Arial" w:eastAsia="Arial"/>
                <w:b w:val="0"/>
                <w:sz w:val="16"/>
              </w:rPr>
              <w:t>10</w:t>
            </w:r>
          </w:p>
        </w:tc>
        <w:tc>
          <w:tcPr>
            <w:tcW w:type="dxa" w:w="5328"/>
            <w:vAlign w:val="center"/>
          </w:tcPr>
          <w:p>
            <w:pPr>
              <w:spacing w:after="0"/>
            </w:pPr>
            <w:r/>
            <w:r>
              <w:rPr>
                <w:rFonts w:ascii="Arial" w:hAnsi="Arial" w:eastAsia="Arial"/>
                <w:b w:val="0"/>
                <w:sz w:val="16"/>
              </w:rPr>
              <w:t>Sentinel/ASTER/drone/LiDAR баталгаа байвал өндөр</w:t>
            </w:r>
          </w:p>
        </w:tc>
      </w:tr>
      <w:tr>
        <w:tc>
          <w:tcPr>
            <w:tcW w:type="dxa" w:w="3456"/>
            <w:vAlign w:val="center"/>
          </w:tcPr>
          <w:p>
            <w:pPr>
              <w:spacing w:after="0"/>
            </w:pPr>
            <w:r/>
            <w:r>
              <w:rPr>
                <w:rFonts w:ascii="Arial" w:hAnsi="Arial" w:eastAsia="Arial"/>
                <w:b w:val="0"/>
                <w:sz w:val="16"/>
              </w:rPr>
              <w:t>CMCS/nearby deposit relation</w:t>
            </w:r>
          </w:p>
        </w:tc>
        <w:tc>
          <w:tcPr>
            <w:tcW w:type="dxa" w:w="864"/>
            <w:vAlign w:val="center"/>
          </w:tcPr>
          <w:p>
            <w:pPr>
              <w:spacing w:after="0"/>
            </w:pPr>
            <w:r/>
            <w:r>
              <w:rPr>
                <w:rFonts w:ascii="Arial" w:hAnsi="Arial" w:eastAsia="Arial"/>
                <w:b w:val="0"/>
                <w:sz w:val="16"/>
              </w:rPr>
              <w:t>10</w:t>
            </w:r>
          </w:p>
        </w:tc>
        <w:tc>
          <w:tcPr>
            <w:tcW w:type="dxa" w:w="5328"/>
            <w:vAlign w:val="center"/>
          </w:tcPr>
          <w:p>
            <w:pPr>
              <w:spacing w:after="0"/>
            </w:pPr>
            <w:r/>
            <w:r>
              <w:rPr>
                <w:rFonts w:ascii="Arial" w:hAnsi="Arial" w:eastAsia="Arial"/>
                <w:b w:val="0"/>
                <w:sz w:val="16"/>
              </w:rPr>
              <w:t>Ойролцоох орд/илрэлтэй холбоотой бол өндөр</w:t>
            </w:r>
          </w:p>
        </w:tc>
      </w:tr>
      <w:tr>
        <w:tc>
          <w:tcPr>
            <w:tcW w:type="dxa" w:w="3456"/>
            <w:vAlign w:val="center"/>
          </w:tcPr>
          <w:p>
            <w:pPr>
              <w:spacing w:after="0"/>
            </w:pPr>
            <w:r/>
            <w:r>
              <w:rPr>
                <w:rFonts w:ascii="Arial" w:hAnsi="Arial" w:eastAsia="Arial"/>
                <w:b w:val="0"/>
                <w:sz w:val="16"/>
              </w:rPr>
              <w:t>Access/data quality/risk</w:t>
            </w:r>
          </w:p>
        </w:tc>
        <w:tc>
          <w:tcPr>
            <w:tcW w:type="dxa" w:w="864"/>
            <w:vAlign w:val="center"/>
          </w:tcPr>
          <w:p>
            <w:pPr>
              <w:spacing w:after="0"/>
            </w:pPr>
            <w:r/>
            <w:r>
              <w:rPr>
                <w:rFonts w:ascii="Arial" w:hAnsi="Arial" w:eastAsia="Arial"/>
                <w:b w:val="0"/>
                <w:sz w:val="16"/>
              </w:rPr>
              <w:t>5</w:t>
            </w:r>
          </w:p>
        </w:tc>
        <w:tc>
          <w:tcPr>
            <w:tcW w:type="dxa" w:w="5328"/>
            <w:vAlign w:val="center"/>
          </w:tcPr>
          <w:p>
            <w:pPr>
              <w:spacing w:after="0"/>
            </w:pPr>
            <w:r/>
            <w:r>
              <w:rPr>
                <w:rFonts w:ascii="Arial" w:hAnsi="Arial" w:eastAsia="Arial"/>
                <w:b w:val="0"/>
                <w:sz w:val="16"/>
              </w:rPr>
              <w:t>Дата чанар сайн, эрсдэл бага бол өндөр</w:t>
            </w:r>
          </w:p>
        </w:tc>
      </w:tr>
      <w:tr>
        <w:tc>
          <w:tcPr>
            <w:tcW w:type="dxa" w:w="3456"/>
            <w:vAlign w:val="center"/>
          </w:tcPr>
          <w:p>
            <w:pPr>
              <w:spacing w:after="0"/>
            </w:pPr>
            <w:r/>
            <w:r>
              <w:rPr>
                <w:rFonts w:ascii="Arial" w:hAnsi="Arial" w:eastAsia="Arial"/>
                <w:b w:val="0"/>
                <w:sz w:val="16"/>
              </w:rPr>
              <w:t>Нийт</w:t>
            </w:r>
          </w:p>
        </w:tc>
        <w:tc>
          <w:tcPr>
            <w:tcW w:type="dxa" w:w="864"/>
            <w:vAlign w:val="center"/>
          </w:tcPr>
          <w:p>
            <w:pPr>
              <w:spacing w:after="0"/>
            </w:pPr>
            <w:r/>
            <w:r>
              <w:rPr>
                <w:rFonts w:ascii="Arial" w:hAnsi="Arial" w:eastAsia="Arial"/>
                <w:b w:val="0"/>
                <w:sz w:val="16"/>
              </w:rPr>
              <w:t>100</w:t>
            </w:r>
          </w:p>
        </w:tc>
        <w:tc>
          <w:tcPr>
            <w:tcW w:type="dxa" w:w="5328"/>
            <w:vAlign w:val="center"/>
          </w:tcPr>
          <w:p>
            <w:pPr>
              <w:spacing w:after="0"/>
            </w:pPr>
            <w:r/>
            <w:r>
              <w:rPr>
                <w:rFonts w:ascii="Arial" w:hAnsi="Arial" w:eastAsia="Arial"/>
                <w:b w:val="0"/>
                <w:sz w:val="16"/>
              </w:rPr>
            </w:r>
          </w:p>
        </w:tc>
      </w:tr>
    </w:tbl>
    <w:p/>
    <w:p>
      <w:pPr>
        <w:pStyle w:val="Heading2"/>
      </w:pPr>
      <w:r>
        <w:t>5.2 Target зэрэглэл</w:t>
      </w:r>
    </w:p>
    <w:tbl>
      <w:tblPr>
        <w:tblStyle w:val="TableGrid"/>
        <w:tblW w:type="auto" w:w="0"/>
        <w:jc w:val="center"/>
        <w:tblLook w:firstColumn="1" w:firstRow="1" w:lastColumn="0" w:lastRow="0" w:noHBand="0" w:noVBand="1" w:val="04A0"/>
      </w:tblPr>
      <w:tblGrid>
        <w:gridCol w:w="3456"/>
        <w:gridCol w:w="3456"/>
        <w:gridCol w:w="3456"/>
      </w:tblGrid>
      <w:tr>
        <w:tc>
          <w:tcPr>
            <w:tcW w:type="dxa" w:w="1584"/>
            <w:vAlign w:val="center"/>
            <w:shd w:fill="D9EAF7"/>
          </w:tcPr>
          <w:p>
            <w:pPr>
              <w:spacing w:after="0"/>
            </w:pPr>
            <w:r/>
            <w:r>
              <w:rPr>
                <w:rFonts w:ascii="Arial" w:hAnsi="Arial" w:eastAsia="Arial"/>
                <w:b/>
                <w:sz w:val="16"/>
              </w:rPr>
              <w:t>Зэрэглэл</w:t>
            </w:r>
          </w:p>
        </w:tc>
        <w:tc>
          <w:tcPr>
            <w:tcW w:type="dxa" w:w="1152"/>
            <w:vAlign w:val="center"/>
            <w:shd w:fill="D9EAF7"/>
          </w:tcPr>
          <w:p>
            <w:pPr>
              <w:spacing w:after="0"/>
            </w:pPr>
            <w:r/>
            <w:r>
              <w:rPr>
                <w:rFonts w:ascii="Arial" w:hAnsi="Arial" w:eastAsia="Arial"/>
                <w:b/>
                <w:sz w:val="16"/>
              </w:rPr>
              <w:t>Оноо</w:t>
            </w:r>
          </w:p>
        </w:tc>
        <w:tc>
          <w:tcPr>
            <w:tcW w:type="dxa" w:w="7056"/>
            <w:vAlign w:val="center"/>
            <w:shd w:fill="D9EAF7"/>
          </w:tcPr>
          <w:p>
            <w:pPr>
              <w:spacing w:after="0"/>
            </w:pPr>
            <w:r/>
            <w:r>
              <w:rPr>
                <w:rFonts w:ascii="Arial" w:hAnsi="Arial" w:eastAsia="Arial"/>
                <w:b/>
                <w:sz w:val="16"/>
              </w:rPr>
              <w:t>Тайлбар</w:t>
            </w:r>
          </w:p>
        </w:tc>
      </w:tr>
      <w:tr>
        <w:tc>
          <w:tcPr>
            <w:tcW w:type="dxa" w:w="1584"/>
            <w:vAlign w:val="center"/>
          </w:tcPr>
          <w:p>
            <w:pPr>
              <w:spacing w:after="0"/>
            </w:pPr>
            <w:r/>
            <w:r>
              <w:rPr>
                <w:rFonts w:ascii="Arial" w:hAnsi="Arial" w:eastAsia="Arial"/>
                <w:b w:val="0"/>
                <w:sz w:val="16"/>
              </w:rPr>
              <w:t>A target</w:t>
            </w:r>
          </w:p>
        </w:tc>
        <w:tc>
          <w:tcPr>
            <w:tcW w:type="dxa" w:w="1152"/>
            <w:vAlign w:val="center"/>
          </w:tcPr>
          <w:p>
            <w:pPr>
              <w:spacing w:after="0"/>
            </w:pPr>
            <w:r/>
            <w:r>
              <w:rPr>
                <w:rFonts w:ascii="Arial" w:hAnsi="Arial" w:eastAsia="Arial"/>
                <w:b w:val="0"/>
                <w:sz w:val="16"/>
              </w:rPr>
              <w:t>75–100</w:t>
            </w:r>
          </w:p>
        </w:tc>
        <w:tc>
          <w:tcPr>
            <w:tcW w:type="dxa" w:w="7056"/>
            <w:vAlign w:val="center"/>
          </w:tcPr>
          <w:p>
            <w:pPr>
              <w:spacing w:after="0"/>
            </w:pPr>
            <w:r/>
            <w:r>
              <w:rPr>
                <w:rFonts w:ascii="Arial" w:hAnsi="Arial" w:eastAsia="Arial"/>
                <w:b w:val="0"/>
                <w:sz w:val="16"/>
              </w:rPr>
              <w:t>Өндөр ач холбогдолтой, дараагийн шатны trench/geophysics/scout drilling төлөвлөх боломжтой</w:t>
            </w:r>
          </w:p>
        </w:tc>
      </w:tr>
      <w:tr>
        <w:tc>
          <w:tcPr>
            <w:tcW w:type="dxa" w:w="1584"/>
            <w:vAlign w:val="center"/>
          </w:tcPr>
          <w:p>
            <w:pPr>
              <w:spacing w:after="0"/>
            </w:pPr>
            <w:r/>
            <w:r>
              <w:rPr>
                <w:rFonts w:ascii="Arial" w:hAnsi="Arial" w:eastAsia="Arial"/>
                <w:b w:val="0"/>
                <w:sz w:val="16"/>
              </w:rPr>
              <w:t>B target</w:t>
            </w:r>
          </w:p>
        </w:tc>
        <w:tc>
          <w:tcPr>
            <w:tcW w:type="dxa" w:w="1152"/>
            <w:vAlign w:val="center"/>
          </w:tcPr>
          <w:p>
            <w:pPr>
              <w:spacing w:after="0"/>
            </w:pPr>
            <w:r/>
            <w:r>
              <w:rPr>
                <w:rFonts w:ascii="Arial" w:hAnsi="Arial" w:eastAsia="Arial"/>
                <w:b w:val="0"/>
                <w:sz w:val="16"/>
              </w:rPr>
              <w:t>50–74</w:t>
            </w:r>
          </w:p>
        </w:tc>
        <w:tc>
          <w:tcPr>
            <w:tcW w:type="dxa" w:w="7056"/>
            <w:vAlign w:val="center"/>
          </w:tcPr>
          <w:p>
            <w:pPr>
              <w:spacing w:after="0"/>
            </w:pPr>
            <w:r/>
            <w:r>
              <w:rPr>
                <w:rFonts w:ascii="Arial" w:hAnsi="Arial" w:eastAsia="Arial"/>
                <w:b w:val="0"/>
                <w:sz w:val="16"/>
              </w:rPr>
              <w:t>Дунд ач холбогдолтой, нэмэлт mapping/sampling шаардлагатай</w:t>
            </w:r>
          </w:p>
        </w:tc>
      </w:tr>
      <w:tr>
        <w:tc>
          <w:tcPr>
            <w:tcW w:type="dxa" w:w="1584"/>
            <w:vAlign w:val="center"/>
          </w:tcPr>
          <w:p>
            <w:pPr>
              <w:spacing w:after="0"/>
            </w:pPr>
            <w:r/>
            <w:r>
              <w:rPr>
                <w:rFonts w:ascii="Arial" w:hAnsi="Arial" w:eastAsia="Arial"/>
                <w:b w:val="0"/>
                <w:sz w:val="16"/>
              </w:rPr>
              <w:t>C target</w:t>
            </w:r>
          </w:p>
        </w:tc>
        <w:tc>
          <w:tcPr>
            <w:tcW w:type="dxa" w:w="1152"/>
            <w:vAlign w:val="center"/>
          </w:tcPr>
          <w:p>
            <w:pPr>
              <w:spacing w:after="0"/>
            </w:pPr>
            <w:r/>
            <w:r>
              <w:rPr>
                <w:rFonts w:ascii="Arial" w:hAnsi="Arial" w:eastAsia="Arial"/>
                <w:b w:val="0"/>
                <w:sz w:val="16"/>
              </w:rPr>
              <w:t>25–49</w:t>
            </w:r>
          </w:p>
        </w:tc>
        <w:tc>
          <w:tcPr>
            <w:tcW w:type="dxa" w:w="7056"/>
            <w:vAlign w:val="center"/>
          </w:tcPr>
          <w:p>
            <w:pPr>
              <w:spacing w:after="0"/>
            </w:pPr>
            <w:r/>
            <w:r>
              <w:rPr>
                <w:rFonts w:ascii="Arial" w:hAnsi="Arial" w:eastAsia="Arial"/>
                <w:b w:val="0"/>
                <w:sz w:val="16"/>
              </w:rPr>
              <w:t>Бага ач холбогдолтой, дата дутуу эсвэл баталгаа сул</w:t>
            </w:r>
          </w:p>
        </w:tc>
      </w:tr>
      <w:tr>
        <w:tc>
          <w:tcPr>
            <w:tcW w:type="dxa" w:w="1584"/>
            <w:vAlign w:val="center"/>
          </w:tcPr>
          <w:p>
            <w:pPr>
              <w:spacing w:after="0"/>
            </w:pPr>
            <w:r/>
            <w:r>
              <w:rPr>
                <w:rFonts w:ascii="Arial" w:hAnsi="Arial" w:eastAsia="Arial"/>
                <w:b w:val="0"/>
                <w:sz w:val="16"/>
              </w:rPr>
              <w:t>No-Go</w:t>
            </w:r>
          </w:p>
        </w:tc>
        <w:tc>
          <w:tcPr>
            <w:tcW w:type="dxa" w:w="1152"/>
            <w:vAlign w:val="center"/>
          </w:tcPr>
          <w:p>
            <w:pPr>
              <w:spacing w:after="0"/>
            </w:pPr>
            <w:r/>
            <w:r>
              <w:rPr>
                <w:rFonts w:ascii="Arial" w:hAnsi="Arial" w:eastAsia="Arial"/>
                <w:b w:val="0"/>
                <w:sz w:val="16"/>
              </w:rPr>
              <w:t>&lt;25</w:t>
            </w:r>
          </w:p>
        </w:tc>
        <w:tc>
          <w:tcPr>
            <w:tcW w:type="dxa" w:w="7056"/>
            <w:vAlign w:val="center"/>
          </w:tcPr>
          <w:p>
            <w:pPr>
              <w:spacing w:after="0"/>
            </w:pPr>
            <w:r/>
            <w:r>
              <w:rPr>
                <w:rFonts w:ascii="Arial" w:hAnsi="Arial" w:eastAsia="Arial"/>
                <w:b w:val="0"/>
                <w:sz w:val="16"/>
              </w:rPr>
              <w:t>Одоогоор үргэлжлүүлэх үндэслэл хангалтгүй</w:t>
            </w:r>
          </w:p>
        </w:tc>
      </w:tr>
    </w:tbl>
    <w:p/>
    <w:p>
      <w:pPr>
        <w:pStyle w:val="Heading2"/>
      </w:pPr>
      <w:r>
        <w:t>5.3 Target ranking table</w:t>
      </w:r>
    </w:p>
    <w:p>
      <w:pPr>
        <w:spacing w:after="60"/>
      </w:pPr>
      <w:r>
        <w:rPr>
          <w:b w:val="0"/>
        </w:rPr>
        <w:t>Дараах хүснэгтийг Excel хэлбэрээр гаргана.</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576"/>
            <w:vAlign w:val="center"/>
            <w:shd w:fill="D9EAF7"/>
          </w:tcPr>
          <w:p>
            <w:pPr>
              <w:spacing w:after="0"/>
            </w:pPr>
            <w:r/>
            <w:r>
              <w:rPr>
                <w:rFonts w:ascii="Arial" w:hAnsi="Arial" w:eastAsia="Arial"/>
                <w:b/>
                <w:sz w:val="16"/>
              </w:rPr>
              <w:t>Rank</w:t>
            </w:r>
          </w:p>
        </w:tc>
        <w:tc>
          <w:tcPr>
            <w:tcW w:type="dxa" w:w="1008"/>
            <w:vAlign w:val="center"/>
            <w:shd w:fill="D9EAF7"/>
          </w:tcPr>
          <w:p>
            <w:pPr>
              <w:spacing w:after="0"/>
            </w:pPr>
            <w:r/>
            <w:r>
              <w:rPr>
                <w:rFonts w:ascii="Arial" w:hAnsi="Arial" w:eastAsia="Arial"/>
                <w:b/>
                <w:sz w:val="16"/>
              </w:rPr>
              <w:t>Target ID</w:t>
            </w:r>
          </w:p>
        </w:tc>
        <w:tc>
          <w:tcPr>
            <w:tcW w:type="dxa" w:w="1152"/>
            <w:vAlign w:val="center"/>
            <w:shd w:fill="D9EAF7"/>
          </w:tcPr>
          <w:p>
            <w:pPr>
              <w:spacing w:after="0"/>
            </w:pPr>
            <w:r/>
            <w:r>
              <w:rPr>
                <w:rFonts w:ascii="Arial" w:hAnsi="Arial" w:eastAsia="Arial"/>
                <w:b/>
                <w:sz w:val="16"/>
              </w:rPr>
              <w:t>Target name</w:t>
            </w:r>
          </w:p>
        </w:tc>
        <w:tc>
          <w:tcPr>
            <w:tcW w:type="dxa" w:w="1008"/>
            <w:vAlign w:val="center"/>
            <w:shd w:fill="D9EAF7"/>
          </w:tcPr>
          <w:p>
            <w:pPr>
              <w:spacing w:after="0"/>
            </w:pPr>
            <w:r/>
            <w:r>
              <w:rPr>
                <w:rFonts w:ascii="Arial" w:hAnsi="Arial" w:eastAsia="Arial"/>
                <w:b/>
                <w:sz w:val="16"/>
              </w:rPr>
              <w:t>Commodity</w:t>
            </w:r>
          </w:p>
        </w:tc>
        <w:tc>
          <w:tcPr>
            <w:tcW w:type="dxa" w:w="1296"/>
            <w:vAlign w:val="center"/>
            <w:shd w:fill="D9EAF7"/>
          </w:tcPr>
          <w:p>
            <w:pPr>
              <w:spacing w:after="0"/>
            </w:pPr>
            <w:r/>
            <w:r>
              <w:rPr>
                <w:rFonts w:ascii="Arial" w:hAnsi="Arial" w:eastAsia="Arial"/>
                <w:b/>
                <w:sz w:val="16"/>
              </w:rPr>
              <w:t>Deposit model</w:t>
            </w:r>
          </w:p>
        </w:tc>
        <w:tc>
          <w:tcPr>
            <w:tcW w:type="dxa" w:w="720"/>
            <w:vAlign w:val="center"/>
            <w:shd w:fill="D9EAF7"/>
          </w:tcPr>
          <w:p>
            <w:pPr>
              <w:spacing w:after="0"/>
            </w:pPr>
            <w:r/>
            <w:r>
              <w:rPr>
                <w:rFonts w:ascii="Arial" w:hAnsi="Arial" w:eastAsia="Arial"/>
                <w:b/>
                <w:sz w:val="16"/>
              </w:rPr>
              <w:t>Score</w:t>
            </w:r>
          </w:p>
        </w:tc>
        <w:tc>
          <w:tcPr>
            <w:tcW w:type="dxa" w:w="720"/>
            <w:vAlign w:val="center"/>
            <w:shd w:fill="D9EAF7"/>
          </w:tcPr>
          <w:p>
            <w:pPr>
              <w:spacing w:after="0"/>
            </w:pPr>
            <w:r/>
            <w:r>
              <w:rPr>
                <w:rFonts w:ascii="Arial" w:hAnsi="Arial" w:eastAsia="Arial"/>
                <w:b/>
                <w:sz w:val="16"/>
              </w:rPr>
              <w:t>Class</w:t>
            </w:r>
          </w:p>
        </w:tc>
        <w:tc>
          <w:tcPr>
            <w:tcW w:type="dxa" w:w="1440"/>
            <w:vAlign w:val="center"/>
            <w:shd w:fill="D9EAF7"/>
          </w:tcPr>
          <w:p>
            <w:pPr>
              <w:spacing w:after="0"/>
            </w:pPr>
            <w:r/>
            <w:r>
              <w:rPr>
                <w:rFonts w:ascii="Arial" w:hAnsi="Arial" w:eastAsia="Arial"/>
                <w:b/>
                <w:sz w:val="16"/>
              </w:rPr>
              <w:t>Main evidence</w:t>
            </w:r>
          </w:p>
        </w:tc>
        <w:tc>
          <w:tcPr>
            <w:tcW w:type="dxa" w:w="1152"/>
            <w:vAlign w:val="center"/>
            <w:shd w:fill="D9EAF7"/>
          </w:tcPr>
          <w:p>
            <w:pPr>
              <w:spacing w:after="0"/>
            </w:pPr>
            <w:r/>
            <w:r>
              <w:rPr>
                <w:rFonts w:ascii="Arial" w:hAnsi="Arial" w:eastAsia="Arial"/>
                <w:b/>
                <w:sz w:val="16"/>
              </w:rPr>
              <w:t>Key risk</w:t>
            </w:r>
          </w:p>
        </w:tc>
        <w:tc>
          <w:tcPr>
            <w:tcW w:type="dxa" w:w="1728"/>
            <w:vAlign w:val="center"/>
            <w:shd w:fill="D9EAF7"/>
          </w:tcPr>
          <w:p>
            <w:pPr>
              <w:spacing w:after="0"/>
            </w:pPr>
            <w:r/>
            <w:r>
              <w:rPr>
                <w:rFonts w:ascii="Arial" w:hAnsi="Arial" w:eastAsia="Arial"/>
                <w:b/>
                <w:sz w:val="16"/>
              </w:rPr>
              <w:t>Recommended next step</w:t>
            </w:r>
          </w:p>
        </w:tc>
      </w:tr>
      <w:tr>
        <w:tc>
          <w:tcPr>
            <w:tcW w:type="dxa" w:w="576"/>
            <w:vAlign w:val="center"/>
          </w:tcPr>
          <w:p>
            <w:pPr>
              <w:spacing w:after="0"/>
            </w:pPr>
            <w:r/>
            <w:r>
              <w:rPr>
                <w:rFonts w:ascii="Arial" w:hAnsi="Arial" w:eastAsia="Arial"/>
                <w:b w:val="0"/>
                <w:sz w:val="16"/>
              </w:rPr>
            </w:r>
          </w:p>
        </w:tc>
        <w:tc>
          <w:tcPr>
            <w:tcW w:type="dxa" w:w="1008"/>
            <w:vAlign w:val="center"/>
          </w:tcPr>
          <w:p>
            <w:pPr>
              <w:spacing w:after="0"/>
            </w:pPr>
            <w:r/>
            <w:r>
              <w:rPr>
                <w:rFonts w:ascii="Arial" w:hAnsi="Arial" w:eastAsia="Arial"/>
                <w:b w:val="0"/>
                <w:sz w:val="16"/>
              </w:rPr>
            </w:r>
          </w:p>
        </w:tc>
        <w:tc>
          <w:tcPr>
            <w:tcW w:type="dxa" w:w="1152"/>
            <w:vAlign w:val="center"/>
          </w:tcPr>
          <w:p>
            <w:pPr>
              <w:spacing w:after="0"/>
            </w:pPr>
            <w:r/>
            <w:r>
              <w:rPr>
                <w:rFonts w:ascii="Arial" w:hAnsi="Arial" w:eastAsia="Arial"/>
                <w:b w:val="0"/>
                <w:sz w:val="16"/>
              </w:rPr>
            </w:r>
          </w:p>
        </w:tc>
        <w:tc>
          <w:tcPr>
            <w:tcW w:type="dxa" w:w="1008"/>
            <w:vAlign w:val="center"/>
          </w:tcPr>
          <w:p>
            <w:pPr>
              <w:spacing w:after="0"/>
            </w:pPr>
            <w:r/>
            <w:r>
              <w:rPr>
                <w:rFonts w:ascii="Arial" w:hAnsi="Arial" w:eastAsia="Arial"/>
                <w:b w:val="0"/>
                <w:sz w:val="16"/>
              </w:rPr>
            </w:r>
          </w:p>
        </w:tc>
        <w:tc>
          <w:tcPr>
            <w:tcW w:type="dxa" w:w="1296"/>
            <w:vAlign w:val="center"/>
          </w:tcPr>
          <w:p>
            <w:pPr>
              <w:spacing w:after="0"/>
            </w:pPr>
            <w:r/>
            <w:r>
              <w:rPr>
                <w:rFonts w:ascii="Arial" w:hAnsi="Arial" w:eastAsia="Arial"/>
                <w:b w:val="0"/>
                <w:sz w:val="16"/>
              </w:rPr>
            </w:r>
          </w:p>
        </w:tc>
        <w:tc>
          <w:tcPr>
            <w:tcW w:type="dxa" w:w="720"/>
            <w:vAlign w:val="center"/>
          </w:tcPr>
          <w:p>
            <w:pPr>
              <w:spacing w:after="0"/>
            </w:pPr>
            <w:r/>
            <w:r>
              <w:rPr>
                <w:rFonts w:ascii="Arial" w:hAnsi="Arial" w:eastAsia="Arial"/>
                <w:b w:val="0"/>
                <w:sz w:val="16"/>
              </w:rPr>
            </w:r>
          </w:p>
        </w:tc>
        <w:tc>
          <w:tcPr>
            <w:tcW w:type="dxa" w:w="720"/>
            <w:vAlign w:val="center"/>
          </w:tcPr>
          <w:p>
            <w:pPr>
              <w:spacing w:after="0"/>
            </w:pPr>
            <w:r/>
            <w:r>
              <w:rPr>
                <w:rFonts w:ascii="Arial" w:hAnsi="Arial" w:eastAsia="Arial"/>
                <w:b w:val="0"/>
                <w:sz w:val="16"/>
              </w:rPr>
            </w:r>
          </w:p>
        </w:tc>
        <w:tc>
          <w:tcPr>
            <w:tcW w:type="dxa" w:w="1440"/>
            <w:vAlign w:val="center"/>
          </w:tcPr>
          <w:p>
            <w:pPr>
              <w:spacing w:after="0"/>
            </w:pPr>
            <w:r/>
            <w:r>
              <w:rPr>
                <w:rFonts w:ascii="Arial" w:hAnsi="Arial" w:eastAsia="Arial"/>
                <w:b w:val="0"/>
                <w:sz w:val="16"/>
              </w:rPr>
            </w:r>
          </w:p>
        </w:tc>
        <w:tc>
          <w:tcPr>
            <w:tcW w:type="dxa" w:w="1152"/>
            <w:vAlign w:val="center"/>
          </w:tcPr>
          <w:p>
            <w:pPr>
              <w:spacing w:after="0"/>
            </w:pPr>
            <w:r/>
            <w:r>
              <w:rPr>
                <w:rFonts w:ascii="Arial" w:hAnsi="Arial" w:eastAsia="Arial"/>
                <w:b w:val="0"/>
                <w:sz w:val="16"/>
              </w:rPr>
            </w:r>
          </w:p>
        </w:tc>
        <w:tc>
          <w:tcPr>
            <w:tcW w:type="dxa" w:w="1728"/>
            <w:vAlign w:val="center"/>
          </w:tcPr>
          <w:p>
            <w:pPr>
              <w:spacing w:after="0"/>
            </w:pPr>
            <w:r/>
            <w:r>
              <w:rPr>
                <w:rFonts w:ascii="Arial" w:hAnsi="Arial" w:eastAsia="Arial"/>
                <w:b w:val="0"/>
                <w:sz w:val="16"/>
              </w:rPr>
            </w:r>
          </w:p>
        </w:tc>
      </w:tr>
    </w:tbl>
    <w:p/>
    <w:p>
      <w:pPr>
        <w:spacing w:after="60"/>
      </w:pPr>
      <w:r>
        <w:rPr>
          <w:b/>
        </w:rPr>
        <w:t>Жишээ:</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720"/>
            <w:vAlign w:val="center"/>
            <w:shd w:fill="D9EAF7"/>
          </w:tcPr>
          <w:p>
            <w:pPr>
              <w:spacing w:after="0"/>
            </w:pPr>
            <w:r/>
            <w:r>
              <w:rPr>
                <w:rFonts w:ascii="Arial" w:hAnsi="Arial" w:eastAsia="Arial"/>
                <w:b/>
                <w:sz w:val="16"/>
              </w:rPr>
              <w:t>Rank</w:t>
            </w:r>
          </w:p>
        </w:tc>
        <w:tc>
          <w:tcPr>
            <w:tcW w:type="dxa" w:w="1296"/>
            <w:vAlign w:val="center"/>
            <w:shd w:fill="D9EAF7"/>
          </w:tcPr>
          <w:p>
            <w:pPr>
              <w:spacing w:after="0"/>
            </w:pPr>
            <w:r/>
            <w:r>
              <w:rPr>
                <w:rFonts w:ascii="Arial" w:hAnsi="Arial" w:eastAsia="Arial"/>
                <w:b/>
                <w:sz w:val="16"/>
              </w:rPr>
              <w:t>Target ID</w:t>
            </w:r>
          </w:p>
        </w:tc>
        <w:tc>
          <w:tcPr>
            <w:tcW w:type="dxa" w:w="1440"/>
            <w:vAlign w:val="center"/>
            <w:shd w:fill="D9EAF7"/>
          </w:tcPr>
          <w:p>
            <w:pPr>
              <w:spacing w:after="0"/>
            </w:pPr>
            <w:r/>
            <w:r>
              <w:rPr>
                <w:rFonts w:ascii="Arial" w:hAnsi="Arial" w:eastAsia="Arial"/>
                <w:b/>
                <w:sz w:val="16"/>
              </w:rPr>
              <w:t>Commodity</w:t>
            </w:r>
          </w:p>
        </w:tc>
        <w:tc>
          <w:tcPr>
            <w:tcW w:type="dxa" w:w="1008"/>
            <w:vAlign w:val="center"/>
            <w:shd w:fill="D9EAF7"/>
          </w:tcPr>
          <w:p>
            <w:pPr>
              <w:spacing w:after="0"/>
            </w:pPr>
            <w:r/>
            <w:r>
              <w:rPr>
                <w:rFonts w:ascii="Arial" w:hAnsi="Arial" w:eastAsia="Arial"/>
                <w:b/>
                <w:sz w:val="16"/>
              </w:rPr>
              <w:t>Score</w:t>
            </w:r>
          </w:p>
        </w:tc>
        <w:tc>
          <w:tcPr>
            <w:tcW w:type="dxa" w:w="1008"/>
            <w:vAlign w:val="center"/>
            <w:shd w:fill="D9EAF7"/>
          </w:tcPr>
          <w:p>
            <w:pPr>
              <w:spacing w:after="0"/>
            </w:pPr>
            <w:r/>
            <w:r>
              <w:rPr>
                <w:rFonts w:ascii="Arial" w:hAnsi="Arial" w:eastAsia="Arial"/>
                <w:b/>
                <w:sz w:val="16"/>
              </w:rPr>
              <w:t>Class</w:t>
            </w:r>
          </w:p>
        </w:tc>
        <w:tc>
          <w:tcPr>
            <w:tcW w:type="dxa" w:w="4320"/>
            <w:vAlign w:val="center"/>
            <w:shd w:fill="D9EAF7"/>
          </w:tcPr>
          <w:p>
            <w:pPr>
              <w:spacing w:after="0"/>
            </w:pPr>
            <w:r/>
            <w:r>
              <w:rPr>
                <w:rFonts w:ascii="Arial" w:hAnsi="Arial" w:eastAsia="Arial"/>
                <w:b/>
                <w:sz w:val="16"/>
              </w:rPr>
              <w:t>Recommended next step</w:t>
            </w:r>
          </w:p>
        </w:tc>
      </w:tr>
      <w:tr>
        <w:tc>
          <w:tcPr>
            <w:tcW w:type="dxa" w:w="720"/>
            <w:vAlign w:val="center"/>
          </w:tcPr>
          <w:p>
            <w:pPr>
              <w:spacing w:after="0"/>
            </w:pPr>
            <w:r/>
            <w:r>
              <w:rPr>
                <w:rFonts w:ascii="Arial" w:hAnsi="Arial" w:eastAsia="Arial"/>
                <w:b w:val="0"/>
                <w:sz w:val="16"/>
              </w:rPr>
              <w:t>1</w:t>
            </w:r>
          </w:p>
        </w:tc>
        <w:tc>
          <w:tcPr>
            <w:tcW w:type="dxa" w:w="1296"/>
            <w:vAlign w:val="center"/>
          </w:tcPr>
          <w:p>
            <w:pPr>
              <w:spacing w:after="0"/>
            </w:pPr>
            <w:r/>
            <w:r>
              <w:rPr>
                <w:rFonts w:ascii="Arial" w:hAnsi="Arial" w:eastAsia="Arial"/>
                <w:b w:val="0"/>
                <w:sz w:val="16"/>
              </w:rPr>
              <w:t>T-A1</w:t>
            </w:r>
          </w:p>
        </w:tc>
        <w:tc>
          <w:tcPr>
            <w:tcW w:type="dxa" w:w="1440"/>
            <w:vAlign w:val="center"/>
          </w:tcPr>
          <w:p>
            <w:pPr>
              <w:spacing w:after="0"/>
            </w:pPr>
            <w:r/>
            <w:r>
              <w:rPr>
                <w:rFonts w:ascii="Arial" w:hAnsi="Arial" w:eastAsia="Arial"/>
                <w:b w:val="0"/>
                <w:sz w:val="16"/>
              </w:rPr>
              <w:t>Cu-Au</w:t>
            </w:r>
          </w:p>
        </w:tc>
        <w:tc>
          <w:tcPr>
            <w:tcW w:type="dxa" w:w="1008"/>
            <w:vAlign w:val="center"/>
          </w:tcPr>
          <w:p>
            <w:pPr>
              <w:spacing w:after="0"/>
            </w:pPr>
            <w:r/>
            <w:r>
              <w:rPr>
                <w:rFonts w:ascii="Arial" w:hAnsi="Arial" w:eastAsia="Arial"/>
                <w:b w:val="0"/>
                <w:sz w:val="16"/>
              </w:rPr>
              <w:t>86</w:t>
            </w:r>
          </w:p>
        </w:tc>
        <w:tc>
          <w:tcPr>
            <w:tcW w:type="dxa" w:w="1008"/>
            <w:vAlign w:val="center"/>
          </w:tcPr>
          <w:p>
            <w:pPr>
              <w:spacing w:after="0"/>
            </w:pPr>
            <w:r/>
            <w:r>
              <w:rPr>
                <w:rFonts w:ascii="Arial" w:hAnsi="Arial" w:eastAsia="Arial"/>
                <w:b w:val="0"/>
                <w:sz w:val="16"/>
              </w:rPr>
              <w:t>A</w:t>
            </w:r>
          </w:p>
        </w:tc>
        <w:tc>
          <w:tcPr>
            <w:tcW w:type="dxa" w:w="4320"/>
            <w:vAlign w:val="center"/>
          </w:tcPr>
          <w:p>
            <w:pPr>
              <w:spacing w:after="0"/>
            </w:pPr>
            <w:r/>
            <w:r>
              <w:rPr>
                <w:rFonts w:ascii="Arial" w:hAnsi="Arial" w:eastAsia="Arial"/>
                <w:b w:val="0"/>
                <w:sz w:val="16"/>
              </w:rPr>
              <w:t>Trench + IP geophysics + scout drilling</w:t>
            </w:r>
          </w:p>
        </w:tc>
      </w:tr>
      <w:tr>
        <w:tc>
          <w:tcPr>
            <w:tcW w:type="dxa" w:w="720"/>
            <w:vAlign w:val="center"/>
          </w:tcPr>
          <w:p>
            <w:pPr>
              <w:spacing w:after="0"/>
            </w:pPr>
            <w:r/>
            <w:r>
              <w:rPr>
                <w:rFonts w:ascii="Arial" w:hAnsi="Arial" w:eastAsia="Arial"/>
                <w:b w:val="0"/>
                <w:sz w:val="16"/>
              </w:rPr>
              <w:t>2</w:t>
            </w:r>
          </w:p>
        </w:tc>
        <w:tc>
          <w:tcPr>
            <w:tcW w:type="dxa" w:w="1296"/>
            <w:vAlign w:val="center"/>
          </w:tcPr>
          <w:p>
            <w:pPr>
              <w:spacing w:after="0"/>
            </w:pPr>
            <w:r/>
            <w:r>
              <w:rPr>
                <w:rFonts w:ascii="Arial" w:hAnsi="Arial" w:eastAsia="Arial"/>
                <w:b w:val="0"/>
                <w:sz w:val="16"/>
              </w:rPr>
              <w:t>T-A2</w:t>
            </w:r>
          </w:p>
        </w:tc>
        <w:tc>
          <w:tcPr>
            <w:tcW w:type="dxa" w:w="1440"/>
            <w:vAlign w:val="center"/>
          </w:tcPr>
          <w:p>
            <w:pPr>
              <w:spacing w:after="0"/>
            </w:pPr>
            <w:r/>
            <w:r>
              <w:rPr>
                <w:rFonts w:ascii="Arial" w:hAnsi="Arial" w:eastAsia="Arial"/>
                <w:b w:val="0"/>
                <w:sz w:val="16"/>
              </w:rPr>
              <w:t>Au-Ag</w:t>
            </w:r>
          </w:p>
        </w:tc>
        <w:tc>
          <w:tcPr>
            <w:tcW w:type="dxa" w:w="1008"/>
            <w:vAlign w:val="center"/>
          </w:tcPr>
          <w:p>
            <w:pPr>
              <w:spacing w:after="0"/>
            </w:pPr>
            <w:r/>
            <w:r>
              <w:rPr>
                <w:rFonts w:ascii="Arial" w:hAnsi="Arial" w:eastAsia="Arial"/>
                <w:b w:val="0"/>
                <w:sz w:val="16"/>
              </w:rPr>
              <w:t>78</w:t>
            </w:r>
          </w:p>
        </w:tc>
        <w:tc>
          <w:tcPr>
            <w:tcW w:type="dxa" w:w="1008"/>
            <w:vAlign w:val="center"/>
          </w:tcPr>
          <w:p>
            <w:pPr>
              <w:spacing w:after="0"/>
            </w:pPr>
            <w:r/>
            <w:r>
              <w:rPr>
                <w:rFonts w:ascii="Arial" w:hAnsi="Arial" w:eastAsia="Arial"/>
                <w:b w:val="0"/>
                <w:sz w:val="16"/>
              </w:rPr>
              <w:t>A</w:t>
            </w:r>
          </w:p>
        </w:tc>
        <w:tc>
          <w:tcPr>
            <w:tcW w:type="dxa" w:w="4320"/>
            <w:vAlign w:val="center"/>
          </w:tcPr>
          <w:p>
            <w:pPr>
              <w:spacing w:after="0"/>
            </w:pPr>
            <w:r/>
            <w:r>
              <w:rPr>
                <w:rFonts w:ascii="Arial" w:hAnsi="Arial" w:eastAsia="Arial"/>
                <w:b w:val="0"/>
                <w:sz w:val="16"/>
              </w:rPr>
              <w:t>Detailed mapping + channel sampling</w:t>
            </w:r>
          </w:p>
        </w:tc>
      </w:tr>
      <w:tr>
        <w:tc>
          <w:tcPr>
            <w:tcW w:type="dxa" w:w="720"/>
            <w:vAlign w:val="center"/>
          </w:tcPr>
          <w:p>
            <w:pPr>
              <w:spacing w:after="0"/>
            </w:pPr>
            <w:r/>
            <w:r>
              <w:rPr>
                <w:rFonts w:ascii="Arial" w:hAnsi="Arial" w:eastAsia="Arial"/>
                <w:b w:val="0"/>
                <w:sz w:val="16"/>
              </w:rPr>
              <w:t>3</w:t>
            </w:r>
          </w:p>
        </w:tc>
        <w:tc>
          <w:tcPr>
            <w:tcW w:type="dxa" w:w="1296"/>
            <w:vAlign w:val="center"/>
          </w:tcPr>
          <w:p>
            <w:pPr>
              <w:spacing w:after="0"/>
            </w:pPr>
            <w:r/>
            <w:r>
              <w:rPr>
                <w:rFonts w:ascii="Arial" w:hAnsi="Arial" w:eastAsia="Arial"/>
                <w:b w:val="0"/>
                <w:sz w:val="16"/>
              </w:rPr>
              <w:t>T-B1</w:t>
            </w:r>
          </w:p>
        </w:tc>
        <w:tc>
          <w:tcPr>
            <w:tcW w:type="dxa" w:w="1440"/>
            <w:vAlign w:val="center"/>
          </w:tcPr>
          <w:p>
            <w:pPr>
              <w:spacing w:after="0"/>
            </w:pPr>
            <w:r/>
            <w:r>
              <w:rPr>
                <w:rFonts w:ascii="Arial" w:hAnsi="Arial" w:eastAsia="Arial"/>
                <w:b w:val="0"/>
                <w:sz w:val="16"/>
              </w:rPr>
              <w:t>Pb-Zn-Ag</w:t>
            </w:r>
          </w:p>
        </w:tc>
        <w:tc>
          <w:tcPr>
            <w:tcW w:type="dxa" w:w="1008"/>
            <w:vAlign w:val="center"/>
          </w:tcPr>
          <w:p>
            <w:pPr>
              <w:spacing w:after="0"/>
            </w:pPr>
            <w:r/>
            <w:r>
              <w:rPr>
                <w:rFonts w:ascii="Arial" w:hAnsi="Arial" w:eastAsia="Arial"/>
                <w:b w:val="0"/>
                <w:sz w:val="16"/>
              </w:rPr>
              <w:t>64</w:t>
            </w:r>
          </w:p>
        </w:tc>
        <w:tc>
          <w:tcPr>
            <w:tcW w:type="dxa" w:w="1008"/>
            <w:vAlign w:val="center"/>
          </w:tcPr>
          <w:p>
            <w:pPr>
              <w:spacing w:after="0"/>
            </w:pPr>
            <w:r/>
            <w:r>
              <w:rPr>
                <w:rFonts w:ascii="Arial" w:hAnsi="Arial" w:eastAsia="Arial"/>
                <w:b w:val="0"/>
                <w:sz w:val="16"/>
              </w:rPr>
              <w:t>B</w:t>
            </w:r>
          </w:p>
        </w:tc>
        <w:tc>
          <w:tcPr>
            <w:tcW w:type="dxa" w:w="4320"/>
            <w:vAlign w:val="center"/>
          </w:tcPr>
          <w:p>
            <w:pPr>
              <w:spacing w:after="0"/>
            </w:pPr>
            <w:r/>
            <w:r>
              <w:rPr>
                <w:rFonts w:ascii="Arial" w:hAnsi="Arial" w:eastAsia="Arial"/>
                <w:b w:val="0"/>
                <w:sz w:val="16"/>
              </w:rPr>
              <w:t>Soil grid + rock chip sampling</w:t>
            </w:r>
          </w:p>
        </w:tc>
      </w:tr>
      <w:tr>
        <w:tc>
          <w:tcPr>
            <w:tcW w:type="dxa" w:w="720"/>
            <w:vAlign w:val="center"/>
          </w:tcPr>
          <w:p>
            <w:pPr>
              <w:spacing w:after="0"/>
            </w:pPr>
            <w:r/>
            <w:r>
              <w:rPr>
                <w:rFonts w:ascii="Arial" w:hAnsi="Arial" w:eastAsia="Arial"/>
                <w:b w:val="0"/>
                <w:sz w:val="16"/>
              </w:rPr>
              <w:t>4</w:t>
            </w:r>
          </w:p>
        </w:tc>
        <w:tc>
          <w:tcPr>
            <w:tcW w:type="dxa" w:w="1296"/>
            <w:vAlign w:val="center"/>
          </w:tcPr>
          <w:p>
            <w:pPr>
              <w:spacing w:after="0"/>
            </w:pPr>
            <w:r/>
            <w:r>
              <w:rPr>
                <w:rFonts w:ascii="Arial" w:hAnsi="Arial" w:eastAsia="Arial"/>
                <w:b w:val="0"/>
                <w:sz w:val="16"/>
              </w:rPr>
              <w:t>T-C1</w:t>
            </w:r>
          </w:p>
        </w:tc>
        <w:tc>
          <w:tcPr>
            <w:tcW w:type="dxa" w:w="1440"/>
            <w:vAlign w:val="center"/>
          </w:tcPr>
          <w:p>
            <w:pPr>
              <w:spacing w:after="0"/>
            </w:pPr>
            <w:r/>
            <w:r>
              <w:rPr>
                <w:rFonts w:ascii="Arial" w:hAnsi="Arial" w:eastAsia="Arial"/>
                <w:b w:val="0"/>
                <w:sz w:val="16"/>
              </w:rPr>
              <w:t>Cu</w:t>
            </w:r>
          </w:p>
        </w:tc>
        <w:tc>
          <w:tcPr>
            <w:tcW w:type="dxa" w:w="1008"/>
            <w:vAlign w:val="center"/>
          </w:tcPr>
          <w:p>
            <w:pPr>
              <w:spacing w:after="0"/>
            </w:pPr>
            <w:r/>
            <w:r>
              <w:rPr>
                <w:rFonts w:ascii="Arial" w:hAnsi="Arial" w:eastAsia="Arial"/>
                <w:b w:val="0"/>
                <w:sz w:val="16"/>
              </w:rPr>
              <w:t>42</w:t>
            </w:r>
          </w:p>
        </w:tc>
        <w:tc>
          <w:tcPr>
            <w:tcW w:type="dxa" w:w="1008"/>
            <w:vAlign w:val="center"/>
          </w:tcPr>
          <w:p>
            <w:pPr>
              <w:spacing w:after="0"/>
            </w:pPr>
            <w:r/>
            <w:r>
              <w:rPr>
                <w:rFonts w:ascii="Arial" w:hAnsi="Arial" w:eastAsia="Arial"/>
                <w:b w:val="0"/>
                <w:sz w:val="16"/>
              </w:rPr>
              <w:t>C</w:t>
            </w:r>
          </w:p>
        </w:tc>
        <w:tc>
          <w:tcPr>
            <w:tcW w:type="dxa" w:w="4320"/>
            <w:vAlign w:val="center"/>
          </w:tcPr>
          <w:p>
            <w:pPr>
              <w:spacing w:after="0"/>
            </w:pPr>
            <w:r/>
            <w:r>
              <w:rPr>
                <w:rFonts w:ascii="Arial" w:hAnsi="Arial" w:eastAsia="Arial"/>
                <w:b w:val="0"/>
                <w:sz w:val="16"/>
              </w:rPr>
              <w:t>Reconnaissance check</w:t>
            </w:r>
          </w:p>
        </w:tc>
      </w:tr>
      <w:tr>
        <w:tc>
          <w:tcPr>
            <w:tcW w:type="dxa" w:w="720"/>
            <w:vAlign w:val="center"/>
          </w:tcPr>
          <w:p>
            <w:pPr>
              <w:spacing w:after="0"/>
            </w:pPr>
            <w:r/>
            <w:r>
              <w:rPr>
                <w:rFonts w:ascii="Arial" w:hAnsi="Arial" w:eastAsia="Arial"/>
                <w:b w:val="0"/>
                <w:sz w:val="16"/>
              </w:rPr>
              <w:t>5</w:t>
            </w:r>
          </w:p>
        </w:tc>
        <w:tc>
          <w:tcPr>
            <w:tcW w:type="dxa" w:w="1296"/>
            <w:vAlign w:val="center"/>
          </w:tcPr>
          <w:p>
            <w:pPr>
              <w:spacing w:after="0"/>
            </w:pPr>
            <w:r/>
            <w:r>
              <w:rPr>
                <w:rFonts w:ascii="Arial" w:hAnsi="Arial" w:eastAsia="Arial"/>
                <w:b w:val="0"/>
                <w:sz w:val="16"/>
              </w:rPr>
              <w:t>T-N1</w:t>
            </w:r>
          </w:p>
        </w:tc>
        <w:tc>
          <w:tcPr>
            <w:tcW w:type="dxa" w:w="1440"/>
            <w:vAlign w:val="center"/>
          </w:tcPr>
          <w:p>
            <w:pPr>
              <w:spacing w:after="0"/>
            </w:pPr>
            <w:r/>
            <w:r>
              <w:rPr>
                <w:rFonts w:ascii="Arial" w:hAnsi="Arial" w:eastAsia="Arial"/>
                <w:b w:val="0"/>
                <w:sz w:val="16"/>
              </w:rPr>
              <w:t>Unknown</w:t>
            </w:r>
          </w:p>
        </w:tc>
        <w:tc>
          <w:tcPr>
            <w:tcW w:type="dxa" w:w="1008"/>
            <w:vAlign w:val="center"/>
          </w:tcPr>
          <w:p>
            <w:pPr>
              <w:spacing w:after="0"/>
            </w:pPr>
            <w:r/>
            <w:r>
              <w:rPr>
                <w:rFonts w:ascii="Arial" w:hAnsi="Arial" w:eastAsia="Arial"/>
                <w:b w:val="0"/>
                <w:sz w:val="16"/>
              </w:rPr>
              <w:t>18</w:t>
            </w:r>
          </w:p>
        </w:tc>
        <w:tc>
          <w:tcPr>
            <w:tcW w:type="dxa" w:w="1008"/>
            <w:vAlign w:val="center"/>
          </w:tcPr>
          <w:p>
            <w:pPr>
              <w:spacing w:after="0"/>
            </w:pPr>
            <w:r/>
            <w:r>
              <w:rPr>
                <w:rFonts w:ascii="Arial" w:hAnsi="Arial" w:eastAsia="Arial"/>
                <w:b w:val="0"/>
                <w:sz w:val="16"/>
              </w:rPr>
              <w:t>No-Go</w:t>
            </w:r>
          </w:p>
        </w:tc>
        <w:tc>
          <w:tcPr>
            <w:tcW w:type="dxa" w:w="4320"/>
            <w:vAlign w:val="center"/>
          </w:tcPr>
          <w:p>
            <w:pPr>
              <w:spacing w:after="0"/>
            </w:pPr>
            <w:r/>
            <w:r>
              <w:rPr>
                <w:rFonts w:ascii="Arial" w:hAnsi="Arial" w:eastAsia="Arial"/>
                <w:b w:val="0"/>
                <w:sz w:val="16"/>
              </w:rPr>
              <w:t>No further work</w:t>
            </w:r>
          </w:p>
        </w:tc>
      </w:tr>
    </w:tbl>
    <w:p/>
    <w:p>
      <w:pPr>
        <w:pStyle w:val="Heading1"/>
      </w:pPr>
      <w:r>
        <w:t>6. Ордын төрлөөр үнэлэх аргачлал</w:t>
      </w:r>
    </w:p>
    <w:p>
      <w:pPr>
        <w:pStyle w:val="Heading2"/>
      </w:pPr>
      <w:r>
        <w:t>6.1 Porphyry Cu-Au target</w:t>
      </w:r>
    </w:p>
    <w:p>
      <w:pPr>
        <w:spacing w:after="60"/>
      </w:pPr>
      <w:r>
        <w:rPr>
          <w:b/>
        </w:rPr>
        <w:t>Өндөр ач холбогдолтой болох нөхцөл:</w:t>
      </w:r>
    </w:p>
    <w:p>
      <w:pPr>
        <w:pStyle w:val="ListBullet"/>
        <w:spacing w:after="20"/>
      </w:pPr>
      <w:r>
        <w:t>Интрузив биеттэй холбоотой</w:t>
      </w:r>
    </w:p>
    <w:p>
      <w:pPr>
        <w:pStyle w:val="ListBullet"/>
        <w:spacing w:after="20"/>
      </w:pPr>
      <w:r>
        <w:t>Cu-Mo-Au anomaly илэрсэн</w:t>
      </w:r>
    </w:p>
    <w:p>
      <w:pPr>
        <w:pStyle w:val="ListBullet"/>
        <w:spacing w:after="20"/>
      </w:pPr>
      <w:r>
        <w:t>Potassic / phyllic / argillic alteration байж болзошгүй</w:t>
      </w:r>
    </w:p>
    <w:p>
      <w:pPr>
        <w:pStyle w:val="ListBullet"/>
        <w:spacing w:after="20"/>
      </w:pPr>
      <w:r>
        <w:t>Ring structure эсвэл stockwork vein ажиглагдсан</w:t>
      </w:r>
    </w:p>
    <w:p>
      <w:pPr>
        <w:pStyle w:val="ListBullet"/>
        <w:spacing w:after="20"/>
      </w:pPr>
      <w:r>
        <w:t>Pyrite, chalcopyrite, bornite, malachite илэрсэн</w:t>
      </w:r>
    </w:p>
    <w:p>
      <w:pPr>
        <w:pStyle w:val="ListBullet"/>
        <w:spacing w:after="20"/>
      </w:pPr>
      <w:r>
        <w:t>Ойролцоо porphyry Cu-Au орд/илрэл байгаа</w:t>
      </w:r>
    </w:p>
    <w:p>
      <w:pPr>
        <w:pStyle w:val="ListBullet"/>
        <w:spacing w:after="20"/>
      </w:pPr>
      <w:r>
        <w:t>ASTER/Sentinel alteration anomaly давхацсан</w:t>
      </w:r>
    </w:p>
    <w:p>
      <w:pPr>
        <w:spacing w:after="60"/>
      </w:pPr>
      <w:r>
        <w:rPr>
          <w:b/>
        </w:rPr>
        <w:t>Дараагийн ажил:</w:t>
      </w:r>
    </w:p>
    <w:p>
      <w:pPr>
        <w:pStyle w:val="ListBullet"/>
        <w:spacing w:after="20"/>
      </w:pPr>
      <w:r>
        <w:t>Detailed mapping</w:t>
      </w:r>
    </w:p>
    <w:p>
      <w:pPr>
        <w:pStyle w:val="ListBullet"/>
        <w:spacing w:after="20"/>
      </w:pPr>
      <w:r>
        <w:t>Rock chip/channel sampling</w:t>
      </w:r>
    </w:p>
    <w:p>
      <w:pPr>
        <w:pStyle w:val="ListBullet"/>
        <w:spacing w:after="20"/>
      </w:pPr>
      <w:r>
        <w:t>Soil grid</w:t>
      </w:r>
    </w:p>
    <w:p>
      <w:pPr>
        <w:pStyle w:val="ListBullet"/>
        <w:spacing w:after="20"/>
      </w:pPr>
      <w:r>
        <w:t>IP/resistivity</w:t>
      </w:r>
    </w:p>
    <w:p>
      <w:pPr>
        <w:pStyle w:val="ListBullet"/>
        <w:spacing w:after="20"/>
      </w:pPr>
      <w:r>
        <w:t>Magnetic survey</w:t>
      </w:r>
    </w:p>
    <w:p>
      <w:pPr>
        <w:pStyle w:val="ListBullet"/>
        <w:spacing w:after="20"/>
      </w:pPr>
      <w:r>
        <w:t>Scout drilling</w:t>
      </w:r>
    </w:p>
    <w:p>
      <w:pPr>
        <w:pStyle w:val="Heading2"/>
      </w:pPr>
      <w:r>
        <w:t>6.2 Epithermal Au-Ag target</w:t>
      </w:r>
    </w:p>
    <w:p>
      <w:pPr>
        <w:spacing w:after="60"/>
      </w:pPr>
      <w:r>
        <w:rPr>
          <w:b/>
        </w:rPr>
        <w:t>Өндөр ач холбогдолтой болох нөхцөл:</w:t>
      </w:r>
    </w:p>
    <w:p>
      <w:pPr>
        <w:pStyle w:val="ListBullet"/>
        <w:spacing w:after="20"/>
      </w:pPr>
      <w:r>
        <w:t>Quartz vein, breccia, silicification илэрсэн</w:t>
      </w:r>
    </w:p>
    <w:p>
      <w:pPr>
        <w:pStyle w:val="ListBullet"/>
        <w:spacing w:after="20"/>
      </w:pPr>
      <w:r>
        <w:t>Au-Ag-As-Sb-Hg anomaly байгаа</w:t>
      </w:r>
    </w:p>
    <w:p>
      <w:pPr>
        <w:pStyle w:val="ListBullet"/>
        <w:spacing w:after="20"/>
      </w:pPr>
      <w:r>
        <w:t>Fault-controlled vein corridor байгаа</w:t>
      </w:r>
    </w:p>
    <w:p>
      <w:pPr>
        <w:pStyle w:val="ListBullet"/>
        <w:spacing w:after="20"/>
      </w:pPr>
      <w:r>
        <w:t>Argillic alteration, silica cap, iron oxide anomaly илэрсэн</w:t>
      </w:r>
    </w:p>
    <w:p>
      <w:pPr>
        <w:pStyle w:val="ListBullet"/>
        <w:spacing w:after="20"/>
      </w:pPr>
      <w:r>
        <w:t>Ойролцоо Au-Ag илрэл байгаа</w:t>
      </w:r>
    </w:p>
    <w:p>
      <w:pPr>
        <w:pStyle w:val="ListBullet"/>
        <w:spacing w:after="20"/>
      </w:pPr>
      <w:r>
        <w:t>Field sample assay баталгаатай</w:t>
      </w:r>
    </w:p>
    <w:p>
      <w:pPr>
        <w:spacing w:after="60"/>
      </w:pPr>
      <w:r>
        <w:rPr>
          <w:b/>
        </w:rPr>
        <w:t>Дараагийн ажил:</w:t>
      </w:r>
    </w:p>
    <w:p>
      <w:pPr>
        <w:pStyle w:val="ListBullet"/>
        <w:spacing w:after="20"/>
      </w:pPr>
      <w:r>
        <w:t>Detailed vein mapping</w:t>
      </w:r>
    </w:p>
    <w:p>
      <w:pPr>
        <w:pStyle w:val="ListBullet"/>
        <w:spacing w:after="20"/>
      </w:pPr>
      <w:r>
        <w:t>Channel sampling</w:t>
      </w:r>
    </w:p>
    <w:p>
      <w:pPr>
        <w:pStyle w:val="ListBullet"/>
        <w:spacing w:after="20"/>
      </w:pPr>
      <w:r>
        <w:t>Trenching</w:t>
      </w:r>
    </w:p>
    <w:p>
      <w:pPr>
        <w:pStyle w:val="ListBullet"/>
        <w:spacing w:after="20"/>
      </w:pPr>
      <w:r>
        <w:t>Ground resistivity</w:t>
      </w:r>
    </w:p>
    <w:p>
      <w:pPr>
        <w:pStyle w:val="ListBullet"/>
        <w:spacing w:after="20"/>
      </w:pPr>
      <w:r>
        <w:t>Scout drilling</w:t>
      </w:r>
    </w:p>
    <w:p>
      <w:pPr>
        <w:pStyle w:val="Heading2"/>
      </w:pPr>
      <w:r>
        <w:t>6.3 Polymetallic vein target</w:t>
      </w:r>
    </w:p>
    <w:p>
      <w:pPr>
        <w:spacing w:after="60"/>
      </w:pPr>
      <w:r>
        <w:rPr>
          <w:b/>
        </w:rPr>
        <w:t>Өндөр ач холбогдолтой болох нөхцөл:</w:t>
      </w:r>
    </w:p>
    <w:p>
      <w:pPr>
        <w:pStyle w:val="ListBullet"/>
        <w:spacing w:after="20"/>
      </w:pPr>
      <w:r>
        <w:t>Pb-Zn-Ag-Cu anomaly</w:t>
      </w:r>
    </w:p>
    <w:p>
      <w:pPr>
        <w:pStyle w:val="ListBullet"/>
        <w:spacing w:after="20"/>
      </w:pPr>
      <w:r>
        <w:t>Galena, sphalerite, chalcopyrite, pyrite ажиглагдсан</w:t>
      </w:r>
    </w:p>
    <w:p>
      <w:pPr>
        <w:pStyle w:val="ListBullet"/>
        <w:spacing w:after="20"/>
      </w:pPr>
      <w:r>
        <w:t>Quartz-carbonate-sulfide vein</w:t>
      </w:r>
    </w:p>
    <w:p>
      <w:pPr>
        <w:pStyle w:val="ListBullet"/>
        <w:spacing w:after="20"/>
      </w:pPr>
      <w:r>
        <w:t>Fault zone эсвэл shear zone дагасан</w:t>
      </w:r>
    </w:p>
    <w:p>
      <w:pPr>
        <w:pStyle w:val="ListBullet"/>
        <w:spacing w:after="20"/>
      </w:pPr>
      <w:r>
        <w:t>CMCS дээр Pb-Zn-Ag илрэл ойролцоо байгаа</w:t>
      </w:r>
    </w:p>
    <w:p>
      <w:pPr>
        <w:spacing w:after="60"/>
      </w:pPr>
      <w:r>
        <w:rPr>
          <w:b/>
        </w:rPr>
        <w:t>Дараагийн ажил:</w:t>
      </w:r>
    </w:p>
    <w:p>
      <w:pPr>
        <w:pStyle w:val="ListBullet"/>
        <w:spacing w:after="20"/>
      </w:pPr>
      <w:r>
        <w:t>Vein continuity mapping</w:t>
      </w:r>
    </w:p>
    <w:p>
      <w:pPr>
        <w:pStyle w:val="ListBullet"/>
        <w:spacing w:after="20"/>
      </w:pPr>
      <w:r>
        <w:t>Channel sampling</w:t>
      </w:r>
    </w:p>
    <w:p>
      <w:pPr>
        <w:pStyle w:val="ListBullet"/>
        <w:spacing w:after="20"/>
      </w:pPr>
      <w:r>
        <w:t>Soil geochemistry</w:t>
      </w:r>
    </w:p>
    <w:p>
      <w:pPr>
        <w:pStyle w:val="ListBullet"/>
        <w:spacing w:after="20"/>
      </w:pPr>
      <w:r>
        <w:t>Trench</w:t>
      </w:r>
    </w:p>
    <w:p>
      <w:pPr>
        <w:pStyle w:val="ListBullet"/>
        <w:spacing w:after="20"/>
      </w:pPr>
      <w:r>
        <w:t>Shallow drilling</w:t>
      </w:r>
    </w:p>
    <w:p>
      <w:pPr>
        <w:pStyle w:val="Heading2"/>
      </w:pPr>
      <w:r>
        <w:t>6.4 Skarn target</w:t>
      </w:r>
    </w:p>
    <w:p>
      <w:pPr>
        <w:spacing w:after="60"/>
      </w:pPr>
      <w:r>
        <w:rPr>
          <w:b/>
        </w:rPr>
        <w:t>Өндөр ач холбогдолтой болох нөхцөл:</w:t>
      </w:r>
    </w:p>
    <w:p>
      <w:pPr>
        <w:pStyle w:val="ListBullet"/>
        <w:spacing w:after="20"/>
      </w:pPr>
      <w:r>
        <w:t>Интрузив ба карбонат чулуулгийн контакт</w:t>
      </w:r>
    </w:p>
    <w:p>
      <w:pPr>
        <w:pStyle w:val="ListBullet"/>
        <w:spacing w:after="20"/>
      </w:pPr>
      <w:r>
        <w:t>Garnet, pyroxene, magnetite, epidote alteration</w:t>
      </w:r>
    </w:p>
    <w:p>
      <w:pPr>
        <w:pStyle w:val="ListBullet"/>
        <w:spacing w:after="20"/>
      </w:pPr>
      <w:r>
        <w:t>Cu-Fe-Zn-W-Mo anomaly</w:t>
      </w:r>
    </w:p>
    <w:p>
      <w:pPr>
        <w:pStyle w:val="ListBullet"/>
        <w:spacing w:after="20"/>
      </w:pPr>
      <w:r>
        <w:t>Magnetic high anomaly</w:t>
      </w:r>
    </w:p>
    <w:p>
      <w:pPr>
        <w:pStyle w:val="ListBullet"/>
        <w:spacing w:after="20"/>
      </w:pPr>
      <w:r>
        <w:t>Ойролцоо skarn төрлийн орд/илрэл байгаа</w:t>
      </w:r>
    </w:p>
    <w:p>
      <w:pPr>
        <w:spacing w:after="60"/>
      </w:pPr>
      <w:r>
        <w:rPr>
          <w:b/>
        </w:rPr>
        <w:t>Дараагийн ажил:</w:t>
      </w:r>
    </w:p>
    <w:p>
      <w:pPr>
        <w:pStyle w:val="ListBullet"/>
        <w:spacing w:after="20"/>
      </w:pPr>
      <w:r>
        <w:t>Contact zone mapping</w:t>
      </w:r>
    </w:p>
    <w:p>
      <w:pPr>
        <w:pStyle w:val="ListBullet"/>
        <w:spacing w:after="20"/>
      </w:pPr>
      <w:r>
        <w:t>Magnetics</w:t>
      </w:r>
    </w:p>
    <w:p>
      <w:pPr>
        <w:pStyle w:val="ListBullet"/>
        <w:spacing w:after="20"/>
      </w:pPr>
      <w:r>
        <w:t>Rock chip/channel sampling</w:t>
      </w:r>
    </w:p>
    <w:p>
      <w:pPr>
        <w:pStyle w:val="ListBullet"/>
        <w:spacing w:after="20"/>
      </w:pPr>
      <w:r>
        <w:t>Trenching</w:t>
      </w:r>
    </w:p>
    <w:p>
      <w:pPr>
        <w:pStyle w:val="ListBullet"/>
        <w:spacing w:after="20"/>
      </w:pPr>
      <w:r>
        <w:t>Drilling</w:t>
      </w:r>
    </w:p>
    <w:p>
      <w:pPr>
        <w:pStyle w:val="Heading2"/>
      </w:pPr>
      <w:r>
        <w:t>6.5 Mafic-ultramafic Ni-Cu target</w:t>
      </w:r>
    </w:p>
    <w:p>
      <w:pPr>
        <w:spacing w:after="60"/>
      </w:pPr>
      <w:r>
        <w:rPr>
          <w:b/>
        </w:rPr>
        <w:t>Өндөр ач холбогдолтой болох нөхцөл:</w:t>
      </w:r>
    </w:p>
    <w:p>
      <w:pPr>
        <w:pStyle w:val="ListBullet"/>
        <w:spacing w:after="20"/>
      </w:pPr>
      <w:r>
        <w:t>Mafic-ultramafic body</w:t>
      </w:r>
    </w:p>
    <w:p>
      <w:pPr>
        <w:pStyle w:val="ListBullet"/>
        <w:spacing w:after="20"/>
      </w:pPr>
      <w:r>
        <w:t>Ni-Cu-Co anomaly</w:t>
      </w:r>
    </w:p>
    <w:p>
      <w:pPr>
        <w:pStyle w:val="ListBullet"/>
        <w:spacing w:after="20"/>
      </w:pPr>
      <w:r>
        <w:t>Pyroxenite, gabbro, peridotite зэрэг lithology</w:t>
      </w:r>
    </w:p>
    <w:p>
      <w:pPr>
        <w:pStyle w:val="ListBullet"/>
        <w:spacing w:after="20"/>
      </w:pPr>
      <w:r>
        <w:t>Sulfide dissemination</w:t>
      </w:r>
    </w:p>
    <w:p>
      <w:pPr>
        <w:pStyle w:val="ListBullet"/>
        <w:spacing w:after="20"/>
      </w:pPr>
      <w:r>
        <w:t>Magnetic anomaly</w:t>
      </w:r>
    </w:p>
    <w:p>
      <w:pPr>
        <w:pStyle w:val="ListBullet"/>
        <w:spacing w:after="20"/>
      </w:pPr>
      <w:r>
        <w:t>Ойролцоо Ni-Cu илрэл байгаа</w:t>
      </w:r>
    </w:p>
    <w:p>
      <w:pPr>
        <w:spacing w:after="60"/>
      </w:pPr>
      <w:r>
        <w:rPr>
          <w:b/>
        </w:rPr>
        <w:t>Дараагийн ажил:</w:t>
      </w:r>
    </w:p>
    <w:p>
      <w:pPr>
        <w:pStyle w:val="ListBullet"/>
        <w:spacing w:after="20"/>
      </w:pPr>
      <w:r>
        <w:t>Lithological mapping</w:t>
      </w:r>
    </w:p>
    <w:p>
      <w:pPr>
        <w:pStyle w:val="ListBullet"/>
        <w:spacing w:after="20"/>
      </w:pPr>
      <w:r>
        <w:t>Magnetic survey</w:t>
      </w:r>
    </w:p>
    <w:p>
      <w:pPr>
        <w:pStyle w:val="ListBullet"/>
        <w:spacing w:after="20"/>
      </w:pPr>
      <w:r>
        <w:t>pXRF screening</w:t>
      </w:r>
    </w:p>
    <w:p>
      <w:pPr>
        <w:pStyle w:val="ListBullet"/>
        <w:spacing w:after="20"/>
      </w:pPr>
      <w:r>
        <w:t>Lab assay</w:t>
      </w:r>
    </w:p>
    <w:p>
      <w:pPr>
        <w:pStyle w:val="ListBullet"/>
        <w:spacing w:after="20"/>
      </w:pPr>
      <w:r>
        <w:t>EM survey</w:t>
      </w:r>
    </w:p>
    <w:p>
      <w:pPr>
        <w:pStyle w:val="ListBullet"/>
        <w:spacing w:after="20"/>
      </w:pPr>
      <w:r>
        <w:t>Scout drilling</w:t>
      </w:r>
    </w:p>
    <w:p>
      <w:pPr>
        <w:pStyle w:val="Heading1"/>
      </w:pPr>
      <w:r>
        <w:t>7. Target description sheet бэлтгэх</w:t>
      </w:r>
    </w:p>
    <w:p>
      <w:pPr>
        <w:spacing w:after="60"/>
      </w:pPr>
      <w:r>
        <w:rPr>
          <w:b w:val="0"/>
        </w:rPr>
        <w:t>Target бүр дээр тусдаа sheet гаргана.</w:t>
      </w:r>
    </w:p>
    <w:p>
      <w:pPr>
        <w:spacing w:after="60"/>
      </w:pPr>
      <w:r>
        <w:rPr>
          <w:b/>
        </w:rPr>
        <w:t>Target sheet-ийн бүтэц:</w:t>
      </w:r>
    </w:p>
    <w:p>
      <w:pPr>
        <w:pStyle w:val="CodeBlock"/>
      </w:pPr>
      <w:r>
        <w:t>Target ID:</w:t>
      </w:r>
    </w:p>
    <w:p>
      <w:pPr>
        <w:pStyle w:val="CodeBlock"/>
      </w:pPr>
      <w:r>
        <w:t>Target name:</w:t>
      </w:r>
    </w:p>
    <w:p>
      <w:pPr>
        <w:pStyle w:val="CodeBlock"/>
      </w:pPr>
      <w:r>
        <w:t>Location:</w:t>
      </w:r>
    </w:p>
    <w:p>
      <w:pPr>
        <w:pStyle w:val="CodeBlock"/>
      </w:pPr>
      <w:r>
        <w:t>Coordinate:</w:t>
      </w:r>
    </w:p>
    <w:p>
      <w:pPr>
        <w:pStyle w:val="CodeBlock"/>
      </w:pPr>
      <w:r>
        <w:t>Area size:</w:t>
      </w:r>
    </w:p>
    <w:p>
      <w:pPr>
        <w:pStyle w:val="CodeBlock"/>
      </w:pPr>
      <w:r>
        <w:t>Commodity:</w:t>
      </w:r>
    </w:p>
    <w:p>
      <w:pPr>
        <w:pStyle w:val="CodeBlock"/>
      </w:pPr>
      <w:r>
        <w:t>Deposit model:</w:t>
      </w:r>
    </w:p>
    <w:p>
      <w:pPr>
        <w:pStyle w:val="CodeBlock"/>
      </w:pPr>
      <w:r>
        <w:t>Target class:</w:t>
      </w:r>
    </w:p>
    <w:p>
      <w:pPr>
        <w:pStyle w:val="CodeBlock"/>
      </w:pPr>
      <w:r>
        <w:t>Total score:</w:t>
      </w:r>
    </w:p>
    <w:p>
      <w:pPr>
        <w:pStyle w:val="CodeBlock"/>
      </w:pPr>
      <w:r>
        <w:t>Ranking:</w:t>
      </w:r>
    </w:p>
    <w:p>
      <w:pPr>
        <w:pStyle w:val="Heading2"/>
      </w:pPr>
      <w:r>
        <w:t>7.1 Geological summary</w:t>
      </w:r>
    </w:p>
    <w:p>
      <w:pPr>
        <w:spacing w:after="60"/>
      </w:pPr>
      <w:r>
        <w:rPr>
          <w:b w:val="0"/>
        </w:rPr>
        <w:t>Энд дараахыг бичнэ.</w:t>
      </w:r>
    </w:p>
    <w:p>
      <w:pPr>
        <w:pStyle w:val="ListBullet"/>
        <w:spacing w:after="20"/>
      </w:pPr>
      <w:r>
        <w:t>Тухайн target ямар lithology дээр байрлаж байгаа</w:t>
      </w:r>
    </w:p>
    <w:p>
      <w:pPr>
        <w:pStyle w:val="ListBullet"/>
        <w:spacing w:after="20"/>
      </w:pPr>
      <w:r>
        <w:t>Интрузив, контакт, fault, shear zone байгаа эсэх</w:t>
      </w:r>
    </w:p>
    <w:p>
      <w:pPr>
        <w:pStyle w:val="ListBullet"/>
        <w:spacing w:after="20"/>
      </w:pPr>
      <w:r>
        <w:t>Хувирал ямар төрлийн болох</w:t>
      </w:r>
    </w:p>
    <w:p>
      <w:pPr>
        <w:pStyle w:val="ListBullet"/>
        <w:spacing w:after="20"/>
      </w:pPr>
      <w:r>
        <w:t>Ордын загвартай хэр нийцэж байгаа</w:t>
      </w:r>
    </w:p>
    <w:p>
      <w:pPr>
        <w:pStyle w:val="Heading2"/>
      </w:pPr>
      <w:r>
        <w:t>7.2 Evidence summary</w:t>
      </w:r>
    </w:p>
    <w:p>
      <w:pPr>
        <w:spacing w:after="60"/>
      </w:pPr>
      <w:r>
        <w:rPr>
          <w:b w:val="0"/>
        </w:rPr>
        <w:t>Дараах evidence-ийг нэг бүрчлэн бичнэ.</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vAlign w:val="center"/>
            <w:shd w:fill="D9EAF7"/>
          </w:tcPr>
          <w:p>
            <w:pPr>
              <w:spacing w:after="0"/>
            </w:pPr>
            <w:r/>
            <w:r>
              <w:rPr>
                <w:rFonts w:ascii="Arial" w:hAnsi="Arial" w:eastAsia="Arial"/>
                <w:b/>
                <w:sz w:val="16"/>
              </w:rPr>
              <w:t>Evidence type</w:t>
            </w:r>
          </w:p>
        </w:tc>
        <w:tc>
          <w:tcPr>
            <w:tcW w:type="dxa" w:w="3312"/>
            <w:vAlign w:val="center"/>
            <w:shd w:fill="D9EAF7"/>
          </w:tcPr>
          <w:p>
            <w:pPr>
              <w:spacing w:after="0"/>
            </w:pPr>
            <w:r/>
            <w:r>
              <w:rPr>
                <w:rFonts w:ascii="Arial" w:hAnsi="Arial" w:eastAsia="Arial"/>
                <w:b/>
                <w:sz w:val="16"/>
              </w:rPr>
              <w:t>Description</w:t>
            </w:r>
          </w:p>
        </w:tc>
        <w:tc>
          <w:tcPr>
            <w:tcW w:type="dxa" w:w="2592"/>
            <w:vAlign w:val="center"/>
            <w:shd w:fill="D9EAF7"/>
          </w:tcPr>
          <w:p>
            <w:pPr>
              <w:spacing w:after="0"/>
            </w:pPr>
            <w:r/>
            <w:r>
              <w:rPr>
                <w:rFonts w:ascii="Arial" w:hAnsi="Arial" w:eastAsia="Arial"/>
                <w:b/>
                <w:sz w:val="16"/>
              </w:rPr>
              <w:t>Source file</w:t>
            </w:r>
          </w:p>
        </w:tc>
        <w:tc>
          <w:tcPr>
            <w:tcW w:type="dxa" w:w="1296"/>
            <w:vAlign w:val="center"/>
            <w:shd w:fill="D9EAF7"/>
          </w:tcPr>
          <w:p>
            <w:pPr>
              <w:spacing w:after="0"/>
            </w:pPr>
            <w:r/>
            <w:r>
              <w:rPr>
                <w:rFonts w:ascii="Arial" w:hAnsi="Arial" w:eastAsia="Arial"/>
                <w:b/>
                <w:sz w:val="16"/>
              </w:rPr>
              <w:t>Confidence</w:t>
            </w:r>
          </w:p>
        </w:tc>
      </w:tr>
      <w:tr>
        <w:tc>
          <w:tcPr>
            <w:tcW w:type="dxa" w:w="2016"/>
            <w:vAlign w:val="center"/>
          </w:tcPr>
          <w:p>
            <w:pPr>
              <w:spacing w:after="0"/>
            </w:pPr>
            <w:r/>
            <w:r>
              <w:rPr>
                <w:rFonts w:ascii="Arial" w:hAnsi="Arial" w:eastAsia="Arial"/>
                <w:b w:val="0"/>
                <w:sz w:val="16"/>
              </w:rPr>
              <w:t>Geology</w:t>
            </w:r>
          </w:p>
        </w:tc>
        <w:tc>
          <w:tcPr>
            <w:tcW w:type="dxa" w:w="3312"/>
            <w:vAlign w:val="center"/>
          </w:tcPr>
          <w:p>
            <w:pPr>
              <w:spacing w:after="0"/>
            </w:pPr>
            <w:r/>
            <w:r>
              <w:rPr>
                <w:rFonts w:ascii="Arial" w:hAnsi="Arial" w:eastAsia="Arial"/>
                <w:b w:val="0"/>
                <w:sz w:val="16"/>
              </w:rPr>
              <w:t>Favorable intrusive contact</w:t>
            </w:r>
          </w:p>
        </w:tc>
        <w:tc>
          <w:tcPr>
            <w:tcW w:type="dxa" w:w="2592"/>
            <w:vAlign w:val="center"/>
          </w:tcPr>
          <w:p>
            <w:pPr>
              <w:spacing w:after="0"/>
            </w:pPr>
            <w:r/>
            <w:r>
              <w:rPr>
                <w:rFonts w:ascii="Arial" w:hAnsi="Arial" w:eastAsia="Arial"/>
                <w:b w:val="0"/>
                <w:sz w:val="16"/>
              </w:rPr>
              <w:t>exact filename</w:t>
            </w:r>
          </w:p>
        </w:tc>
        <w:tc>
          <w:tcPr>
            <w:tcW w:type="dxa" w:w="1296"/>
            <w:vAlign w:val="center"/>
          </w:tcPr>
          <w:p>
            <w:pPr>
              <w:spacing w:after="0"/>
            </w:pPr>
            <w:r/>
            <w:r>
              <w:rPr>
                <w:rFonts w:ascii="Arial" w:hAnsi="Arial" w:eastAsia="Arial"/>
                <w:b w:val="0"/>
                <w:sz w:val="16"/>
              </w:rPr>
              <w:t>High</w:t>
            </w:r>
          </w:p>
        </w:tc>
      </w:tr>
      <w:tr>
        <w:tc>
          <w:tcPr>
            <w:tcW w:type="dxa" w:w="2016"/>
            <w:vAlign w:val="center"/>
          </w:tcPr>
          <w:p>
            <w:pPr>
              <w:spacing w:after="0"/>
            </w:pPr>
            <w:r/>
            <w:r>
              <w:rPr>
                <w:rFonts w:ascii="Arial" w:hAnsi="Arial" w:eastAsia="Arial"/>
                <w:b w:val="0"/>
                <w:sz w:val="16"/>
              </w:rPr>
              <w:t>Structure</w:t>
            </w:r>
          </w:p>
        </w:tc>
        <w:tc>
          <w:tcPr>
            <w:tcW w:type="dxa" w:w="3312"/>
            <w:vAlign w:val="center"/>
          </w:tcPr>
          <w:p>
            <w:pPr>
              <w:spacing w:after="0"/>
            </w:pPr>
            <w:r/>
            <w:r>
              <w:rPr>
                <w:rFonts w:ascii="Arial" w:hAnsi="Arial" w:eastAsia="Arial"/>
                <w:b w:val="0"/>
                <w:sz w:val="16"/>
              </w:rPr>
              <w:t>NE-trending fault intersection</w:t>
            </w:r>
          </w:p>
        </w:tc>
        <w:tc>
          <w:tcPr>
            <w:tcW w:type="dxa" w:w="2592"/>
            <w:vAlign w:val="center"/>
          </w:tcPr>
          <w:p>
            <w:pPr>
              <w:spacing w:after="0"/>
            </w:pPr>
            <w:r/>
            <w:r>
              <w:rPr>
                <w:rFonts w:ascii="Arial" w:hAnsi="Arial" w:eastAsia="Arial"/>
                <w:b w:val="0"/>
                <w:sz w:val="16"/>
              </w:rPr>
              <w:t>exact filename</w:t>
            </w:r>
          </w:p>
        </w:tc>
        <w:tc>
          <w:tcPr>
            <w:tcW w:type="dxa" w:w="1296"/>
            <w:vAlign w:val="center"/>
          </w:tcPr>
          <w:p>
            <w:pPr>
              <w:spacing w:after="0"/>
            </w:pPr>
            <w:r/>
            <w:r>
              <w:rPr>
                <w:rFonts w:ascii="Arial" w:hAnsi="Arial" w:eastAsia="Arial"/>
                <w:b w:val="0"/>
                <w:sz w:val="16"/>
              </w:rPr>
              <w:t>Medium</w:t>
            </w:r>
          </w:p>
        </w:tc>
      </w:tr>
      <w:tr>
        <w:tc>
          <w:tcPr>
            <w:tcW w:type="dxa" w:w="2016"/>
            <w:vAlign w:val="center"/>
          </w:tcPr>
          <w:p>
            <w:pPr>
              <w:spacing w:after="0"/>
            </w:pPr>
            <w:r/>
            <w:r>
              <w:rPr>
                <w:rFonts w:ascii="Arial" w:hAnsi="Arial" w:eastAsia="Arial"/>
                <w:b w:val="0"/>
                <w:sz w:val="16"/>
              </w:rPr>
              <w:t>Geochemistry</w:t>
            </w:r>
          </w:p>
        </w:tc>
        <w:tc>
          <w:tcPr>
            <w:tcW w:type="dxa" w:w="3312"/>
            <w:vAlign w:val="center"/>
          </w:tcPr>
          <w:p>
            <w:pPr>
              <w:spacing w:after="0"/>
            </w:pPr>
            <w:r/>
            <w:r>
              <w:rPr>
                <w:rFonts w:ascii="Arial" w:hAnsi="Arial" w:eastAsia="Arial"/>
                <w:b w:val="0"/>
                <w:sz w:val="16"/>
              </w:rPr>
              <w:t>Cu-Mo anomaly</w:t>
            </w:r>
          </w:p>
        </w:tc>
        <w:tc>
          <w:tcPr>
            <w:tcW w:type="dxa" w:w="2592"/>
            <w:vAlign w:val="center"/>
          </w:tcPr>
          <w:p>
            <w:pPr>
              <w:spacing w:after="0"/>
            </w:pPr>
            <w:r/>
            <w:r>
              <w:rPr>
                <w:rFonts w:ascii="Arial" w:hAnsi="Arial" w:eastAsia="Arial"/>
                <w:b w:val="0"/>
                <w:sz w:val="16"/>
              </w:rPr>
              <w:t>exact filename</w:t>
            </w:r>
          </w:p>
        </w:tc>
        <w:tc>
          <w:tcPr>
            <w:tcW w:type="dxa" w:w="1296"/>
            <w:vAlign w:val="center"/>
          </w:tcPr>
          <w:p>
            <w:pPr>
              <w:spacing w:after="0"/>
            </w:pPr>
            <w:r/>
            <w:r>
              <w:rPr>
                <w:rFonts w:ascii="Arial" w:hAnsi="Arial" w:eastAsia="Arial"/>
                <w:b w:val="0"/>
                <w:sz w:val="16"/>
              </w:rPr>
              <w:t>High</w:t>
            </w:r>
          </w:p>
        </w:tc>
      </w:tr>
      <w:tr>
        <w:tc>
          <w:tcPr>
            <w:tcW w:type="dxa" w:w="2016"/>
            <w:vAlign w:val="center"/>
          </w:tcPr>
          <w:p>
            <w:pPr>
              <w:spacing w:after="0"/>
            </w:pPr>
            <w:r/>
            <w:r>
              <w:rPr>
                <w:rFonts w:ascii="Arial" w:hAnsi="Arial" w:eastAsia="Arial"/>
                <w:b w:val="0"/>
                <w:sz w:val="16"/>
              </w:rPr>
              <w:t>Assay</w:t>
            </w:r>
          </w:p>
        </w:tc>
        <w:tc>
          <w:tcPr>
            <w:tcW w:type="dxa" w:w="3312"/>
            <w:vAlign w:val="center"/>
          </w:tcPr>
          <w:p>
            <w:pPr>
              <w:spacing w:after="0"/>
            </w:pPr>
            <w:r/>
            <w:r>
              <w:rPr>
                <w:rFonts w:ascii="Arial" w:hAnsi="Arial" w:eastAsia="Arial"/>
                <w:b w:val="0"/>
                <w:sz w:val="16"/>
              </w:rPr>
              <w:t>Rock chip Cu anomaly</w:t>
            </w:r>
          </w:p>
        </w:tc>
        <w:tc>
          <w:tcPr>
            <w:tcW w:type="dxa" w:w="2592"/>
            <w:vAlign w:val="center"/>
          </w:tcPr>
          <w:p>
            <w:pPr>
              <w:spacing w:after="0"/>
            </w:pPr>
            <w:r/>
            <w:r>
              <w:rPr>
                <w:rFonts w:ascii="Arial" w:hAnsi="Arial" w:eastAsia="Arial"/>
                <w:b w:val="0"/>
                <w:sz w:val="16"/>
              </w:rPr>
              <w:t>exact filename</w:t>
            </w:r>
          </w:p>
        </w:tc>
        <w:tc>
          <w:tcPr>
            <w:tcW w:type="dxa" w:w="1296"/>
            <w:vAlign w:val="center"/>
          </w:tcPr>
          <w:p>
            <w:pPr>
              <w:spacing w:after="0"/>
            </w:pPr>
            <w:r/>
            <w:r>
              <w:rPr>
                <w:rFonts w:ascii="Arial" w:hAnsi="Arial" w:eastAsia="Arial"/>
                <w:b w:val="0"/>
                <w:sz w:val="16"/>
              </w:rPr>
              <w:t>High</w:t>
            </w:r>
          </w:p>
        </w:tc>
      </w:tr>
      <w:tr>
        <w:tc>
          <w:tcPr>
            <w:tcW w:type="dxa" w:w="2016"/>
            <w:vAlign w:val="center"/>
          </w:tcPr>
          <w:p>
            <w:pPr>
              <w:spacing w:after="0"/>
            </w:pPr>
            <w:r/>
            <w:r>
              <w:rPr>
                <w:rFonts w:ascii="Arial" w:hAnsi="Arial" w:eastAsia="Arial"/>
                <w:b w:val="0"/>
                <w:sz w:val="16"/>
              </w:rPr>
              <w:t>Remote sensing</w:t>
            </w:r>
          </w:p>
        </w:tc>
        <w:tc>
          <w:tcPr>
            <w:tcW w:type="dxa" w:w="3312"/>
            <w:vAlign w:val="center"/>
          </w:tcPr>
          <w:p>
            <w:pPr>
              <w:spacing w:after="0"/>
            </w:pPr>
            <w:r/>
            <w:r>
              <w:rPr>
                <w:rFonts w:ascii="Arial" w:hAnsi="Arial" w:eastAsia="Arial"/>
                <w:b w:val="0"/>
                <w:sz w:val="16"/>
              </w:rPr>
              <w:t>ASTER iron oxide anomaly</w:t>
            </w:r>
          </w:p>
        </w:tc>
        <w:tc>
          <w:tcPr>
            <w:tcW w:type="dxa" w:w="2592"/>
            <w:vAlign w:val="center"/>
          </w:tcPr>
          <w:p>
            <w:pPr>
              <w:spacing w:after="0"/>
            </w:pPr>
            <w:r/>
            <w:r>
              <w:rPr>
                <w:rFonts w:ascii="Arial" w:hAnsi="Arial" w:eastAsia="Arial"/>
                <w:b w:val="0"/>
                <w:sz w:val="16"/>
              </w:rPr>
              <w:t>exact filename</w:t>
            </w:r>
          </w:p>
        </w:tc>
        <w:tc>
          <w:tcPr>
            <w:tcW w:type="dxa" w:w="1296"/>
            <w:vAlign w:val="center"/>
          </w:tcPr>
          <w:p>
            <w:pPr>
              <w:spacing w:after="0"/>
            </w:pPr>
            <w:r/>
            <w:r>
              <w:rPr>
                <w:rFonts w:ascii="Arial" w:hAnsi="Arial" w:eastAsia="Arial"/>
                <w:b w:val="0"/>
                <w:sz w:val="16"/>
              </w:rPr>
              <w:t>Medium</w:t>
            </w:r>
          </w:p>
        </w:tc>
      </w:tr>
      <w:tr>
        <w:tc>
          <w:tcPr>
            <w:tcW w:type="dxa" w:w="2016"/>
            <w:vAlign w:val="center"/>
          </w:tcPr>
          <w:p>
            <w:pPr>
              <w:spacing w:after="0"/>
            </w:pPr>
            <w:r/>
            <w:r>
              <w:rPr>
                <w:rFonts w:ascii="Arial" w:hAnsi="Arial" w:eastAsia="Arial"/>
                <w:b w:val="0"/>
                <w:sz w:val="16"/>
              </w:rPr>
              <w:t>CMCS</w:t>
            </w:r>
          </w:p>
        </w:tc>
        <w:tc>
          <w:tcPr>
            <w:tcW w:type="dxa" w:w="3312"/>
            <w:vAlign w:val="center"/>
          </w:tcPr>
          <w:p>
            <w:pPr>
              <w:spacing w:after="0"/>
            </w:pPr>
            <w:r/>
            <w:r>
              <w:rPr>
                <w:rFonts w:ascii="Arial" w:hAnsi="Arial" w:eastAsia="Arial"/>
                <w:b w:val="0"/>
                <w:sz w:val="16"/>
              </w:rPr>
              <w:t>Nearby Cu occurrence</w:t>
            </w:r>
          </w:p>
        </w:tc>
        <w:tc>
          <w:tcPr>
            <w:tcW w:type="dxa" w:w="2592"/>
            <w:vAlign w:val="center"/>
          </w:tcPr>
          <w:p>
            <w:pPr>
              <w:spacing w:after="0"/>
            </w:pPr>
            <w:r/>
            <w:r>
              <w:rPr>
                <w:rFonts w:ascii="Arial" w:hAnsi="Arial" w:eastAsia="Arial"/>
                <w:b w:val="0"/>
                <w:sz w:val="16"/>
              </w:rPr>
              <w:t>CMCS</w:t>
            </w:r>
          </w:p>
        </w:tc>
        <w:tc>
          <w:tcPr>
            <w:tcW w:type="dxa" w:w="1296"/>
            <w:vAlign w:val="center"/>
          </w:tcPr>
          <w:p>
            <w:pPr>
              <w:spacing w:after="0"/>
            </w:pPr>
            <w:r/>
            <w:r>
              <w:rPr>
                <w:rFonts w:ascii="Arial" w:hAnsi="Arial" w:eastAsia="Arial"/>
                <w:b w:val="0"/>
                <w:sz w:val="16"/>
              </w:rPr>
              <w:t>Medium</w:t>
            </w:r>
          </w:p>
        </w:tc>
      </w:tr>
    </w:tbl>
    <w:p/>
    <w:p>
      <w:pPr>
        <w:pStyle w:val="Heading2"/>
      </w:pPr>
      <w:r>
        <w:t>7.3 Assay summary</w:t>
      </w:r>
    </w:p>
    <w:p>
      <w:pPr>
        <w:spacing w:after="60"/>
      </w:pPr>
      <w:r>
        <w:rPr>
          <w:b w:val="0"/>
        </w:rPr>
        <w:t>Дээжийн үр дүнг тусад нь оруулна.</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80"/>
            <w:vAlign w:val="center"/>
            <w:shd w:fill="D9EAF7"/>
          </w:tcPr>
          <w:p>
            <w:pPr>
              <w:spacing w:after="0"/>
            </w:pPr>
            <w:r/>
            <w:r>
              <w:rPr>
                <w:rFonts w:ascii="Arial" w:hAnsi="Arial" w:eastAsia="Arial"/>
                <w:b/>
                <w:sz w:val="16"/>
              </w:rPr>
              <w:t>Sample ID</w:t>
            </w:r>
          </w:p>
        </w:tc>
        <w:tc>
          <w:tcPr>
            <w:tcW w:type="dxa" w:w="1152"/>
            <w:vAlign w:val="center"/>
            <w:shd w:fill="D9EAF7"/>
          </w:tcPr>
          <w:p>
            <w:pPr>
              <w:spacing w:after="0"/>
            </w:pPr>
            <w:r/>
            <w:r>
              <w:rPr>
                <w:rFonts w:ascii="Arial" w:hAnsi="Arial" w:eastAsia="Arial"/>
                <w:b/>
                <w:sz w:val="16"/>
              </w:rPr>
              <w:t>Sample type</w:t>
            </w:r>
          </w:p>
        </w:tc>
        <w:tc>
          <w:tcPr>
            <w:tcW w:type="dxa" w:w="648"/>
            <w:vAlign w:val="center"/>
            <w:shd w:fill="D9EAF7"/>
          </w:tcPr>
          <w:p>
            <w:pPr>
              <w:spacing w:after="0"/>
            </w:pPr>
            <w:r/>
            <w:r>
              <w:rPr>
                <w:rFonts w:ascii="Arial" w:hAnsi="Arial" w:eastAsia="Arial"/>
                <w:b/>
                <w:sz w:val="16"/>
              </w:rPr>
              <w:t>Cu</w:t>
            </w:r>
          </w:p>
        </w:tc>
        <w:tc>
          <w:tcPr>
            <w:tcW w:type="dxa" w:w="648"/>
            <w:vAlign w:val="center"/>
            <w:shd w:fill="D9EAF7"/>
          </w:tcPr>
          <w:p>
            <w:pPr>
              <w:spacing w:after="0"/>
            </w:pPr>
            <w:r/>
            <w:r>
              <w:rPr>
                <w:rFonts w:ascii="Arial" w:hAnsi="Arial" w:eastAsia="Arial"/>
                <w:b/>
                <w:sz w:val="16"/>
              </w:rPr>
              <w:t>Au</w:t>
            </w:r>
          </w:p>
        </w:tc>
        <w:tc>
          <w:tcPr>
            <w:tcW w:type="dxa" w:w="648"/>
            <w:vAlign w:val="center"/>
            <w:shd w:fill="D9EAF7"/>
          </w:tcPr>
          <w:p>
            <w:pPr>
              <w:spacing w:after="0"/>
            </w:pPr>
            <w:r/>
            <w:r>
              <w:rPr>
                <w:rFonts w:ascii="Arial" w:hAnsi="Arial" w:eastAsia="Arial"/>
                <w:b/>
                <w:sz w:val="16"/>
              </w:rPr>
              <w:t>Ag</w:t>
            </w:r>
          </w:p>
        </w:tc>
        <w:tc>
          <w:tcPr>
            <w:tcW w:type="dxa" w:w="648"/>
            <w:vAlign w:val="center"/>
            <w:shd w:fill="D9EAF7"/>
          </w:tcPr>
          <w:p>
            <w:pPr>
              <w:spacing w:after="0"/>
            </w:pPr>
            <w:r/>
            <w:r>
              <w:rPr>
                <w:rFonts w:ascii="Arial" w:hAnsi="Arial" w:eastAsia="Arial"/>
                <w:b/>
                <w:sz w:val="16"/>
              </w:rPr>
              <w:t>Pb</w:t>
            </w:r>
          </w:p>
        </w:tc>
        <w:tc>
          <w:tcPr>
            <w:tcW w:type="dxa" w:w="648"/>
            <w:vAlign w:val="center"/>
            <w:shd w:fill="D9EAF7"/>
          </w:tcPr>
          <w:p>
            <w:pPr>
              <w:spacing w:after="0"/>
            </w:pPr>
            <w:r/>
            <w:r>
              <w:rPr>
                <w:rFonts w:ascii="Arial" w:hAnsi="Arial" w:eastAsia="Arial"/>
                <w:b/>
                <w:sz w:val="16"/>
              </w:rPr>
              <w:t>Zn</w:t>
            </w:r>
          </w:p>
        </w:tc>
        <w:tc>
          <w:tcPr>
            <w:tcW w:type="dxa" w:w="648"/>
            <w:vAlign w:val="center"/>
            <w:shd w:fill="D9EAF7"/>
          </w:tcPr>
          <w:p>
            <w:pPr>
              <w:spacing w:after="0"/>
            </w:pPr>
            <w:r/>
            <w:r>
              <w:rPr>
                <w:rFonts w:ascii="Arial" w:hAnsi="Arial" w:eastAsia="Arial"/>
                <w:b/>
                <w:sz w:val="16"/>
              </w:rPr>
              <w:t>Mo</w:t>
            </w:r>
          </w:p>
        </w:tc>
        <w:tc>
          <w:tcPr>
            <w:tcW w:type="dxa" w:w="1728"/>
            <w:vAlign w:val="center"/>
            <w:shd w:fill="D9EAF7"/>
          </w:tcPr>
          <w:p>
            <w:pPr>
              <w:spacing w:after="0"/>
            </w:pPr>
            <w:r/>
            <w:r>
              <w:rPr>
                <w:rFonts w:ascii="Arial" w:hAnsi="Arial" w:eastAsia="Arial"/>
                <w:b/>
                <w:sz w:val="16"/>
              </w:rPr>
              <w:t>Source file</w:t>
            </w:r>
          </w:p>
        </w:tc>
        <w:tc>
          <w:tcPr>
            <w:tcW w:type="dxa" w:w="1296"/>
            <w:vAlign w:val="center"/>
            <w:shd w:fill="D9EAF7"/>
          </w:tcPr>
          <w:p>
            <w:pPr>
              <w:spacing w:after="0"/>
            </w:pPr>
            <w:r/>
            <w:r>
              <w:rPr>
                <w:rFonts w:ascii="Arial" w:hAnsi="Arial" w:eastAsia="Arial"/>
                <w:b/>
                <w:sz w:val="16"/>
              </w:rPr>
              <w:t>QA/QC status</w:t>
            </w:r>
          </w:p>
        </w:tc>
      </w:tr>
      <w:tr>
        <w:tc>
          <w:tcPr>
            <w:tcW w:type="dxa" w:w="1080"/>
            <w:vAlign w:val="center"/>
          </w:tcPr>
          <w:p>
            <w:pPr>
              <w:spacing w:after="0"/>
            </w:pPr>
            <w:r/>
            <w:r>
              <w:rPr>
                <w:rFonts w:ascii="Arial" w:hAnsi="Arial" w:eastAsia="Arial"/>
                <w:b w:val="0"/>
                <w:sz w:val="16"/>
              </w:rPr>
            </w:r>
          </w:p>
        </w:tc>
        <w:tc>
          <w:tcPr>
            <w:tcW w:type="dxa" w:w="1152"/>
            <w:vAlign w:val="center"/>
          </w:tcPr>
          <w:p>
            <w:pPr>
              <w:spacing w:after="0"/>
            </w:pPr>
            <w:r/>
            <w:r>
              <w:rPr>
                <w:rFonts w:ascii="Arial" w:hAnsi="Arial" w:eastAsia="Arial"/>
                <w:b w:val="0"/>
                <w:sz w:val="16"/>
              </w:rPr>
            </w:r>
          </w:p>
        </w:tc>
        <w:tc>
          <w:tcPr>
            <w:tcW w:type="dxa" w:w="648"/>
            <w:vAlign w:val="center"/>
          </w:tcPr>
          <w:p>
            <w:pPr>
              <w:spacing w:after="0"/>
            </w:pPr>
            <w:r/>
            <w:r>
              <w:rPr>
                <w:rFonts w:ascii="Arial" w:hAnsi="Arial" w:eastAsia="Arial"/>
                <w:b w:val="0"/>
                <w:sz w:val="16"/>
              </w:rPr>
            </w:r>
          </w:p>
        </w:tc>
        <w:tc>
          <w:tcPr>
            <w:tcW w:type="dxa" w:w="648"/>
            <w:vAlign w:val="center"/>
          </w:tcPr>
          <w:p>
            <w:pPr>
              <w:spacing w:after="0"/>
            </w:pPr>
            <w:r/>
            <w:r>
              <w:rPr>
                <w:rFonts w:ascii="Arial" w:hAnsi="Arial" w:eastAsia="Arial"/>
                <w:b w:val="0"/>
                <w:sz w:val="16"/>
              </w:rPr>
            </w:r>
          </w:p>
        </w:tc>
        <w:tc>
          <w:tcPr>
            <w:tcW w:type="dxa" w:w="648"/>
            <w:vAlign w:val="center"/>
          </w:tcPr>
          <w:p>
            <w:pPr>
              <w:spacing w:after="0"/>
            </w:pPr>
            <w:r/>
            <w:r>
              <w:rPr>
                <w:rFonts w:ascii="Arial" w:hAnsi="Arial" w:eastAsia="Arial"/>
                <w:b w:val="0"/>
                <w:sz w:val="16"/>
              </w:rPr>
            </w:r>
          </w:p>
        </w:tc>
        <w:tc>
          <w:tcPr>
            <w:tcW w:type="dxa" w:w="648"/>
            <w:vAlign w:val="center"/>
          </w:tcPr>
          <w:p>
            <w:pPr>
              <w:spacing w:after="0"/>
            </w:pPr>
            <w:r/>
            <w:r>
              <w:rPr>
                <w:rFonts w:ascii="Arial" w:hAnsi="Arial" w:eastAsia="Arial"/>
                <w:b w:val="0"/>
                <w:sz w:val="16"/>
              </w:rPr>
            </w:r>
          </w:p>
        </w:tc>
        <w:tc>
          <w:tcPr>
            <w:tcW w:type="dxa" w:w="648"/>
            <w:vAlign w:val="center"/>
          </w:tcPr>
          <w:p>
            <w:pPr>
              <w:spacing w:after="0"/>
            </w:pPr>
            <w:r/>
            <w:r>
              <w:rPr>
                <w:rFonts w:ascii="Arial" w:hAnsi="Arial" w:eastAsia="Arial"/>
                <w:b w:val="0"/>
                <w:sz w:val="16"/>
              </w:rPr>
            </w:r>
          </w:p>
        </w:tc>
        <w:tc>
          <w:tcPr>
            <w:tcW w:type="dxa" w:w="648"/>
            <w:vAlign w:val="center"/>
          </w:tcPr>
          <w:p>
            <w:pPr>
              <w:spacing w:after="0"/>
            </w:pPr>
            <w:r/>
            <w:r>
              <w:rPr>
                <w:rFonts w:ascii="Arial" w:hAnsi="Arial" w:eastAsia="Arial"/>
                <w:b w:val="0"/>
                <w:sz w:val="16"/>
              </w:rPr>
            </w:r>
          </w:p>
        </w:tc>
        <w:tc>
          <w:tcPr>
            <w:tcW w:type="dxa" w:w="1728"/>
            <w:vAlign w:val="center"/>
          </w:tcPr>
          <w:p>
            <w:pPr>
              <w:spacing w:after="0"/>
            </w:pPr>
            <w:r/>
            <w:r>
              <w:rPr>
                <w:rFonts w:ascii="Arial" w:hAnsi="Arial" w:eastAsia="Arial"/>
                <w:b w:val="0"/>
                <w:sz w:val="16"/>
              </w:rPr>
            </w:r>
          </w:p>
        </w:tc>
        <w:tc>
          <w:tcPr>
            <w:tcW w:type="dxa" w:w="1296"/>
            <w:vAlign w:val="center"/>
          </w:tcPr>
          <w:p>
            <w:pPr>
              <w:spacing w:after="0"/>
            </w:pPr>
            <w:r/>
            <w:r>
              <w:rPr>
                <w:rFonts w:ascii="Arial" w:hAnsi="Arial" w:eastAsia="Arial"/>
                <w:b w:val="0"/>
                <w:sz w:val="16"/>
              </w:rPr>
            </w:r>
          </w:p>
        </w:tc>
      </w:tr>
    </w:tbl>
    <w:p/>
    <w:p>
      <w:pPr>
        <w:pStyle w:val="Heading2"/>
      </w:pPr>
      <w:r>
        <w:t>7.4 Risk and data gap</w:t>
      </w:r>
    </w:p>
    <w:p>
      <w:pPr>
        <w:spacing w:after="60"/>
      </w:pPr>
      <w:r>
        <w:rPr>
          <w:b w:val="0"/>
        </w:rPr>
        <w:t>Target бүр дээр эрсдэл бичнэ.</w:t>
      </w:r>
    </w:p>
    <w:p>
      <w:pPr>
        <w:spacing w:after="60"/>
      </w:pPr>
      <w:r>
        <w:rPr>
          <w:b/>
        </w:rPr>
        <w:t>Жишээ:</w:t>
      </w:r>
    </w:p>
    <w:p>
      <w:pPr>
        <w:pStyle w:val="ListBullet"/>
        <w:spacing w:after="20"/>
      </w:pPr>
      <w:r>
        <w:t>Assay data sparse</w:t>
      </w:r>
    </w:p>
    <w:p>
      <w:pPr>
        <w:pStyle w:val="ListBullet"/>
        <w:spacing w:after="20"/>
      </w:pPr>
      <w:r>
        <w:t>Field mapping incomplete</w:t>
      </w:r>
    </w:p>
    <w:p>
      <w:pPr>
        <w:pStyle w:val="ListBullet"/>
        <w:spacing w:after="20"/>
      </w:pPr>
      <w:r>
        <w:t>Remote sensing anomaly not field-verified</w:t>
      </w:r>
    </w:p>
    <w:p>
      <w:pPr>
        <w:pStyle w:val="ListBullet"/>
        <w:spacing w:after="20"/>
      </w:pPr>
      <w:r>
        <w:t>Structural interpretation uncertain</w:t>
      </w:r>
    </w:p>
    <w:p>
      <w:pPr>
        <w:pStyle w:val="ListBullet"/>
        <w:spacing w:after="20"/>
      </w:pPr>
      <w:r>
        <w:t>Access difficult</w:t>
      </w:r>
    </w:p>
    <w:p>
      <w:pPr>
        <w:pStyle w:val="ListBullet"/>
        <w:spacing w:after="20"/>
      </w:pPr>
      <w:r>
        <w:t>CMCS relation indirect</w:t>
      </w:r>
    </w:p>
    <w:p>
      <w:pPr>
        <w:pStyle w:val="ListBullet"/>
        <w:spacing w:after="20"/>
      </w:pPr>
      <w:r>
        <w:t>QA/QC pending</w:t>
      </w:r>
    </w:p>
    <w:p>
      <w:pPr>
        <w:pStyle w:val="ListBullet"/>
        <w:spacing w:after="20"/>
      </w:pPr>
      <w:r>
        <w:t>No trench data</w:t>
      </w:r>
    </w:p>
    <w:p>
      <w:pPr>
        <w:pStyle w:val="ListBullet"/>
        <w:spacing w:after="20"/>
      </w:pPr>
      <w:r>
        <w:t>No geophysics</w:t>
      </w:r>
    </w:p>
    <w:p>
      <w:pPr>
        <w:pStyle w:val="Heading2"/>
      </w:pPr>
      <w:r>
        <w:t>7.5 Recommended next work</w:t>
      </w:r>
    </w:p>
    <w:p>
      <w:pPr>
        <w:spacing w:after="60"/>
      </w:pPr>
      <w:r>
        <w:rPr>
          <w:b w:val="0"/>
        </w:rPr>
        <w:t>Target-ийн зэрэглэлээс хамаарч дараах санал гаргана.</w:t>
      </w:r>
    </w:p>
    <w:tbl>
      <w:tblPr>
        <w:tblStyle w:val="TableGrid"/>
        <w:tblW w:type="auto" w:w="0"/>
        <w:jc w:val="center"/>
        <w:tblLook w:firstColumn="1" w:firstRow="1" w:lastColumn="0" w:lastRow="0" w:noHBand="0" w:noVBand="1" w:val="04A0"/>
      </w:tblPr>
      <w:tblGrid>
        <w:gridCol w:w="5184"/>
        <w:gridCol w:w="5184"/>
      </w:tblGrid>
      <w:tr>
        <w:tc>
          <w:tcPr>
            <w:tcW w:type="dxa" w:w="2016"/>
            <w:vAlign w:val="center"/>
            <w:shd w:fill="D9EAF7"/>
          </w:tcPr>
          <w:p>
            <w:pPr>
              <w:spacing w:after="0"/>
            </w:pPr>
            <w:r/>
            <w:r>
              <w:rPr>
                <w:rFonts w:ascii="Arial" w:hAnsi="Arial" w:eastAsia="Arial"/>
                <w:b/>
                <w:sz w:val="16"/>
              </w:rPr>
              <w:t>Target class</w:t>
            </w:r>
          </w:p>
        </w:tc>
        <w:tc>
          <w:tcPr>
            <w:tcW w:type="dxa" w:w="7488"/>
            <w:vAlign w:val="center"/>
            <w:shd w:fill="D9EAF7"/>
          </w:tcPr>
          <w:p>
            <w:pPr>
              <w:spacing w:after="0"/>
            </w:pPr>
            <w:r/>
            <w:r>
              <w:rPr>
                <w:rFonts w:ascii="Arial" w:hAnsi="Arial" w:eastAsia="Arial"/>
                <w:b/>
                <w:sz w:val="16"/>
              </w:rPr>
              <w:t>Recommended work</w:t>
            </w:r>
          </w:p>
        </w:tc>
      </w:tr>
      <w:tr>
        <w:tc>
          <w:tcPr>
            <w:tcW w:type="dxa" w:w="2016"/>
            <w:vAlign w:val="center"/>
          </w:tcPr>
          <w:p>
            <w:pPr>
              <w:spacing w:after="0"/>
            </w:pPr>
            <w:r/>
            <w:r>
              <w:rPr>
                <w:rFonts w:ascii="Arial" w:hAnsi="Arial" w:eastAsia="Arial"/>
                <w:b w:val="0"/>
                <w:sz w:val="16"/>
              </w:rPr>
              <w:t>A</w:t>
            </w:r>
          </w:p>
        </w:tc>
        <w:tc>
          <w:tcPr>
            <w:tcW w:type="dxa" w:w="7488"/>
            <w:vAlign w:val="center"/>
          </w:tcPr>
          <w:p>
            <w:pPr>
              <w:spacing w:after="0"/>
            </w:pPr>
            <w:r/>
            <w:r>
              <w:rPr>
                <w:rFonts w:ascii="Arial" w:hAnsi="Arial" w:eastAsia="Arial"/>
                <w:b w:val="0"/>
                <w:sz w:val="16"/>
              </w:rPr>
              <w:t>Trenching, geophysics, scout drilling</w:t>
            </w:r>
          </w:p>
        </w:tc>
      </w:tr>
      <w:tr>
        <w:tc>
          <w:tcPr>
            <w:tcW w:type="dxa" w:w="2016"/>
            <w:vAlign w:val="center"/>
          </w:tcPr>
          <w:p>
            <w:pPr>
              <w:spacing w:after="0"/>
            </w:pPr>
            <w:r/>
            <w:r>
              <w:rPr>
                <w:rFonts w:ascii="Arial" w:hAnsi="Arial" w:eastAsia="Arial"/>
                <w:b w:val="0"/>
                <w:sz w:val="16"/>
              </w:rPr>
              <w:t>B</w:t>
            </w:r>
          </w:p>
        </w:tc>
        <w:tc>
          <w:tcPr>
            <w:tcW w:type="dxa" w:w="7488"/>
            <w:vAlign w:val="center"/>
          </w:tcPr>
          <w:p>
            <w:pPr>
              <w:spacing w:after="0"/>
            </w:pPr>
            <w:r/>
            <w:r>
              <w:rPr>
                <w:rFonts w:ascii="Arial" w:hAnsi="Arial" w:eastAsia="Arial"/>
                <w:b w:val="0"/>
                <w:sz w:val="16"/>
              </w:rPr>
              <w:t>Detailed mapping, soil/rock sampling, ground check</w:t>
            </w:r>
          </w:p>
        </w:tc>
      </w:tr>
      <w:tr>
        <w:tc>
          <w:tcPr>
            <w:tcW w:type="dxa" w:w="2016"/>
            <w:vAlign w:val="center"/>
          </w:tcPr>
          <w:p>
            <w:pPr>
              <w:spacing w:after="0"/>
            </w:pPr>
            <w:r/>
            <w:r>
              <w:rPr>
                <w:rFonts w:ascii="Arial" w:hAnsi="Arial" w:eastAsia="Arial"/>
                <w:b w:val="0"/>
                <w:sz w:val="16"/>
              </w:rPr>
              <w:t>C</w:t>
            </w:r>
          </w:p>
        </w:tc>
        <w:tc>
          <w:tcPr>
            <w:tcW w:type="dxa" w:w="7488"/>
            <w:vAlign w:val="center"/>
          </w:tcPr>
          <w:p>
            <w:pPr>
              <w:spacing w:after="0"/>
            </w:pPr>
            <w:r/>
            <w:r>
              <w:rPr>
                <w:rFonts w:ascii="Arial" w:hAnsi="Arial" w:eastAsia="Arial"/>
                <w:b w:val="0"/>
                <w:sz w:val="16"/>
              </w:rPr>
              <w:t>Reconnaissance verification only</w:t>
            </w:r>
          </w:p>
        </w:tc>
      </w:tr>
      <w:tr>
        <w:tc>
          <w:tcPr>
            <w:tcW w:type="dxa" w:w="2016"/>
            <w:vAlign w:val="center"/>
          </w:tcPr>
          <w:p>
            <w:pPr>
              <w:spacing w:after="0"/>
            </w:pPr>
            <w:r/>
            <w:r>
              <w:rPr>
                <w:rFonts w:ascii="Arial" w:hAnsi="Arial" w:eastAsia="Arial"/>
                <w:b w:val="0"/>
                <w:sz w:val="16"/>
              </w:rPr>
              <w:t>No-Go</w:t>
            </w:r>
          </w:p>
        </w:tc>
        <w:tc>
          <w:tcPr>
            <w:tcW w:type="dxa" w:w="7488"/>
            <w:vAlign w:val="center"/>
          </w:tcPr>
          <w:p>
            <w:pPr>
              <w:spacing w:after="0"/>
            </w:pPr>
            <w:r/>
            <w:r>
              <w:rPr>
                <w:rFonts w:ascii="Arial" w:hAnsi="Arial" w:eastAsia="Arial"/>
                <w:b w:val="0"/>
                <w:sz w:val="16"/>
              </w:rPr>
              <w:t>No immediate follow-up</w:t>
            </w:r>
          </w:p>
        </w:tc>
      </w:tr>
    </w:tbl>
    <w:p/>
    <w:p>
      <w:pPr>
        <w:pStyle w:val="Heading1"/>
      </w:pPr>
      <w:r>
        <w:t>8. Go / No-Go decision хийх</w:t>
      </w:r>
    </w:p>
    <w:p>
      <w:pPr>
        <w:spacing w:after="60"/>
      </w:pPr>
      <w:r>
        <w:rPr>
          <w:b w:val="0"/>
        </w:rPr>
        <w:t>Go / No-Go шийдвэрийг оноо, нотолгоо, эрсдэл дээр үндэслэнэ.</w:t>
      </w:r>
    </w:p>
    <w:p>
      <w:pPr>
        <w:pStyle w:val="Heading2"/>
      </w:pPr>
      <w:r>
        <w:t>8.1 Go decision</w:t>
      </w:r>
    </w:p>
    <w:p>
      <w:pPr>
        <w:spacing w:after="60"/>
      </w:pPr>
      <w:r>
        <w:rPr>
          <w:b w:val="0"/>
        </w:rPr>
        <w:t>Дараах нөхцөл бүрдвэл Go гэж үзнэ.</w:t>
      </w:r>
    </w:p>
    <w:p>
      <w:pPr>
        <w:pStyle w:val="ListBullet"/>
        <w:spacing w:after="20"/>
      </w:pPr>
      <w:r>
        <w:t>Target score 75-аас дээш</w:t>
      </w:r>
    </w:p>
    <w:p>
      <w:pPr>
        <w:pStyle w:val="ListBullet"/>
        <w:spacing w:after="20"/>
      </w:pPr>
      <w:r>
        <w:t>3 ба түүнээс дээш independent evidence давхцсан</w:t>
      </w:r>
    </w:p>
    <w:p>
      <w:pPr>
        <w:pStyle w:val="ListBullet"/>
        <w:spacing w:after="20"/>
      </w:pPr>
      <w:r>
        <w:t>Lab assay эсвэл field mineralization баталгаатай</w:t>
      </w:r>
    </w:p>
    <w:p>
      <w:pPr>
        <w:pStyle w:val="ListBullet"/>
        <w:spacing w:after="20"/>
      </w:pPr>
      <w:r>
        <w:t>Geological model нийцтэй</w:t>
      </w:r>
    </w:p>
    <w:p>
      <w:pPr>
        <w:pStyle w:val="ListBullet"/>
        <w:spacing w:after="20"/>
      </w:pPr>
      <w:r>
        <w:t>Дараагийн шатны ажил хийх хангалттай үндэслэлтэй</w:t>
      </w:r>
    </w:p>
    <w:p>
      <w:pPr>
        <w:pStyle w:val="Heading2"/>
      </w:pPr>
      <w:r>
        <w:t>8.2 Conditional Go</w:t>
      </w:r>
    </w:p>
    <w:p>
      <w:pPr>
        <w:spacing w:after="60"/>
      </w:pPr>
      <w:r>
        <w:rPr>
          <w:b w:val="0"/>
        </w:rPr>
        <w:t>Дараах нөхцөлд Conditional Go гэж үзнэ.</w:t>
      </w:r>
    </w:p>
    <w:p>
      <w:pPr>
        <w:pStyle w:val="ListBullet"/>
        <w:spacing w:after="20"/>
      </w:pPr>
      <w:r>
        <w:t>Target score 50–74</w:t>
      </w:r>
    </w:p>
    <w:p>
      <w:pPr>
        <w:pStyle w:val="ListBullet"/>
        <w:spacing w:after="20"/>
      </w:pPr>
      <w:r>
        <w:t>Зарим evidence сайн боловч data gap байгаа</w:t>
      </w:r>
    </w:p>
    <w:p>
      <w:pPr>
        <w:pStyle w:val="ListBullet"/>
        <w:spacing w:after="20"/>
      </w:pPr>
      <w:r>
        <w:t>QA/QC бүрэн биш</w:t>
      </w:r>
    </w:p>
    <w:p>
      <w:pPr>
        <w:pStyle w:val="ListBullet"/>
        <w:spacing w:after="20"/>
      </w:pPr>
      <w:r>
        <w:t>Field verification шаардлагатай</w:t>
      </w:r>
    </w:p>
    <w:p>
      <w:pPr>
        <w:pStyle w:val="ListBullet"/>
        <w:spacing w:after="20"/>
      </w:pPr>
      <w:r>
        <w:t>Дээжийн тоо хангалтгүй</w:t>
      </w:r>
    </w:p>
    <w:p>
      <w:pPr>
        <w:pStyle w:val="Heading2"/>
      </w:pPr>
      <w:r>
        <w:t>8.3 No-Go</w:t>
      </w:r>
    </w:p>
    <w:p>
      <w:pPr>
        <w:spacing w:after="60"/>
      </w:pPr>
      <w:r>
        <w:rPr>
          <w:b w:val="0"/>
        </w:rPr>
        <w:t>Дараах нөхцөлд No-Go гэж үзнэ.</w:t>
      </w:r>
    </w:p>
    <w:p>
      <w:pPr>
        <w:pStyle w:val="ListBullet"/>
        <w:spacing w:after="20"/>
      </w:pPr>
      <w:r>
        <w:t>Target score 25-аас бага</w:t>
      </w:r>
    </w:p>
    <w:p>
      <w:pPr>
        <w:pStyle w:val="ListBullet"/>
        <w:spacing w:after="20"/>
      </w:pPr>
      <w:r>
        <w:t>Evidence давхцал байхгүй</w:t>
      </w:r>
    </w:p>
    <w:p>
      <w:pPr>
        <w:pStyle w:val="ListBullet"/>
        <w:spacing w:after="20"/>
      </w:pPr>
      <w:r>
        <w:t>Assay result сул</w:t>
      </w:r>
    </w:p>
    <w:p>
      <w:pPr>
        <w:pStyle w:val="ListBullet"/>
        <w:spacing w:after="20"/>
      </w:pPr>
      <w:r>
        <w:t>Geological setting тохиромжгүй</w:t>
      </w:r>
    </w:p>
    <w:p>
      <w:pPr>
        <w:pStyle w:val="ListBullet"/>
        <w:spacing w:after="20"/>
      </w:pPr>
      <w:r>
        <w:t>Remote sensing anomaly field evidence-ээр баталгаажаагүй</w:t>
      </w:r>
    </w:p>
    <w:p>
      <w:pPr>
        <w:pStyle w:val="ListBullet"/>
        <w:spacing w:after="20"/>
      </w:pPr>
      <w:r>
        <w:t>CMCS болон ойролцоох ордтой холбоо сул</w:t>
      </w:r>
    </w:p>
    <w:p>
      <w:pPr>
        <w:pStyle w:val="Heading2"/>
      </w:pPr>
      <w:r>
        <w:t>8.4 Decision log</w:t>
      </w:r>
    </w:p>
    <w:p>
      <w:pPr>
        <w:spacing w:after="60"/>
      </w:pPr>
      <w:r>
        <w:rPr>
          <w:b w:val="0"/>
        </w:rPr>
        <w:t>Шийдвэрийн бүртгэл дараах бүтэцтэй байна.</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152"/>
            <w:vAlign w:val="center"/>
            <w:shd w:fill="D9EAF7"/>
          </w:tcPr>
          <w:p>
            <w:pPr>
              <w:spacing w:after="0"/>
            </w:pPr>
            <w:r/>
            <w:r>
              <w:rPr>
                <w:rFonts w:ascii="Arial" w:hAnsi="Arial" w:eastAsia="Arial"/>
                <w:b/>
                <w:sz w:val="16"/>
              </w:rPr>
              <w:t>Target ID</w:t>
            </w:r>
          </w:p>
        </w:tc>
        <w:tc>
          <w:tcPr>
            <w:tcW w:type="dxa" w:w="864"/>
            <w:vAlign w:val="center"/>
            <w:shd w:fill="D9EAF7"/>
          </w:tcPr>
          <w:p>
            <w:pPr>
              <w:spacing w:after="0"/>
            </w:pPr>
            <w:r/>
            <w:r>
              <w:rPr>
                <w:rFonts w:ascii="Arial" w:hAnsi="Arial" w:eastAsia="Arial"/>
                <w:b/>
                <w:sz w:val="16"/>
              </w:rPr>
              <w:t>Score</w:t>
            </w:r>
          </w:p>
        </w:tc>
        <w:tc>
          <w:tcPr>
            <w:tcW w:type="dxa" w:w="1008"/>
            <w:vAlign w:val="center"/>
            <w:shd w:fill="D9EAF7"/>
          </w:tcPr>
          <w:p>
            <w:pPr>
              <w:spacing w:after="0"/>
            </w:pPr>
            <w:r/>
            <w:r>
              <w:rPr>
                <w:rFonts w:ascii="Arial" w:hAnsi="Arial" w:eastAsia="Arial"/>
                <w:b/>
                <w:sz w:val="16"/>
              </w:rPr>
              <w:t>Class</w:t>
            </w:r>
          </w:p>
        </w:tc>
        <w:tc>
          <w:tcPr>
            <w:tcW w:type="dxa" w:w="1152"/>
            <w:vAlign w:val="center"/>
            <w:shd w:fill="D9EAF7"/>
          </w:tcPr>
          <w:p>
            <w:pPr>
              <w:spacing w:after="0"/>
            </w:pPr>
            <w:r/>
            <w:r>
              <w:rPr>
                <w:rFonts w:ascii="Arial" w:hAnsi="Arial" w:eastAsia="Arial"/>
                <w:b/>
                <w:sz w:val="16"/>
              </w:rPr>
              <w:t>Decision</w:t>
            </w:r>
          </w:p>
        </w:tc>
        <w:tc>
          <w:tcPr>
            <w:tcW w:type="dxa" w:w="2160"/>
            <w:vAlign w:val="center"/>
            <w:shd w:fill="D9EAF7"/>
          </w:tcPr>
          <w:p>
            <w:pPr>
              <w:spacing w:after="0"/>
            </w:pPr>
            <w:r/>
            <w:r>
              <w:rPr>
                <w:rFonts w:ascii="Arial" w:hAnsi="Arial" w:eastAsia="Arial"/>
                <w:b/>
                <w:sz w:val="16"/>
              </w:rPr>
              <w:t>Reason</w:t>
            </w:r>
          </w:p>
        </w:tc>
        <w:tc>
          <w:tcPr>
            <w:tcW w:type="dxa" w:w="1152"/>
            <w:vAlign w:val="center"/>
            <w:shd w:fill="D9EAF7"/>
          </w:tcPr>
          <w:p>
            <w:pPr>
              <w:spacing w:after="0"/>
            </w:pPr>
            <w:r/>
            <w:r>
              <w:rPr>
                <w:rFonts w:ascii="Arial" w:hAnsi="Arial" w:eastAsia="Arial"/>
                <w:b/>
                <w:sz w:val="16"/>
              </w:rPr>
              <w:t>Reviewer</w:t>
            </w:r>
          </w:p>
        </w:tc>
        <w:tc>
          <w:tcPr>
            <w:tcW w:type="dxa" w:w="1008"/>
            <w:vAlign w:val="center"/>
            <w:shd w:fill="D9EAF7"/>
          </w:tcPr>
          <w:p>
            <w:pPr>
              <w:spacing w:after="0"/>
            </w:pPr>
            <w:r/>
            <w:r>
              <w:rPr>
                <w:rFonts w:ascii="Arial" w:hAnsi="Arial" w:eastAsia="Arial"/>
                <w:b/>
                <w:sz w:val="16"/>
              </w:rPr>
              <w:t>Date</w:t>
            </w:r>
          </w:p>
        </w:tc>
        <w:tc>
          <w:tcPr>
            <w:tcW w:type="dxa" w:w="1728"/>
            <w:vAlign w:val="center"/>
            <w:shd w:fill="D9EAF7"/>
          </w:tcPr>
          <w:p>
            <w:pPr>
              <w:spacing w:after="0"/>
            </w:pPr>
            <w:r/>
            <w:r>
              <w:rPr>
                <w:rFonts w:ascii="Arial" w:hAnsi="Arial" w:eastAsia="Arial"/>
                <w:b/>
                <w:sz w:val="16"/>
              </w:rPr>
              <w:t>Next action</w:t>
            </w:r>
          </w:p>
        </w:tc>
      </w:tr>
      <w:tr>
        <w:tc>
          <w:tcPr>
            <w:tcW w:type="dxa" w:w="1152"/>
            <w:vAlign w:val="center"/>
          </w:tcPr>
          <w:p>
            <w:pPr>
              <w:spacing w:after="0"/>
            </w:pPr>
            <w:r/>
            <w:r>
              <w:rPr>
                <w:rFonts w:ascii="Arial" w:hAnsi="Arial" w:eastAsia="Arial"/>
                <w:b w:val="0"/>
                <w:sz w:val="16"/>
              </w:rPr>
            </w:r>
          </w:p>
        </w:tc>
        <w:tc>
          <w:tcPr>
            <w:tcW w:type="dxa" w:w="864"/>
            <w:vAlign w:val="center"/>
          </w:tcPr>
          <w:p>
            <w:pPr>
              <w:spacing w:after="0"/>
            </w:pPr>
            <w:r/>
            <w:r>
              <w:rPr>
                <w:rFonts w:ascii="Arial" w:hAnsi="Arial" w:eastAsia="Arial"/>
                <w:b w:val="0"/>
                <w:sz w:val="16"/>
              </w:rPr>
            </w:r>
          </w:p>
        </w:tc>
        <w:tc>
          <w:tcPr>
            <w:tcW w:type="dxa" w:w="1008"/>
            <w:vAlign w:val="center"/>
          </w:tcPr>
          <w:p>
            <w:pPr>
              <w:spacing w:after="0"/>
            </w:pPr>
            <w:r/>
            <w:r>
              <w:rPr>
                <w:rFonts w:ascii="Arial" w:hAnsi="Arial" w:eastAsia="Arial"/>
                <w:b w:val="0"/>
                <w:sz w:val="16"/>
              </w:rPr>
            </w:r>
          </w:p>
        </w:tc>
        <w:tc>
          <w:tcPr>
            <w:tcW w:type="dxa" w:w="1152"/>
            <w:vAlign w:val="center"/>
          </w:tcPr>
          <w:p>
            <w:pPr>
              <w:spacing w:after="0"/>
            </w:pPr>
            <w:r/>
            <w:r>
              <w:rPr>
                <w:rFonts w:ascii="Arial" w:hAnsi="Arial" w:eastAsia="Arial"/>
                <w:b w:val="0"/>
                <w:sz w:val="16"/>
              </w:rPr>
            </w:r>
          </w:p>
        </w:tc>
        <w:tc>
          <w:tcPr>
            <w:tcW w:type="dxa" w:w="2160"/>
            <w:vAlign w:val="center"/>
          </w:tcPr>
          <w:p>
            <w:pPr>
              <w:spacing w:after="0"/>
            </w:pPr>
            <w:r/>
            <w:r>
              <w:rPr>
                <w:rFonts w:ascii="Arial" w:hAnsi="Arial" w:eastAsia="Arial"/>
                <w:b w:val="0"/>
                <w:sz w:val="16"/>
              </w:rPr>
            </w:r>
          </w:p>
        </w:tc>
        <w:tc>
          <w:tcPr>
            <w:tcW w:type="dxa" w:w="1152"/>
            <w:vAlign w:val="center"/>
          </w:tcPr>
          <w:p>
            <w:pPr>
              <w:spacing w:after="0"/>
            </w:pPr>
            <w:r/>
            <w:r>
              <w:rPr>
                <w:rFonts w:ascii="Arial" w:hAnsi="Arial" w:eastAsia="Arial"/>
                <w:b w:val="0"/>
                <w:sz w:val="16"/>
              </w:rPr>
            </w:r>
          </w:p>
        </w:tc>
        <w:tc>
          <w:tcPr>
            <w:tcW w:type="dxa" w:w="1008"/>
            <w:vAlign w:val="center"/>
          </w:tcPr>
          <w:p>
            <w:pPr>
              <w:spacing w:after="0"/>
            </w:pPr>
            <w:r/>
            <w:r>
              <w:rPr>
                <w:rFonts w:ascii="Arial" w:hAnsi="Arial" w:eastAsia="Arial"/>
                <w:b w:val="0"/>
                <w:sz w:val="16"/>
              </w:rPr>
            </w:r>
          </w:p>
        </w:tc>
        <w:tc>
          <w:tcPr>
            <w:tcW w:type="dxa" w:w="1728"/>
            <w:vAlign w:val="center"/>
          </w:tcPr>
          <w:p>
            <w:pPr>
              <w:spacing w:after="0"/>
            </w:pPr>
            <w:r/>
            <w:r>
              <w:rPr>
                <w:rFonts w:ascii="Arial" w:hAnsi="Arial" w:eastAsia="Arial"/>
                <w:b w:val="0"/>
                <w:sz w:val="16"/>
              </w:rPr>
            </w:r>
          </w:p>
        </w:tc>
      </w:tr>
    </w:tbl>
    <w:p/>
    <w:p>
      <w:pPr>
        <w:pStyle w:val="Heading1"/>
      </w:pPr>
      <w:r>
        <w:t>9. QA/QC check list</w:t>
      </w:r>
    </w:p>
    <w:p>
      <w:pPr>
        <w:spacing w:after="60"/>
      </w:pPr>
      <w:r>
        <w:rPr>
          <w:b w:val="0"/>
        </w:rPr>
        <w:t>Final output гаргахаас өмнө дараах checklist-ийг бөглөнө.</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880"/>
            <w:vAlign w:val="center"/>
            <w:shd w:fill="D9EAF7"/>
          </w:tcPr>
          <w:p>
            <w:pPr>
              <w:spacing w:after="0"/>
            </w:pPr>
            <w:r/>
            <w:r>
              <w:rPr>
                <w:rFonts w:ascii="Arial" w:hAnsi="Arial" w:eastAsia="Arial"/>
                <w:b/>
                <w:sz w:val="16"/>
              </w:rPr>
              <w:t>QA/QC item</w:t>
            </w:r>
          </w:p>
        </w:tc>
        <w:tc>
          <w:tcPr>
            <w:tcW w:type="dxa" w:w="3744"/>
            <w:vAlign w:val="center"/>
            <w:shd w:fill="D9EAF7"/>
          </w:tcPr>
          <w:p>
            <w:pPr>
              <w:spacing w:after="0"/>
            </w:pPr>
            <w:r/>
            <w:r>
              <w:rPr>
                <w:rFonts w:ascii="Arial" w:hAnsi="Arial" w:eastAsia="Arial"/>
                <w:b/>
                <w:sz w:val="16"/>
              </w:rPr>
              <w:t>Acceptance note</w:t>
            </w:r>
          </w:p>
        </w:tc>
        <w:tc>
          <w:tcPr>
            <w:tcW w:type="dxa" w:w="1152"/>
            <w:vAlign w:val="center"/>
            <w:shd w:fill="D9EAF7"/>
          </w:tcPr>
          <w:p>
            <w:pPr>
              <w:spacing w:after="0"/>
            </w:pPr>
            <w:r/>
            <w:r>
              <w:rPr>
                <w:rFonts w:ascii="Arial" w:hAnsi="Arial" w:eastAsia="Arial"/>
                <w:b/>
                <w:sz w:val="16"/>
              </w:rPr>
              <w:t>Status</w:t>
            </w:r>
          </w:p>
        </w:tc>
        <w:tc>
          <w:tcPr>
            <w:tcW w:type="dxa" w:w="1152"/>
            <w:vAlign w:val="center"/>
            <w:shd w:fill="D9EAF7"/>
          </w:tcPr>
          <w:p>
            <w:pPr>
              <w:spacing w:after="0"/>
            </w:pPr>
            <w:r/>
            <w:r>
              <w:rPr>
                <w:rFonts w:ascii="Arial" w:hAnsi="Arial" w:eastAsia="Arial"/>
                <w:b/>
                <w:sz w:val="16"/>
              </w:rPr>
              <w:t>Reviewer</w:t>
            </w:r>
          </w:p>
        </w:tc>
        <w:tc>
          <w:tcPr>
            <w:tcW w:type="dxa" w:w="864"/>
            <w:vAlign w:val="center"/>
            <w:shd w:fill="D9EAF7"/>
          </w:tcPr>
          <w:p>
            <w:pPr>
              <w:spacing w:after="0"/>
            </w:pPr>
            <w:r/>
            <w:r>
              <w:rPr>
                <w:rFonts w:ascii="Arial" w:hAnsi="Arial" w:eastAsia="Arial"/>
                <w:b/>
                <w:sz w:val="16"/>
              </w:rPr>
              <w:t>Date</w:t>
            </w:r>
          </w:p>
        </w:tc>
      </w:tr>
      <w:tr>
        <w:tc>
          <w:tcPr>
            <w:tcW w:type="dxa" w:w="2880"/>
            <w:vAlign w:val="center"/>
          </w:tcPr>
          <w:p>
            <w:pPr>
              <w:spacing w:after="0"/>
            </w:pPr>
            <w:r/>
            <w:r>
              <w:rPr>
                <w:rFonts w:ascii="Arial" w:hAnsi="Arial" w:eastAsia="Arial"/>
                <w:b w:val="0"/>
                <w:sz w:val="16"/>
              </w:rPr>
              <w:t>All evidence layers version-controlled</w:t>
            </w:r>
          </w:p>
        </w:tc>
        <w:tc>
          <w:tcPr>
            <w:tcW w:type="dxa" w:w="3744"/>
            <w:vAlign w:val="center"/>
          </w:tcPr>
          <w:p>
            <w:pPr>
              <w:spacing w:after="0"/>
            </w:pPr>
            <w:r/>
            <w:r>
              <w:rPr>
                <w:rFonts w:ascii="Arial" w:hAnsi="Arial" w:eastAsia="Arial"/>
                <w:b w:val="0"/>
                <w:sz w:val="16"/>
              </w:rPr>
              <w:t>Phase QA/QC log-д бүртгэсэн байна</w:t>
            </w:r>
          </w:p>
        </w:tc>
        <w:tc>
          <w:tcPr>
            <w:tcW w:type="dxa" w:w="1152"/>
            <w:vAlign w:val="center"/>
          </w:tcPr>
          <w:p>
            <w:pPr>
              <w:spacing w:after="0"/>
            </w:pPr>
            <w:r/>
            <w:r>
              <w:rPr>
                <w:rFonts w:ascii="Arial" w:hAnsi="Arial" w:eastAsia="Arial"/>
                <w:b w:val="0"/>
                <w:sz w:val="16"/>
              </w:rPr>
              <w:t>Pass/Fail</w:t>
            </w:r>
          </w:p>
        </w:tc>
        <w:tc>
          <w:tcPr>
            <w:tcW w:type="dxa" w:w="1152"/>
            <w:vAlign w:val="center"/>
          </w:tcPr>
          <w:p>
            <w:pPr>
              <w:spacing w:after="0"/>
            </w:pPr>
            <w:r/>
            <w:r>
              <w:rPr>
                <w:rFonts w:ascii="Arial" w:hAnsi="Arial" w:eastAsia="Arial"/>
                <w:b w:val="0"/>
                <w:sz w:val="16"/>
              </w:rPr>
            </w:r>
          </w:p>
        </w:tc>
        <w:tc>
          <w:tcPr>
            <w:tcW w:type="dxa" w:w="864"/>
            <w:vAlign w:val="center"/>
          </w:tcPr>
          <w:p>
            <w:pPr>
              <w:spacing w:after="0"/>
            </w:pPr>
            <w:r/>
            <w:r>
              <w:rPr>
                <w:rFonts w:ascii="Arial" w:hAnsi="Arial" w:eastAsia="Arial"/>
                <w:b w:val="0"/>
                <w:sz w:val="16"/>
              </w:rPr>
            </w:r>
          </w:p>
        </w:tc>
      </w:tr>
      <w:tr>
        <w:tc>
          <w:tcPr>
            <w:tcW w:type="dxa" w:w="2880"/>
            <w:vAlign w:val="center"/>
          </w:tcPr>
          <w:p>
            <w:pPr>
              <w:spacing w:after="0"/>
            </w:pPr>
            <w:r/>
            <w:r>
              <w:rPr>
                <w:rFonts w:ascii="Arial" w:hAnsi="Arial" w:eastAsia="Arial"/>
                <w:b w:val="0"/>
                <w:sz w:val="16"/>
              </w:rPr>
              <w:t>Assay QA/QC passed</w:t>
            </w:r>
          </w:p>
        </w:tc>
        <w:tc>
          <w:tcPr>
            <w:tcW w:type="dxa" w:w="3744"/>
            <w:vAlign w:val="center"/>
          </w:tcPr>
          <w:p>
            <w:pPr>
              <w:spacing w:after="0"/>
            </w:pPr>
            <w:r/>
            <w:r>
              <w:rPr>
                <w:rFonts w:ascii="Arial" w:hAnsi="Arial" w:eastAsia="Arial"/>
                <w:b w:val="0"/>
                <w:sz w:val="16"/>
              </w:rPr>
              <w:t>QA/QC log-д бүртгэсэн байна</w:t>
            </w:r>
          </w:p>
        </w:tc>
        <w:tc>
          <w:tcPr>
            <w:tcW w:type="dxa" w:w="1152"/>
            <w:vAlign w:val="center"/>
          </w:tcPr>
          <w:p>
            <w:pPr>
              <w:spacing w:after="0"/>
            </w:pPr>
            <w:r/>
            <w:r>
              <w:rPr>
                <w:rFonts w:ascii="Arial" w:hAnsi="Arial" w:eastAsia="Arial"/>
                <w:b w:val="0"/>
                <w:sz w:val="16"/>
              </w:rPr>
              <w:t>Pass/Fail</w:t>
            </w:r>
          </w:p>
        </w:tc>
        <w:tc>
          <w:tcPr>
            <w:tcW w:type="dxa" w:w="1152"/>
            <w:vAlign w:val="center"/>
          </w:tcPr>
          <w:p>
            <w:pPr>
              <w:spacing w:after="0"/>
            </w:pPr>
            <w:r/>
            <w:r>
              <w:rPr>
                <w:rFonts w:ascii="Arial" w:hAnsi="Arial" w:eastAsia="Arial"/>
                <w:b w:val="0"/>
                <w:sz w:val="16"/>
              </w:rPr>
            </w:r>
          </w:p>
        </w:tc>
        <w:tc>
          <w:tcPr>
            <w:tcW w:type="dxa" w:w="864"/>
            <w:vAlign w:val="center"/>
          </w:tcPr>
          <w:p>
            <w:pPr>
              <w:spacing w:after="0"/>
            </w:pPr>
            <w:r/>
            <w:r>
              <w:rPr>
                <w:rFonts w:ascii="Arial" w:hAnsi="Arial" w:eastAsia="Arial"/>
                <w:b w:val="0"/>
                <w:sz w:val="16"/>
              </w:rPr>
            </w:r>
          </w:p>
        </w:tc>
      </w:tr>
      <w:tr>
        <w:tc>
          <w:tcPr>
            <w:tcW w:type="dxa" w:w="2880"/>
            <w:vAlign w:val="center"/>
          </w:tcPr>
          <w:p>
            <w:pPr>
              <w:spacing w:after="0"/>
            </w:pPr>
            <w:r/>
            <w:r>
              <w:rPr>
                <w:rFonts w:ascii="Arial" w:hAnsi="Arial" w:eastAsia="Arial"/>
                <w:b w:val="0"/>
                <w:sz w:val="16"/>
              </w:rPr>
              <w:t>pXRF-lab correlation documented</w:t>
            </w:r>
          </w:p>
        </w:tc>
        <w:tc>
          <w:tcPr>
            <w:tcW w:type="dxa" w:w="3744"/>
            <w:vAlign w:val="center"/>
          </w:tcPr>
          <w:p>
            <w:pPr>
              <w:spacing w:after="0"/>
            </w:pPr>
            <w:r/>
            <w:r>
              <w:rPr>
                <w:rFonts w:ascii="Arial" w:hAnsi="Arial" w:eastAsia="Arial"/>
                <w:b w:val="0"/>
                <w:sz w:val="16"/>
              </w:rPr>
              <w:t>Correlation file хавсаргасан байна</w:t>
            </w:r>
          </w:p>
        </w:tc>
        <w:tc>
          <w:tcPr>
            <w:tcW w:type="dxa" w:w="1152"/>
            <w:vAlign w:val="center"/>
          </w:tcPr>
          <w:p>
            <w:pPr>
              <w:spacing w:after="0"/>
            </w:pPr>
            <w:r/>
            <w:r>
              <w:rPr>
                <w:rFonts w:ascii="Arial" w:hAnsi="Arial" w:eastAsia="Arial"/>
                <w:b w:val="0"/>
                <w:sz w:val="16"/>
              </w:rPr>
              <w:t>Pass/Fail</w:t>
            </w:r>
          </w:p>
        </w:tc>
        <w:tc>
          <w:tcPr>
            <w:tcW w:type="dxa" w:w="1152"/>
            <w:vAlign w:val="center"/>
          </w:tcPr>
          <w:p>
            <w:pPr>
              <w:spacing w:after="0"/>
            </w:pPr>
            <w:r/>
            <w:r>
              <w:rPr>
                <w:rFonts w:ascii="Arial" w:hAnsi="Arial" w:eastAsia="Arial"/>
                <w:b w:val="0"/>
                <w:sz w:val="16"/>
              </w:rPr>
            </w:r>
          </w:p>
        </w:tc>
        <w:tc>
          <w:tcPr>
            <w:tcW w:type="dxa" w:w="864"/>
            <w:vAlign w:val="center"/>
          </w:tcPr>
          <w:p>
            <w:pPr>
              <w:spacing w:after="0"/>
            </w:pPr>
            <w:r/>
            <w:r>
              <w:rPr>
                <w:rFonts w:ascii="Arial" w:hAnsi="Arial" w:eastAsia="Arial"/>
                <w:b w:val="0"/>
                <w:sz w:val="16"/>
              </w:rPr>
            </w:r>
          </w:p>
        </w:tc>
      </w:tr>
      <w:tr>
        <w:tc>
          <w:tcPr>
            <w:tcW w:type="dxa" w:w="2880"/>
            <w:vAlign w:val="center"/>
          </w:tcPr>
          <w:p>
            <w:pPr>
              <w:spacing w:after="0"/>
            </w:pPr>
            <w:r/>
            <w:r>
              <w:rPr>
                <w:rFonts w:ascii="Arial" w:hAnsi="Arial" w:eastAsia="Arial"/>
                <w:b w:val="0"/>
                <w:sz w:val="16"/>
              </w:rPr>
              <w:t>Target sheets complete</w:t>
            </w:r>
          </w:p>
        </w:tc>
        <w:tc>
          <w:tcPr>
            <w:tcW w:type="dxa" w:w="3744"/>
            <w:vAlign w:val="center"/>
          </w:tcPr>
          <w:p>
            <w:pPr>
              <w:spacing w:after="0"/>
            </w:pPr>
            <w:r/>
            <w:r>
              <w:rPr>
                <w:rFonts w:ascii="Arial" w:hAnsi="Arial" w:eastAsia="Arial"/>
                <w:b w:val="0"/>
                <w:sz w:val="16"/>
              </w:rPr>
              <w:t>Target бүр sheet-тэй байна</w:t>
            </w:r>
          </w:p>
        </w:tc>
        <w:tc>
          <w:tcPr>
            <w:tcW w:type="dxa" w:w="1152"/>
            <w:vAlign w:val="center"/>
          </w:tcPr>
          <w:p>
            <w:pPr>
              <w:spacing w:after="0"/>
            </w:pPr>
            <w:r/>
            <w:r>
              <w:rPr>
                <w:rFonts w:ascii="Arial" w:hAnsi="Arial" w:eastAsia="Arial"/>
                <w:b w:val="0"/>
                <w:sz w:val="16"/>
              </w:rPr>
              <w:t>Pass/Fail</w:t>
            </w:r>
          </w:p>
        </w:tc>
        <w:tc>
          <w:tcPr>
            <w:tcW w:type="dxa" w:w="1152"/>
            <w:vAlign w:val="center"/>
          </w:tcPr>
          <w:p>
            <w:pPr>
              <w:spacing w:after="0"/>
            </w:pPr>
            <w:r/>
            <w:r>
              <w:rPr>
                <w:rFonts w:ascii="Arial" w:hAnsi="Arial" w:eastAsia="Arial"/>
                <w:b w:val="0"/>
                <w:sz w:val="16"/>
              </w:rPr>
            </w:r>
          </w:p>
        </w:tc>
        <w:tc>
          <w:tcPr>
            <w:tcW w:type="dxa" w:w="864"/>
            <w:vAlign w:val="center"/>
          </w:tcPr>
          <w:p>
            <w:pPr>
              <w:spacing w:after="0"/>
            </w:pPr>
            <w:r/>
            <w:r>
              <w:rPr>
                <w:rFonts w:ascii="Arial" w:hAnsi="Arial" w:eastAsia="Arial"/>
                <w:b w:val="0"/>
                <w:sz w:val="16"/>
              </w:rPr>
            </w:r>
          </w:p>
        </w:tc>
      </w:tr>
      <w:tr>
        <w:tc>
          <w:tcPr>
            <w:tcW w:type="dxa" w:w="2880"/>
            <w:vAlign w:val="center"/>
          </w:tcPr>
          <w:p>
            <w:pPr>
              <w:spacing w:after="0"/>
            </w:pPr>
            <w:r/>
            <w:r>
              <w:rPr>
                <w:rFonts w:ascii="Arial" w:hAnsi="Arial" w:eastAsia="Arial"/>
                <w:b w:val="0"/>
                <w:sz w:val="16"/>
              </w:rPr>
              <w:t>Go/No-Go decision recorded</w:t>
            </w:r>
          </w:p>
        </w:tc>
        <w:tc>
          <w:tcPr>
            <w:tcW w:type="dxa" w:w="3744"/>
            <w:vAlign w:val="center"/>
          </w:tcPr>
          <w:p>
            <w:pPr>
              <w:spacing w:after="0"/>
            </w:pPr>
            <w:r/>
            <w:r>
              <w:rPr>
                <w:rFonts w:ascii="Arial" w:hAnsi="Arial" w:eastAsia="Arial"/>
                <w:b w:val="0"/>
                <w:sz w:val="16"/>
              </w:rPr>
              <w:t>Decision log бүрэн байна</w:t>
            </w:r>
          </w:p>
        </w:tc>
        <w:tc>
          <w:tcPr>
            <w:tcW w:type="dxa" w:w="1152"/>
            <w:vAlign w:val="center"/>
          </w:tcPr>
          <w:p>
            <w:pPr>
              <w:spacing w:after="0"/>
            </w:pPr>
            <w:r/>
            <w:r>
              <w:rPr>
                <w:rFonts w:ascii="Arial" w:hAnsi="Arial" w:eastAsia="Arial"/>
                <w:b w:val="0"/>
                <w:sz w:val="16"/>
              </w:rPr>
              <w:t>Pass/Fail</w:t>
            </w:r>
          </w:p>
        </w:tc>
        <w:tc>
          <w:tcPr>
            <w:tcW w:type="dxa" w:w="1152"/>
            <w:vAlign w:val="center"/>
          </w:tcPr>
          <w:p>
            <w:pPr>
              <w:spacing w:after="0"/>
            </w:pPr>
            <w:r/>
            <w:r>
              <w:rPr>
                <w:rFonts w:ascii="Arial" w:hAnsi="Arial" w:eastAsia="Arial"/>
                <w:b w:val="0"/>
                <w:sz w:val="16"/>
              </w:rPr>
            </w:r>
          </w:p>
        </w:tc>
        <w:tc>
          <w:tcPr>
            <w:tcW w:type="dxa" w:w="864"/>
            <w:vAlign w:val="center"/>
          </w:tcPr>
          <w:p>
            <w:pPr>
              <w:spacing w:after="0"/>
            </w:pPr>
            <w:r/>
            <w:r>
              <w:rPr>
                <w:rFonts w:ascii="Arial" w:hAnsi="Arial" w:eastAsia="Arial"/>
                <w:b w:val="0"/>
                <w:sz w:val="16"/>
              </w:rPr>
            </w:r>
          </w:p>
        </w:tc>
      </w:tr>
      <w:tr>
        <w:tc>
          <w:tcPr>
            <w:tcW w:type="dxa" w:w="2880"/>
            <w:vAlign w:val="center"/>
          </w:tcPr>
          <w:p>
            <w:pPr>
              <w:spacing w:after="0"/>
            </w:pPr>
            <w:r/>
            <w:r>
              <w:rPr>
                <w:rFonts w:ascii="Arial" w:hAnsi="Arial" w:eastAsia="Arial"/>
                <w:b w:val="0"/>
                <w:sz w:val="16"/>
              </w:rPr>
              <w:t>Source filenames referenced</w:t>
            </w:r>
          </w:p>
        </w:tc>
        <w:tc>
          <w:tcPr>
            <w:tcW w:type="dxa" w:w="3744"/>
            <w:vAlign w:val="center"/>
          </w:tcPr>
          <w:p>
            <w:pPr>
              <w:spacing w:after="0"/>
            </w:pPr>
            <w:r/>
            <w:r>
              <w:rPr>
                <w:rFonts w:ascii="Arial" w:hAnsi="Arial" w:eastAsia="Arial"/>
                <w:b w:val="0"/>
                <w:sz w:val="16"/>
              </w:rPr>
              <w:t>Exact raw input filename орсон байна</w:t>
            </w:r>
          </w:p>
        </w:tc>
        <w:tc>
          <w:tcPr>
            <w:tcW w:type="dxa" w:w="1152"/>
            <w:vAlign w:val="center"/>
          </w:tcPr>
          <w:p>
            <w:pPr>
              <w:spacing w:after="0"/>
            </w:pPr>
            <w:r/>
            <w:r>
              <w:rPr>
                <w:rFonts w:ascii="Arial" w:hAnsi="Arial" w:eastAsia="Arial"/>
                <w:b w:val="0"/>
                <w:sz w:val="16"/>
              </w:rPr>
              <w:t>Pass/Fail</w:t>
            </w:r>
          </w:p>
        </w:tc>
        <w:tc>
          <w:tcPr>
            <w:tcW w:type="dxa" w:w="1152"/>
            <w:vAlign w:val="center"/>
          </w:tcPr>
          <w:p>
            <w:pPr>
              <w:spacing w:after="0"/>
            </w:pPr>
            <w:r/>
            <w:r>
              <w:rPr>
                <w:rFonts w:ascii="Arial" w:hAnsi="Arial" w:eastAsia="Arial"/>
                <w:b w:val="0"/>
                <w:sz w:val="16"/>
              </w:rPr>
            </w:r>
          </w:p>
        </w:tc>
        <w:tc>
          <w:tcPr>
            <w:tcW w:type="dxa" w:w="864"/>
            <w:vAlign w:val="center"/>
          </w:tcPr>
          <w:p>
            <w:pPr>
              <w:spacing w:after="0"/>
            </w:pPr>
            <w:r/>
            <w:r>
              <w:rPr>
                <w:rFonts w:ascii="Arial" w:hAnsi="Arial" w:eastAsia="Arial"/>
                <w:b w:val="0"/>
                <w:sz w:val="16"/>
              </w:rPr>
            </w:r>
          </w:p>
        </w:tc>
      </w:tr>
      <w:tr>
        <w:tc>
          <w:tcPr>
            <w:tcW w:type="dxa" w:w="2880"/>
            <w:vAlign w:val="center"/>
          </w:tcPr>
          <w:p>
            <w:pPr>
              <w:spacing w:after="0"/>
            </w:pPr>
            <w:r/>
            <w:r>
              <w:rPr>
                <w:rFonts w:ascii="Arial" w:hAnsi="Arial" w:eastAsia="Arial"/>
                <w:b w:val="0"/>
                <w:sz w:val="16"/>
              </w:rPr>
              <w:t>CRS checked</w:t>
            </w:r>
          </w:p>
        </w:tc>
        <w:tc>
          <w:tcPr>
            <w:tcW w:type="dxa" w:w="3744"/>
            <w:vAlign w:val="center"/>
          </w:tcPr>
          <w:p>
            <w:pPr>
              <w:spacing w:after="0"/>
            </w:pPr>
            <w:r/>
            <w:r>
              <w:rPr>
                <w:rFonts w:ascii="Arial" w:hAnsi="Arial" w:eastAsia="Arial"/>
                <w:b w:val="0"/>
                <w:sz w:val="16"/>
              </w:rPr>
              <w:t>GIS layer-үүд нэг CRS-д байна</w:t>
            </w:r>
          </w:p>
        </w:tc>
        <w:tc>
          <w:tcPr>
            <w:tcW w:type="dxa" w:w="1152"/>
            <w:vAlign w:val="center"/>
          </w:tcPr>
          <w:p>
            <w:pPr>
              <w:spacing w:after="0"/>
            </w:pPr>
            <w:r/>
            <w:r>
              <w:rPr>
                <w:rFonts w:ascii="Arial" w:hAnsi="Arial" w:eastAsia="Arial"/>
                <w:b w:val="0"/>
                <w:sz w:val="16"/>
              </w:rPr>
              <w:t>Pass/Fail</w:t>
            </w:r>
          </w:p>
        </w:tc>
        <w:tc>
          <w:tcPr>
            <w:tcW w:type="dxa" w:w="1152"/>
            <w:vAlign w:val="center"/>
          </w:tcPr>
          <w:p>
            <w:pPr>
              <w:spacing w:after="0"/>
            </w:pPr>
            <w:r/>
            <w:r>
              <w:rPr>
                <w:rFonts w:ascii="Arial" w:hAnsi="Arial" w:eastAsia="Arial"/>
                <w:b w:val="0"/>
                <w:sz w:val="16"/>
              </w:rPr>
            </w:r>
          </w:p>
        </w:tc>
        <w:tc>
          <w:tcPr>
            <w:tcW w:type="dxa" w:w="864"/>
            <w:vAlign w:val="center"/>
          </w:tcPr>
          <w:p>
            <w:pPr>
              <w:spacing w:after="0"/>
            </w:pPr>
            <w:r/>
            <w:r>
              <w:rPr>
                <w:rFonts w:ascii="Arial" w:hAnsi="Arial" w:eastAsia="Arial"/>
                <w:b w:val="0"/>
                <w:sz w:val="16"/>
              </w:rPr>
            </w:r>
          </w:p>
        </w:tc>
      </w:tr>
      <w:tr>
        <w:tc>
          <w:tcPr>
            <w:tcW w:type="dxa" w:w="2880"/>
            <w:vAlign w:val="center"/>
          </w:tcPr>
          <w:p>
            <w:pPr>
              <w:spacing w:after="0"/>
            </w:pPr>
            <w:r/>
            <w:r>
              <w:rPr>
                <w:rFonts w:ascii="Arial" w:hAnsi="Arial" w:eastAsia="Arial"/>
                <w:b w:val="0"/>
                <w:sz w:val="16"/>
              </w:rPr>
              <w:t>Final map exported</w:t>
            </w:r>
          </w:p>
        </w:tc>
        <w:tc>
          <w:tcPr>
            <w:tcW w:type="dxa" w:w="3744"/>
            <w:vAlign w:val="center"/>
          </w:tcPr>
          <w:p>
            <w:pPr>
              <w:spacing w:after="0"/>
            </w:pPr>
            <w:r/>
            <w:r>
              <w:rPr>
                <w:rFonts w:ascii="Arial" w:hAnsi="Arial" w:eastAsia="Arial"/>
                <w:b w:val="0"/>
                <w:sz w:val="16"/>
              </w:rPr>
              <w:t>PDF болон GIS package гарсан байна</w:t>
            </w:r>
          </w:p>
        </w:tc>
        <w:tc>
          <w:tcPr>
            <w:tcW w:type="dxa" w:w="1152"/>
            <w:vAlign w:val="center"/>
          </w:tcPr>
          <w:p>
            <w:pPr>
              <w:spacing w:after="0"/>
            </w:pPr>
            <w:r/>
            <w:r>
              <w:rPr>
                <w:rFonts w:ascii="Arial" w:hAnsi="Arial" w:eastAsia="Arial"/>
                <w:b w:val="0"/>
                <w:sz w:val="16"/>
              </w:rPr>
              <w:t>Pass/Fail</w:t>
            </w:r>
          </w:p>
        </w:tc>
        <w:tc>
          <w:tcPr>
            <w:tcW w:type="dxa" w:w="1152"/>
            <w:vAlign w:val="center"/>
          </w:tcPr>
          <w:p>
            <w:pPr>
              <w:spacing w:after="0"/>
            </w:pPr>
            <w:r/>
            <w:r>
              <w:rPr>
                <w:rFonts w:ascii="Arial" w:hAnsi="Arial" w:eastAsia="Arial"/>
                <w:b w:val="0"/>
                <w:sz w:val="16"/>
              </w:rPr>
            </w:r>
          </w:p>
        </w:tc>
        <w:tc>
          <w:tcPr>
            <w:tcW w:type="dxa" w:w="864"/>
            <w:vAlign w:val="center"/>
          </w:tcPr>
          <w:p>
            <w:pPr>
              <w:spacing w:after="0"/>
            </w:pPr>
            <w:r/>
            <w:r>
              <w:rPr>
                <w:rFonts w:ascii="Arial" w:hAnsi="Arial" w:eastAsia="Arial"/>
                <w:b w:val="0"/>
                <w:sz w:val="16"/>
              </w:rPr>
            </w:r>
          </w:p>
        </w:tc>
      </w:tr>
    </w:tbl>
    <w:p/>
    <w:p>
      <w:pPr>
        <w:pStyle w:val="Heading1"/>
      </w:pPr>
      <w:r>
        <w:t>10. Final map гаргах заавар</w:t>
      </w:r>
    </w:p>
    <w:p>
      <w:pPr>
        <w:spacing w:after="60"/>
      </w:pPr>
      <w:r>
        <w:rPr>
          <w:b w:val="0"/>
        </w:rPr>
        <w:t>Final GIS map дээр дараах layer-үүд орсон байна.</w:t>
      </w:r>
    </w:p>
    <w:p>
      <w:pPr>
        <w:pStyle w:val="Heading2"/>
      </w:pPr>
      <w:r>
        <w:t>10.1 Заавал орох layer</w:t>
      </w:r>
    </w:p>
    <w:p>
      <w:pPr>
        <w:pStyle w:val="ListBullet"/>
        <w:spacing w:after="20"/>
      </w:pPr>
      <w:r>
        <w:t>License boundary</w:t>
      </w:r>
    </w:p>
    <w:p>
      <w:pPr>
        <w:pStyle w:val="ListBullet"/>
        <w:spacing w:after="20"/>
      </w:pPr>
      <w:r>
        <w:t>Base map</w:t>
      </w:r>
    </w:p>
    <w:p>
      <w:pPr>
        <w:pStyle w:val="ListBullet"/>
        <w:spacing w:after="20"/>
      </w:pPr>
      <w:r>
        <w:t>DEM/hillshade</w:t>
      </w:r>
    </w:p>
    <w:p>
      <w:pPr>
        <w:pStyle w:val="ListBullet"/>
        <w:spacing w:after="20"/>
      </w:pPr>
      <w:r>
        <w:t>Geology</w:t>
      </w:r>
    </w:p>
    <w:p>
      <w:pPr>
        <w:pStyle w:val="ListBullet"/>
        <w:spacing w:after="20"/>
      </w:pPr>
      <w:r>
        <w:t>Fault/lineament</w:t>
      </w:r>
    </w:p>
    <w:p>
      <w:pPr>
        <w:pStyle w:val="ListBullet"/>
        <w:spacing w:after="20"/>
      </w:pPr>
      <w:r>
        <w:t>Alteration zone</w:t>
      </w:r>
    </w:p>
    <w:p>
      <w:pPr>
        <w:pStyle w:val="ListBullet"/>
        <w:spacing w:after="20"/>
      </w:pPr>
      <w:r>
        <w:t>Geochemical anomaly</w:t>
      </w:r>
    </w:p>
    <w:p>
      <w:pPr>
        <w:pStyle w:val="ListBullet"/>
        <w:spacing w:after="20"/>
      </w:pPr>
      <w:r>
        <w:t>Assay sample point</w:t>
      </w:r>
    </w:p>
    <w:p>
      <w:pPr>
        <w:pStyle w:val="ListBullet"/>
        <w:spacing w:after="20"/>
      </w:pPr>
      <w:r>
        <w:t>Field mineralization point</w:t>
      </w:r>
    </w:p>
    <w:p>
      <w:pPr>
        <w:pStyle w:val="ListBullet"/>
        <w:spacing w:after="20"/>
      </w:pPr>
      <w:r>
        <w:t>CMCS occurrence</w:t>
      </w:r>
    </w:p>
    <w:p>
      <w:pPr>
        <w:pStyle w:val="ListBullet"/>
        <w:spacing w:after="20"/>
      </w:pPr>
      <w:r>
        <w:t>Nearby deposit</w:t>
      </w:r>
    </w:p>
    <w:p>
      <w:pPr>
        <w:pStyle w:val="ListBullet"/>
        <w:spacing w:after="20"/>
      </w:pPr>
      <w:r>
        <w:t>Final target polygon</w:t>
      </w:r>
    </w:p>
    <w:p>
      <w:pPr>
        <w:pStyle w:val="ListBullet"/>
        <w:spacing w:after="20"/>
      </w:pPr>
      <w:r>
        <w:t>Target ranking label</w:t>
      </w:r>
    </w:p>
    <w:p>
      <w:pPr>
        <w:pStyle w:val="ListBullet"/>
        <w:spacing w:after="20"/>
      </w:pPr>
      <w:r>
        <w:t>Recommended work zone</w:t>
      </w:r>
    </w:p>
    <w:p>
      <w:pPr>
        <w:pStyle w:val="Heading2"/>
      </w:pPr>
      <w:r>
        <w:t>10.2 Map layout</w:t>
      </w:r>
    </w:p>
    <w:p>
      <w:pPr>
        <w:spacing w:after="60"/>
      </w:pPr>
      <w:r>
        <w:rPr>
          <w:b w:val="0"/>
        </w:rPr>
        <w:t>Map layout-д дараах зүйлс орно.</w:t>
      </w:r>
    </w:p>
    <w:p>
      <w:pPr>
        <w:pStyle w:val="ListBullet"/>
        <w:spacing w:after="20"/>
      </w:pPr>
      <w:r>
        <w:t>Map title</w:t>
      </w:r>
    </w:p>
    <w:p>
      <w:pPr>
        <w:pStyle w:val="ListBullet"/>
        <w:spacing w:after="20"/>
      </w:pPr>
      <w:r>
        <w:t>Project name</w:t>
      </w:r>
    </w:p>
    <w:p>
      <w:pPr>
        <w:pStyle w:val="ListBullet"/>
        <w:spacing w:after="20"/>
      </w:pPr>
      <w:r>
        <w:t>License number</w:t>
      </w:r>
    </w:p>
    <w:p>
      <w:pPr>
        <w:pStyle w:val="ListBullet"/>
        <w:spacing w:after="20"/>
      </w:pPr>
      <w:r>
        <w:t>Coordinate grid</w:t>
      </w:r>
    </w:p>
    <w:p>
      <w:pPr>
        <w:pStyle w:val="ListBullet"/>
        <w:spacing w:after="20"/>
      </w:pPr>
      <w:r>
        <w:t>Scale bar</w:t>
      </w:r>
    </w:p>
    <w:p>
      <w:pPr>
        <w:pStyle w:val="ListBullet"/>
        <w:spacing w:after="20"/>
      </w:pPr>
      <w:r>
        <w:t>North arrow</w:t>
      </w:r>
    </w:p>
    <w:p>
      <w:pPr>
        <w:pStyle w:val="ListBullet"/>
        <w:spacing w:after="20"/>
      </w:pPr>
      <w:r>
        <w:t>Legend</w:t>
      </w:r>
    </w:p>
    <w:p>
      <w:pPr>
        <w:pStyle w:val="ListBullet"/>
        <w:spacing w:after="20"/>
      </w:pPr>
      <w:r>
        <w:t>Data source note</w:t>
      </w:r>
    </w:p>
    <w:p>
      <w:pPr>
        <w:pStyle w:val="ListBullet"/>
        <w:spacing w:after="20"/>
      </w:pPr>
      <w:r>
        <w:t>Date</w:t>
      </w:r>
    </w:p>
    <w:p>
      <w:pPr>
        <w:pStyle w:val="ListBullet"/>
        <w:spacing w:after="20"/>
      </w:pPr>
      <w:r>
        <w:t>Prepared by</w:t>
      </w:r>
    </w:p>
    <w:p>
      <w:pPr>
        <w:pStyle w:val="ListBullet"/>
        <w:spacing w:after="20"/>
      </w:pPr>
      <w:r>
        <w:t>Reviewed by</w:t>
      </w:r>
    </w:p>
    <w:p>
      <w:pPr>
        <w:pStyle w:val="ListBullet"/>
        <w:spacing w:after="20"/>
      </w:pPr>
      <w:r>
        <w:t>CRS/EPSG</w:t>
      </w:r>
    </w:p>
    <w:p>
      <w:pPr>
        <w:pStyle w:val="ListBullet"/>
        <w:spacing w:after="20"/>
      </w:pPr>
      <w:r>
        <w:t>Inset location map</w:t>
      </w:r>
    </w:p>
    <w:p>
      <w:pPr>
        <w:pStyle w:val="Heading2"/>
      </w:pPr>
      <w:r>
        <w:t>10.3 Target polygon өнгөний санал</w:t>
      </w:r>
    </w:p>
    <w:tbl>
      <w:tblPr>
        <w:tblStyle w:val="TableGrid"/>
        <w:tblW w:type="auto" w:w="0"/>
        <w:jc w:val="center"/>
        <w:tblLook w:firstColumn="1" w:firstRow="1" w:lastColumn="0" w:lastRow="0" w:noHBand="0" w:noVBand="1" w:val="04A0"/>
      </w:tblPr>
      <w:tblGrid>
        <w:gridCol w:w="5184"/>
        <w:gridCol w:w="5184"/>
      </w:tblGrid>
      <w:tr>
        <w:tc>
          <w:tcPr>
            <w:tcW w:type="dxa" w:w="2304"/>
            <w:vAlign w:val="center"/>
            <w:shd w:fill="D9EAF7"/>
          </w:tcPr>
          <w:p>
            <w:pPr>
              <w:spacing w:after="0"/>
            </w:pPr>
            <w:r/>
            <w:r>
              <w:rPr>
                <w:rFonts w:ascii="Arial" w:hAnsi="Arial" w:eastAsia="Arial"/>
                <w:b/>
                <w:sz w:val="16"/>
              </w:rPr>
              <w:t>Target class</w:t>
            </w:r>
          </w:p>
        </w:tc>
        <w:tc>
          <w:tcPr>
            <w:tcW w:type="dxa" w:w="6768"/>
            <w:vAlign w:val="center"/>
            <w:shd w:fill="D9EAF7"/>
          </w:tcPr>
          <w:p>
            <w:pPr>
              <w:spacing w:after="0"/>
            </w:pPr>
            <w:r/>
            <w:r>
              <w:rPr>
                <w:rFonts w:ascii="Arial" w:hAnsi="Arial" w:eastAsia="Arial"/>
                <w:b/>
                <w:sz w:val="16"/>
              </w:rPr>
              <w:t>Map symbol</w:t>
            </w:r>
          </w:p>
        </w:tc>
      </w:tr>
      <w:tr>
        <w:tc>
          <w:tcPr>
            <w:tcW w:type="dxa" w:w="2304"/>
            <w:vAlign w:val="center"/>
          </w:tcPr>
          <w:p>
            <w:pPr>
              <w:spacing w:after="0"/>
            </w:pPr>
            <w:r/>
            <w:r>
              <w:rPr>
                <w:rFonts w:ascii="Arial" w:hAnsi="Arial" w:eastAsia="Arial"/>
                <w:b w:val="0"/>
                <w:sz w:val="16"/>
              </w:rPr>
              <w:t>A target</w:t>
            </w:r>
          </w:p>
        </w:tc>
        <w:tc>
          <w:tcPr>
            <w:tcW w:type="dxa" w:w="6768"/>
            <w:vAlign w:val="center"/>
          </w:tcPr>
          <w:p>
            <w:pPr>
              <w:spacing w:after="0"/>
            </w:pPr>
            <w:r/>
            <w:r>
              <w:rPr>
                <w:rFonts w:ascii="Arial" w:hAnsi="Arial" w:eastAsia="Arial"/>
                <w:b w:val="0"/>
                <w:sz w:val="16"/>
              </w:rPr>
              <w:t>Улаан хүрээ, тод өнгө</w:t>
            </w:r>
          </w:p>
        </w:tc>
      </w:tr>
      <w:tr>
        <w:tc>
          <w:tcPr>
            <w:tcW w:type="dxa" w:w="2304"/>
            <w:vAlign w:val="center"/>
          </w:tcPr>
          <w:p>
            <w:pPr>
              <w:spacing w:after="0"/>
            </w:pPr>
            <w:r/>
            <w:r>
              <w:rPr>
                <w:rFonts w:ascii="Arial" w:hAnsi="Arial" w:eastAsia="Arial"/>
                <w:b w:val="0"/>
                <w:sz w:val="16"/>
              </w:rPr>
              <w:t>B target</w:t>
            </w:r>
          </w:p>
        </w:tc>
        <w:tc>
          <w:tcPr>
            <w:tcW w:type="dxa" w:w="6768"/>
            <w:vAlign w:val="center"/>
          </w:tcPr>
          <w:p>
            <w:pPr>
              <w:spacing w:after="0"/>
            </w:pPr>
            <w:r/>
            <w:r>
              <w:rPr>
                <w:rFonts w:ascii="Arial" w:hAnsi="Arial" w:eastAsia="Arial"/>
                <w:b w:val="0"/>
                <w:sz w:val="16"/>
              </w:rPr>
              <w:t>Улбар шар хүрээ</w:t>
            </w:r>
          </w:p>
        </w:tc>
      </w:tr>
      <w:tr>
        <w:tc>
          <w:tcPr>
            <w:tcW w:type="dxa" w:w="2304"/>
            <w:vAlign w:val="center"/>
          </w:tcPr>
          <w:p>
            <w:pPr>
              <w:spacing w:after="0"/>
            </w:pPr>
            <w:r/>
            <w:r>
              <w:rPr>
                <w:rFonts w:ascii="Arial" w:hAnsi="Arial" w:eastAsia="Arial"/>
                <w:b w:val="0"/>
                <w:sz w:val="16"/>
              </w:rPr>
              <w:t>C target</w:t>
            </w:r>
          </w:p>
        </w:tc>
        <w:tc>
          <w:tcPr>
            <w:tcW w:type="dxa" w:w="6768"/>
            <w:vAlign w:val="center"/>
          </w:tcPr>
          <w:p>
            <w:pPr>
              <w:spacing w:after="0"/>
            </w:pPr>
            <w:r/>
            <w:r>
              <w:rPr>
                <w:rFonts w:ascii="Arial" w:hAnsi="Arial" w:eastAsia="Arial"/>
                <w:b w:val="0"/>
                <w:sz w:val="16"/>
              </w:rPr>
              <w:t>Шар хүрээ</w:t>
            </w:r>
          </w:p>
        </w:tc>
      </w:tr>
      <w:tr>
        <w:tc>
          <w:tcPr>
            <w:tcW w:type="dxa" w:w="2304"/>
            <w:vAlign w:val="center"/>
          </w:tcPr>
          <w:p>
            <w:pPr>
              <w:spacing w:after="0"/>
            </w:pPr>
            <w:r/>
            <w:r>
              <w:rPr>
                <w:rFonts w:ascii="Arial" w:hAnsi="Arial" w:eastAsia="Arial"/>
                <w:b w:val="0"/>
                <w:sz w:val="16"/>
              </w:rPr>
              <w:t>No-Go</w:t>
            </w:r>
          </w:p>
        </w:tc>
        <w:tc>
          <w:tcPr>
            <w:tcW w:type="dxa" w:w="6768"/>
            <w:vAlign w:val="center"/>
          </w:tcPr>
          <w:p>
            <w:pPr>
              <w:spacing w:after="0"/>
            </w:pPr>
            <w:r/>
            <w:r>
              <w:rPr>
                <w:rFonts w:ascii="Arial" w:hAnsi="Arial" w:eastAsia="Arial"/>
                <w:b w:val="0"/>
                <w:sz w:val="16"/>
              </w:rPr>
              <w:t>Саарал эсвэл бүдэг</w:t>
            </w:r>
          </w:p>
        </w:tc>
      </w:tr>
    </w:tbl>
    <w:p/>
    <w:p>
      <w:pPr>
        <w:pStyle w:val="Heading1"/>
      </w:pPr>
      <w:r>
        <w:t>11. Expected outputs</w:t>
      </w:r>
    </w:p>
    <w:p>
      <w:pPr>
        <w:spacing w:after="60"/>
      </w:pPr>
      <w:r>
        <w:rPr>
          <w:b w:val="0"/>
        </w:rPr>
        <w:t>Phase 10 дуусахад дараах файлууд бэлэн болсон байна.</w:t>
      </w:r>
    </w:p>
    <w:p>
      <w:pPr>
        <w:pStyle w:val="CodeBlock"/>
      </w:pPr>
      <w:r>
        <w:t>XV-023222_Buduunkhad_Integrated_Interpretation_Report.docx</w:t>
      </w:r>
    </w:p>
    <w:p>
      <w:pPr>
        <w:pStyle w:val="CodeBlock"/>
      </w:pPr>
      <w:r>
        <w:t>XV-023222_Buduunkhad_Integrated_Geology_Geochemistry_Alteration_Map.pdf</w:t>
      </w:r>
    </w:p>
    <w:p>
      <w:pPr>
        <w:pStyle w:val="CodeBlock"/>
      </w:pPr>
      <w:r>
        <w:t>XV-023222_Buduunkhad_Final_Target_Polygons.gpkg</w:t>
      </w:r>
    </w:p>
    <w:p>
      <w:pPr>
        <w:pStyle w:val="CodeBlock"/>
      </w:pPr>
      <w:r>
        <w:t>XV-023222_Buduunkhad_Final_Target_Ranking_Table.xlsx</w:t>
      </w:r>
    </w:p>
    <w:p>
      <w:pPr>
        <w:pStyle w:val="CodeBlock"/>
      </w:pPr>
      <w:r>
        <w:t>XV-023222_Buduunkhad_Target_Description_Sheets.docx</w:t>
      </w:r>
    </w:p>
    <w:p>
      <w:pPr>
        <w:spacing w:after="60"/>
      </w:pPr>
      <w:r>
        <w:rPr>
          <w:b w:val="0"/>
        </w:rPr>
        <w:t>Нэмэлтээр дараах файлууд байвал сайн.</w:t>
      </w:r>
    </w:p>
    <w:p>
      <w:pPr>
        <w:pStyle w:val="CodeBlock"/>
      </w:pPr>
      <w:r>
        <w:t>XV-023222_Buduunkhad_Go_NoGo_Decision_Log.xlsx</w:t>
      </w:r>
    </w:p>
    <w:p>
      <w:pPr>
        <w:pStyle w:val="CodeBlock"/>
      </w:pPr>
      <w:r>
        <w:t>XV-023222_Buduunkhad_Assay_QAQC_Log.xlsx</w:t>
      </w:r>
    </w:p>
    <w:p>
      <w:pPr>
        <w:pStyle w:val="CodeBlock"/>
      </w:pPr>
      <w:r>
        <w:t>XV-023222_Buduunkhad_pXRF_Lab_Correlation_Report.pdf</w:t>
      </w:r>
    </w:p>
    <w:p>
      <w:pPr>
        <w:pStyle w:val="CodeBlock"/>
      </w:pPr>
      <w:r>
        <w:t>XV-023222_Buduunkhad_CMCS_Nearby_Deposit_Register.xlsx</w:t>
      </w:r>
    </w:p>
    <w:p>
      <w:pPr>
        <w:pStyle w:val="CodeBlock"/>
      </w:pPr>
      <w:r>
        <w:t>XV-023222_Buduunkhad_Final_QGIS_Project.qgz</w:t>
      </w:r>
    </w:p>
    <w:p>
      <w:pPr>
        <w:pStyle w:val="Heading1"/>
      </w:pPr>
      <w:r>
        <w:t>12. Ажил дууссан гэж үзэх шалгуур</w:t>
      </w:r>
    </w:p>
    <w:p>
      <w:pPr>
        <w:spacing w:after="60"/>
      </w:pPr>
      <w:r>
        <w:rPr>
          <w:b w:val="0"/>
        </w:rPr>
        <w:t>Энэ phase бүрэн дууссан гэж үзэхийн тулд дараах нөхцөл хангагдсан байна.</w:t>
      </w:r>
    </w:p>
    <w:p>
      <w:pPr>
        <w:pStyle w:val="ListNumber"/>
        <w:spacing w:after="20"/>
      </w:pPr>
      <w:r>
        <w:t>Бүх input data бүртгэгдсэн.</w:t>
      </w:r>
    </w:p>
    <w:p>
      <w:pPr>
        <w:pStyle w:val="ListNumber"/>
        <w:spacing w:after="20"/>
      </w:pPr>
      <w:r>
        <w:t>Бүх GIS layer CRS шалгагдсан.</w:t>
      </w:r>
    </w:p>
    <w:p>
      <w:pPr>
        <w:pStyle w:val="ListNumber"/>
        <w:spacing w:after="20"/>
      </w:pPr>
      <w:r>
        <w:t>Assay QA/QC дууссан.</w:t>
      </w:r>
    </w:p>
    <w:p>
      <w:pPr>
        <w:pStyle w:val="ListNumber"/>
        <w:spacing w:after="20"/>
      </w:pPr>
      <w:r>
        <w:t>pXRF-lab correlation хийгдсэн.</w:t>
      </w:r>
    </w:p>
    <w:p>
      <w:pPr>
        <w:pStyle w:val="ListNumber"/>
        <w:spacing w:after="20"/>
      </w:pPr>
      <w:r>
        <w:t>CMCS болон ойролцоох орд/илрэлийн бүртгэл хийгдсэн.</w:t>
      </w:r>
    </w:p>
    <w:p>
      <w:pPr>
        <w:pStyle w:val="ListNumber"/>
        <w:spacing w:after="20"/>
      </w:pPr>
      <w:r>
        <w:t>Evidence integration map үүссэн.</w:t>
      </w:r>
    </w:p>
    <w:p>
      <w:pPr>
        <w:pStyle w:val="ListNumber"/>
        <w:spacing w:after="20"/>
      </w:pPr>
      <w:r>
        <w:t>Target polygon-ууд final болсон.</w:t>
      </w:r>
    </w:p>
    <w:p>
      <w:pPr>
        <w:pStyle w:val="ListNumber"/>
        <w:spacing w:after="20"/>
      </w:pPr>
      <w:r>
        <w:t>Target бүрт score өгсөн.</w:t>
      </w:r>
    </w:p>
    <w:p>
      <w:pPr>
        <w:pStyle w:val="ListNumber"/>
        <w:spacing w:after="20"/>
      </w:pPr>
      <w:r>
        <w:t>A/B/C/No-Go ангилал гарсан.</w:t>
      </w:r>
    </w:p>
    <w:p>
      <w:pPr>
        <w:pStyle w:val="ListNumber"/>
        <w:spacing w:after="20"/>
      </w:pPr>
      <w:r>
        <w:t>Target description sheet бүрэн болсон.</w:t>
      </w:r>
    </w:p>
    <w:p>
      <w:pPr>
        <w:pStyle w:val="ListNumber"/>
        <w:spacing w:after="20"/>
      </w:pPr>
      <w:r>
        <w:t>Go/No-Go decision log бөглөгдсөн.</w:t>
      </w:r>
    </w:p>
    <w:p>
      <w:pPr>
        <w:pStyle w:val="ListNumber"/>
        <w:spacing w:after="20"/>
      </w:pPr>
      <w:r>
        <w:t>Final GIS map PDF экспортлогдсон.</w:t>
      </w:r>
    </w:p>
    <w:p>
      <w:pPr>
        <w:pStyle w:val="ListNumber"/>
        <w:spacing w:after="20"/>
      </w:pPr>
      <w:r>
        <w:t>Final report бичигдсэн.</w:t>
      </w:r>
    </w:p>
    <w:p>
      <w:pPr>
        <w:pStyle w:val="ListNumber"/>
        <w:spacing w:after="20"/>
      </w:pPr>
      <w:r>
        <w:t>Бүх output файл зөв нэршлээр хадгалагдсан.</w:t>
      </w:r>
    </w:p>
    <w:p>
      <w:pPr>
        <w:pStyle w:val="ListNumber"/>
        <w:spacing w:after="20"/>
      </w:pPr>
      <w:r>
        <w:t>Reviewer/date/decision бүртгэл бүрэн орсон.</w:t>
      </w:r>
    </w:p>
    <w:p>
      <w:pPr>
        <w:pStyle w:val="Heading1"/>
      </w:pPr>
      <w:r>
        <w:t>13. Дараагийн шатны нөхцөл</w:t>
      </w:r>
    </w:p>
    <w:p>
      <w:pPr>
        <w:spacing w:after="60"/>
      </w:pPr>
      <w:r>
        <w:rPr>
          <w:b w:val="0"/>
        </w:rPr>
        <w:t>Phase 10-ийн үр дүнгээр дараах шийдвэр гарна.</w:t>
      </w:r>
    </w:p>
    <w:p>
      <w:pPr>
        <w:pStyle w:val="Heading2"/>
      </w:pPr>
      <w:r>
        <w:t>A target</w:t>
      </w:r>
    </w:p>
    <w:p>
      <w:pPr>
        <w:spacing w:after="60"/>
      </w:pPr>
      <w:r>
        <w:rPr>
          <w:b w:val="0"/>
        </w:rPr>
        <w:t>Шууд дараагийн шатанд шилжүүлнэ.</w:t>
      </w:r>
    </w:p>
    <w:p>
      <w:pPr>
        <w:spacing w:after="60"/>
      </w:pPr>
      <w:r>
        <w:rPr>
          <w:b/>
        </w:rPr>
        <w:t>Боломжит ажил:</w:t>
      </w:r>
    </w:p>
    <w:p>
      <w:pPr>
        <w:pStyle w:val="ListBullet"/>
        <w:spacing w:after="20"/>
      </w:pPr>
      <w:r>
        <w:t>Trench</w:t>
      </w:r>
    </w:p>
    <w:p>
      <w:pPr>
        <w:pStyle w:val="ListBullet"/>
        <w:spacing w:after="20"/>
      </w:pPr>
      <w:r>
        <w:t>Ground geophysics</w:t>
      </w:r>
    </w:p>
    <w:p>
      <w:pPr>
        <w:pStyle w:val="ListBullet"/>
        <w:spacing w:after="20"/>
      </w:pPr>
      <w:r>
        <w:t>Detailed channel sampling</w:t>
      </w:r>
    </w:p>
    <w:p>
      <w:pPr>
        <w:pStyle w:val="ListBullet"/>
        <w:spacing w:after="20"/>
      </w:pPr>
      <w:r>
        <w:t>Scout drilling</w:t>
      </w:r>
    </w:p>
    <w:p>
      <w:pPr>
        <w:pStyle w:val="Heading2"/>
      </w:pPr>
      <w:r>
        <w:t>B target</w:t>
      </w:r>
    </w:p>
    <w:p>
      <w:pPr>
        <w:spacing w:after="60"/>
      </w:pPr>
      <w:r>
        <w:rPr>
          <w:b w:val="0"/>
        </w:rPr>
        <w:t>Нэмэлт баталгаажуулах ажил хийнэ.</w:t>
      </w:r>
    </w:p>
    <w:p>
      <w:pPr>
        <w:spacing w:after="60"/>
      </w:pPr>
      <w:r>
        <w:rPr>
          <w:b/>
        </w:rPr>
        <w:t>Боломжит ажил:</w:t>
      </w:r>
    </w:p>
    <w:p>
      <w:pPr>
        <w:pStyle w:val="ListBullet"/>
        <w:spacing w:after="20"/>
      </w:pPr>
      <w:r>
        <w:t>Detailed mapping</w:t>
      </w:r>
    </w:p>
    <w:p>
      <w:pPr>
        <w:pStyle w:val="ListBullet"/>
        <w:spacing w:after="20"/>
      </w:pPr>
      <w:r>
        <w:t>Soil grid</w:t>
      </w:r>
    </w:p>
    <w:p>
      <w:pPr>
        <w:pStyle w:val="ListBullet"/>
        <w:spacing w:after="20"/>
      </w:pPr>
      <w:r>
        <w:t>Rock chip sampling</w:t>
      </w:r>
    </w:p>
    <w:p>
      <w:pPr>
        <w:pStyle w:val="ListBullet"/>
        <w:spacing w:after="20"/>
      </w:pPr>
      <w:r>
        <w:t>Ground truthing</w:t>
      </w:r>
    </w:p>
    <w:p>
      <w:pPr>
        <w:pStyle w:val="ListBullet"/>
        <w:spacing w:after="20"/>
      </w:pPr>
      <w:r>
        <w:t>Drone/LiDAR нарийвчилсан шалгалт</w:t>
      </w:r>
    </w:p>
    <w:p>
      <w:pPr>
        <w:pStyle w:val="Heading2"/>
      </w:pPr>
      <w:r>
        <w:t>C target</w:t>
      </w:r>
    </w:p>
    <w:p>
      <w:pPr>
        <w:spacing w:after="60"/>
      </w:pPr>
      <w:r>
        <w:rPr>
          <w:b w:val="0"/>
        </w:rPr>
        <w:t>Бага зардлаар дахин шалгана.</w:t>
      </w:r>
    </w:p>
    <w:p>
      <w:pPr>
        <w:spacing w:after="60"/>
      </w:pPr>
      <w:r>
        <w:rPr>
          <w:b/>
        </w:rPr>
        <w:t>Боломжит ажил:</w:t>
      </w:r>
    </w:p>
    <w:p>
      <w:pPr>
        <w:pStyle w:val="ListBullet"/>
        <w:spacing w:after="20"/>
      </w:pPr>
      <w:r>
        <w:t>Reconnaissance visit</w:t>
      </w:r>
    </w:p>
    <w:p>
      <w:pPr>
        <w:pStyle w:val="ListBullet"/>
        <w:spacing w:after="20"/>
      </w:pPr>
      <w:r>
        <w:t>Limited sampling</w:t>
      </w:r>
    </w:p>
    <w:p>
      <w:pPr>
        <w:pStyle w:val="ListBullet"/>
        <w:spacing w:after="20"/>
      </w:pPr>
      <w:r>
        <w:t>Remote sensing re-check</w:t>
      </w:r>
    </w:p>
    <w:p>
      <w:pPr>
        <w:pStyle w:val="Heading2"/>
      </w:pPr>
      <w:r>
        <w:t>No-Go</w:t>
      </w:r>
    </w:p>
    <w:p>
      <w:pPr>
        <w:spacing w:after="60"/>
      </w:pPr>
      <w:r>
        <w:rPr>
          <w:b w:val="0"/>
        </w:rPr>
        <w:t>Одоогоор идэвхтэй үргэлжлүүлэхгүй.</w:t>
      </w:r>
    </w:p>
    <w:p>
      <w:pPr>
        <w:spacing w:after="60"/>
      </w:pPr>
      <w:r>
        <w:rPr>
          <w:b w:val="0"/>
        </w:rPr>
        <w:t>Гэхдээ дараах нөхцөлд дахин авч үзэж болно.</w:t>
      </w:r>
    </w:p>
    <w:p>
      <w:pPr>
        <w:pStyle w:val="ListBullet"/>
        <w:spacing w:after="20"/>
      </w:pPr>
      <w:r>
        <w:t>Шинэ assay data гарвал</w:t>
      </w:r>
    </w:p>
    <w:p>
      <w:pPr>
        <w:pStyle w:val="ListBullet"/>
        <w:spacing w:after="20"/>
      </w:pPr>
      <w:r>
        <w:t>Шинэ CMCS/nearby deposit мэдээлэл нэмэгдвэл</w:t>
      </w:r>
    </w:p>
    <w:p>
      <w:pPr>
        <w:pStyle w:val="ListBullet"/>
        <w:spacing w:after="20"/>
      </w:pPr>
      <w:r>
        <w:t>Геофизикийн шинэ anomaly илэрвэл</w:t>
      </w:r>
    </w:p>
    <w:p>
      <w:pPr>
        <w:pStyle w:val="ListBullet"/>
        <w:spacing w:after="20"/>
      </w:pPr>
      <w:r>
        <w:t>Field mapping дахин баталгаажуулбал</w:t>
      </w:r>
    </w:p>
    <w:p>
      <w:pPr>
        <w:pStyle w:val="Heading1"/>
      </w:pPr>
      <w:r>
        <w:t>Товч дүгнэлт</w:t>
      </w:r>
    </w:p>
    <w:p>
      <w:pPr>
        <w:spacing w:after="60"/>
      </w:pPr>
      <w:r>
        <w:rPr>
          <w:b w:val="0"/>
        </w:rPr>
        <w:t>Phase 10 бол өмнөх бүх хайгуулын ажлын “шийдвэр гаргах үе шат” юм. Энэ шатанд зөвхөн нэг төрлийн датагаар target сонгохгүй, харин geology, structure, alteration, geochemistry, assay, remote sensing, CMCS, nearby deposit, field evidence зэргийг хамтад нь үнэлж, баталгаатай target ranking гаргана. Эцсийн бүтээгдэхүүн нь final target map, target ranking table, target description sheet, Go/No-Go decision log, integrated interpretation report байна.</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Phase 10 Integrated Interpretation and Final Target Ranking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ind w:left="216"/>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