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 w:line="252" w:lineRule="auto"/>
        <w:jc w:val="center"/>
      </w:pPr>
      <w:r>
        <w:t>11. Phase 11 — Follow-up Trench, Geophysics and Scout Drill Planning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rial" w:hAnsi="Arial" w:eastAsia="Arial"/>
                <w:b/>
                <w:sz w:val="18"/>
              </w:rPr>
              <w:t>Subsection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rial" w:hAnsi="Arial" w:eastAsia="Arial"/>
                <w:b/>
                <w:sz w:val="18"/>
              </w:rPr>
              <w:t>Methodology detail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Зорилго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Final A/B target дээр trench, geophysics, scout drilling төлөвлөх.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Input files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Phase 10 final A/B targets + direct planning support raw inputs: boundary, DEM/slope/hillshade, detailed geology, occurrence map, prospectivity map, source materials map, mineralized point table, basemap/Sentinel rasters.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Software / equipment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QGIS, trench/geophysics planning tools, drilling design spreadsheet, HSE/budget templates.</w:t>
            </w:r>
          </w:p>
        </w:tc>
      </w:tr>
    </w:tbl>
    <w:p>
      <w:pPr>
        <w:spacing w:after="80" w:line="252" w:lineRule="auto"/>
      </w:pPr>
    </w:p>
    <w:p>
      <w:pPr>
        <w:pStyle w:val="Heading1"/>
        <w:spacing w:after="80" w:line="252" w:lineRule="auto"/>
      </w:pPr>
      <w:r>
        <w:t>1. Ажлын зорилго</w:t>
      </w:r>
    </w:p>
    <w:p>
      <w:pPr>
        <w:spacing w:after="80" w:line="252" w:lineRule="auto"/>
      </w:pPr>
      <w:r>
        <w:t>Phase 11-ийн үндсэн зорилго нь өмнөх шатанд гарсан A/B зэрэглэлийн хайгуулын байнуудыг нарийвчлан шалгаж, дараагийн шатны суваг малталт / trench, IP–resistivity геофизик, соронзон хэмжилт, нэмэлт хөрсний дээжлэлт, эхний хайгуулын өрөмдлөг / scout drilling хийх байршил, шугам, цэг, төсөв, зөвшөөрөл, HSE шаардлагыг бүрэн төлөвлөхөд оршино.</w:t>
      </w:r>
    </w:p>
    <w:p>
      <w:pPr>
        <w:spacing w:after="80" w:line="252" w:lineRule="auto"/>
      </w:pPr>
      <w:r>
        <w:t>Энэ шатны эцсийн шийдвэр нь: Scout drilling хийх нөхцөл хангагдсан эсэх юм.</w:t>
      </w:r>
    </w:p>
    <w:p>
      <w:pPr>
        <w:pStyle w:val="Heading1"/>
        <w:spacing w:after="80" w:line="252" w:lineRule="auto"/>
      </w:pPr>
      <w:r>
        <w:t>2. Ашиглах үндсэн input материал</w:t>
      </w:r>
    </w:p>
    <w:p>
      <w:pPr>
        <w:pStyle w:val="Heading2"/>
        <w:spacing w:after="80" w:line="252" w:lineRule="auto"/>
      </w:pPr>
      <w:r>
        <w:t>2.1 Заавал ашиглах материал</w:t>
      </w:r>
    </w:p>
    <w:p>
      <w:pPr>
        <w:pStyle w:val="ListNumber"/>
        <w:spacing w:after="80" w:line="252" w:lineRule="auto"/>
      </w:pPr>
      <w:r>
        <w:t>Final A/B target map</w:t>
      </w:r>
    </w:p>
    <w:p>
      <w:pPr>
        <w:pStyle w:val="ListNumber"/>
        <w:spacing w:after="80" w:line="252" w:lineRule="auto"/>
      </w:pPr>
      <w:r>
        <w:t>Target ranking support raw inputs</w:t>
      </w:r>
    </w:p>
    <w:p>
      <w:pPr>
        <w:pStyle w:val="ListNumber"/>
        <w:spacing w:after="80" w:line="252" w:lineRule="auto"/>
      </w:pPr>
      <w:r>
        <w:t>License boundary shapefile</w:t>
      </w:r>
    </w:p>
    <w:p>
      <w:pPr>
        <w:pStyle w:val="ListNumber"/>
        <w:spacing w:after="80" w:line="252" w:lineRule="auto"/>
      </w:pPr>
      <w:r>
        <w:t>DEM, slope, hillshade</w:t>
      </w:r>
    </w:p>
    <w:p>
      <w:pPr>
        <w:pStyle w:val="ListNumber"/>
        <w:spacing w:after="80" w:line="252" w:lineRule="auto"/>
      </w:pPr>
      <w:r>
        <w:t>Detailed geology map</w:t>
      </w:r>
    </w:p>
    <w:p>
      <w:pPr>
        <w:pStyle w:val="ListNumber"/>
        <w:spacing w:after="80" w:line="252" w:lineRule="auto"/>
      </w:pPr>
      <w:r>
        <w:t>Occurrence / mineral showing map</w:t>
      </w:r>
    </w:p>
    <w:p>
      <w:pPr>
        <w:pStyle w:val="ListNumber"/>
        <w:spacing w:after="80" w:line="252" w:lineRule="auto"/>
      </w:pPr>
      <w:r>
        <w:t>Prospectivity map</w:t>
      </w:r>
    </w:p>
    <w:p>
      <w:pPr>
        <w:pStyle w:val="ListNumber"/>
        <w:spacing w:after="80" w:line="252" w:lineRule="auto"/>
      </w:pPr>
      <w:r>
        <w:t>Source materials map</w:t>
      </w:r>
    </w:p>
    <w:p>
      <w:pPr>
        <w:pStyle w:val="ListNumber"/>
        <w:spacing w:after="80" w:line="252" w:lineRule="auto"/>
      </w:pPr>
      <w:r>
        <w:t>Mineralized point table</w:t>
      </w:r>
    </w:p>
    <w:p>
      <w:pPr>
        <w:pStyle w:val="ListNumber"/>
        <w:spacing w:after="80" w:line="252" w:lineRule="auto"/>
      </w:pPr>
      <w:r>
        <w:t>Basemap / Sentinel raster</w:t>
      </w:r>
    </w:p>
    <w:p>
      <w:pPr>
        <w:pStyle w:val="ListNumber"/>
        <w:spacing w:after="80" w:line="252" w:lineRule="auto"/>
      </w:pPr>
      <w:r>
        <w:t>Өмнөх phase-ийн trench санал, дээжлэлт, геологи, бүтэц, alteration, anomaly мэдээлэл</w:t>
      </w:r>
    </w:p>
    <w:p>
      <w:pPr>
        <w:pStyle w:val="ListNumber"/>
        <w:spacing w:after="80" w:line="252" w:lineRule="auto"/>
      </w:pPr>
      <w:r>
        <w:t>Field observation points</w:t>
      </w:r>
    </w:p>
    <w:p>
      <w:pPr>
        <w:pStyle w:val="ListNumber"/>
        <w:spacing w:after="80" w:line="252" w:lineRule="auto"/>
      </w:pPr>
      <w:r>
        <w:t>Lab assay result / XRF result</w:t>
      </w:r>
    </w:p>
    <w:p>
      <w:pPr>
        <w:pStyle w:val="ListNumber"/>
        <w:spacing w:after="80" w:line="252" w:lineRule="auto"/>
      </w:pPr>
      <w:r>
        <w:t>Access road, river, slope, protected area, settlement, HSE constraint layers</w:t>
      </w:r>
    </w:p>
    <w:p>
      <w:pPr>
        <w:pStyle w:val="Heading1"/>
        <w:spacing w:after="80" w:line="252" w:lineRule="auto"/>
      </w:pPr>
      <w:r>
        <w:t>3. Программ ба тоног төхөөрөмж</w:t>
      </w:r>
    </w:p>
    <w:p>
      <w:pPr>
        <w:pStyle w:val="Heading2"/>
        <w:spacing w:after="80" w:line="252" w:lineRule="auto"/>
      </w:pPr>
      <w:r>
        <w:t>3.1 Оффисын программ</w:t>
      </w:r>
    </w:p>
    <w:p>
      <w:pPr>
        <w:pStyle w:val="ListBullet"/>
        <w:spacing w:after="80" w:line="252" w:lineRule="auto"/>
      </w:pPr>
      <w:r>
        <w:t>QGIS</w:t>
      </w:r>
    </w:p>
    <w:p>
      <w:pPr>
        <w:pStyle w:val="ListBullet"/>
        <w:spacing w:after="80" w:line="252" w:lineRule="auto"/>
      </w:pPr>
      <w:r>
        <w:t>Excel</w:t>
      </w:r>
    </w:p>
    <w:p>
      <w:pPr>
        <w:pStyle w:val="ListBullet"/>
        <w:spacing w:after="80" w:line="252" w:lineRule="auto"/>
      </w:pPr>
      <w:r>
        <w:t>Google Earth Pro</w:t>
      </w:r>
    </w:p>
    <w:p>
      <w:pPr>
        <w:pStyle w:val="ListBullet"/>
        <w:spacing w:after="80" w:line="252" w:lineRule="auto"/>
      </w:pPr>
      <w:r>
        <w:t>PDF map export tool</w:t>
      </w:r>
    </w:p>
    <w:p>
      <w:pPr>
        <w:pStyle w:val="ListBullet"/>
        <w:spacing w:after="80" w:line="252" w:lineRule="auto"/>
      </w:pPr>
      <w:r>
        <w:t>Drill planning spreadsheet</w:t>
      </w:r>
    </w:p>
    <w:p>
      <w:pPr>
        <w:pStyle w:val="ListBullet"/>
        <w:spacing w:after="80" w:line="252" w:lineRule="auto"/>
      </w:pPr>
      <w:r>
        <w:t>Budget template</w:t>
      </w:r>
    </w:p>
    <w:p>
      <w:pPr>
        <w:pStyle w:val="ListBullet"/>
        <w:spacing w:after="80" w:line="252" w:lineRule="auto"/>
      </w:pPr>
      <w:r>
        <w:t>Permit / HSE checklist template</w:t>
      </w:r>
    </w:p>
    <w:p>
      <w:pPr>
        <w:pStyle w:val="Heading2"/>
        <w:spacing w:after="80" w:line="252" w:lineRule="auto"/>
      </w:pPr>
      <w:r>
        <w:t>3.2 Талбайн тоног төхөөрөмж</w:t>
      </w:r>
    </w:p>
    <w:p>
      <w:pPr>
        <w:pStyle w:val="ListBullet"/>
        <w:spacing w:after="80" w:line="252" w:lineRule="auto"/>
      </w:pPr>
      <w:r>
        <w:t>GPS / GNSS</w:t>
      </w:r>
    </w:p>
    <w:p>
      <w:pPr>
        <w:pStyle w:val="ListBullet"/>
        <w:spacing w:after="80" w:line="252" w:lineRule="auto"/>
      </w:pPr>
      <w:r>
        <w:t>Tablet with QField</w:t>
      </w:r>
    </w:p>
    <w:p>
      <w:pPr>
        <w:pStyle w:val="ListBullet"/>
        <w:spacing w:after="80" w:line="252" w:lineRule="auto"/>
      </w:pPr>
      <w:r>
        <w:t>Geological compass</w:t>
      </w:r>
    </w:p>
    <w:p>
      <w:pPr>
        <w:pStyle w:val="ListBullet"/>
        <w:spacing w:after="80" w:line="252" w:lineRule="auto"/>
      </w:pPr>
      <w:r>
        <w:t>Handheld XRF</w:t>
      </w:r>
    </w:p>
    <w:p>
      <w:pPr>
        <w:pStyle w:val="ListBullet"/>
        <w:spacing w:after="80" w:line="252" w:lineRule="auto"/>
      </w:pPr>
      <w:r>
        <w:t>Rock hammer</w:t>
      </w:r>
    </w:p>
    <w:p>
      <w:pPr>
        <w:pStyle w:val="ListBullet"/>
        <w:spacing w:after="80" w:line="252" w:lineRule="auto"/>
      </w:pPr>
      <w:r>
        <w:t>Sample bags</w:t>
      </w:r>
    </w:p>
    <w:p>
      <w:pPr>
        <w:pStyle w:val="ListBullet"/>
        <w:spacing w:after="80" w:line="252" w:lineRule="auto"/>
      </w:pPr>
      <w:r>
        <w:t>Flagging tape</w:t>
      </w:r>
    </w:p>
    <w:p>
      <w:pPr>
        <w:pStyle w:val="ListBullet"/>
        <w:spacing w:after="80" w:line="252" w:lineRule="auto"/>
      </w:pPr>
      <w:r>
        <w:t>Measuring tape</w:t>
      </w:r>
    </w:p>
    <w:p>
      <w:pPr>
        <w:pStyle w:val="ListBullet"/>
        <w:spacing w:after="80" w:line="252" w:lineRule="auto"/>
      </w:pPr>
      <w:r>
        <w:t>Camera / phone</w:t>
      </w:r>
    </w:p>
    <w:p>
      <w:pPr>
        <w:pStyle w:val="ListBullet"/>
        <w:spacing w:after="80" w:line="252" w:lineRule="auto"/>
      </w:pPr>
      <w:r>
        <w:t>PPE</w:t>
      </w:r>
    </w:p>
    <w:p>
      <w:pPr>
        <w:pStyle w:val="ListBullet"/>
        <w:spacing w:after="80" w:line="252" w:lineRule="auto"/>
      </w:pPr>
      <w:r>
        <w:t>First aid kit</w:t>
      </w:r>
    </w:p>
    <w:p>
      <w:pPr>
        <w:pStyle w:val="ListBullet"/>
        <w:spacing w:after="80" w:line="252" w:lineRule="auto"/>
      </w:pPr>
      <w:r>
        <w:t>Vehicle and access equipment</w:t>
      </w:r>
    </w:p>
    <w:p>
      <w:pPr>
        <w:pStyle w:val="Heading1"/>
        <w:spacing w:after="80" w:line="252" w:lineRule="auto"/>
      </w:pPr>
      <w:r>
        <w:t>4. Фолдерийн бүтэц</w:t>
      </w:r>
    </w:p>
    <w:p>
      <w:pPr>
        <w:spacing w:after="80" w:line="252" w:lineRule="auto"/>
      </w:pPr>
      <w:r>
        <w:t>Ажлын бүх файлыг дараах бүтэцтэй хадгална.</w:t>
      </w:r>
    </w:p>
    <w:p>
      <w:pPr>
        <w:pStyle w:val="CodeBlock"/>
        <w:spacing w:after="80" w:line="252" w:lineRule="auto"/>
      </w:pPr>
      <w:r>
        <w:t>11_Phase_11_Follow_Up_Trench_Geophysics_and_Scout_Drill_Planning/</w:t>
      </w:r>
    </w:p>
    <w:p>
      <w:pPr>
        <w:pStyle w:val="CodeBlock"/>
        <w:spacing w:after="80" w:line="252" w:lineRule="auto"/>
      </w:pPr>
      <w:r>
        <w:t>├── 01_Trench_Channel_Planning</w:t>
      </w:r>
    </w:p>
    <w:p>
      <w:pPr>
        <w:pStyle w:val="CodeBlock"/>
        <w:spacing w:after="80" w:line="252" w:lineRule="auto"/>
      </w:pPr>
      <w:r>
        <w:t>├── 02_IP_Resistivity_Planning</w:t>
      </w:r>
    </w:p>
    <w:p>
      <w:pPr>
        <w:pStyle w:val="CodeBlock"/>
        <w:spacing w:after="80" w:line="252" w:lineRule="auto"/>
      </w:pPr>
      <w:r>
        <w:t>├── 03_Magnetic_Survey_Planning</w:t>
      </w:r>
    </w:p>
    <w:p>
      <w:pPr>
        <w:pStyle w:val="CodeBlock"/>
        <w:spacing w:after="80" w:line="252" w:lineRule="auto"/>
      </w:pPr>
      <w:r>
        <w:t>├── 04_Infill_Soil_Planning</w:t>
      </w:r>
    </w:p>
    <w:p>
      <w:pPr>
        <w:pStyle w:val="CodeBlock"/>
        <w:spacing w:after="80" w:line="252" w:lineRule="auto"/>
      </w:pPr>
      <w:r>
        <w:t>├── 05_Scout_Drill_Collar_Design</w:t>
      </w:r>
    </w:p>
    <w:p>
      <w:pPr>
        <w:pStyle w:val="CodeBlock"/>
        <w:spacing w:after="80" w:line="252" w:lineRule="auto"/>
      </w:pPr>
      <w:r>
        <w:t>├── 06_HSE_Environment_Rehabilitation</w:t>
      </w:r>
    </w:p>
    <w:p>
      <w:pPr>
        <w:pStyle w:val="CodeBlock"/>
        <w:spacing w:after="80" w:line="252" w:lineRule="auto"/>
      </w:pPr>
      <w:r>
        <w:t>└── 07_Budget_Permit_Schedule</w:t>
      </w:r>
    </w:p>
    <w:p>
      <w:pPr>
        <w:spacing w:after="80" w:line="252" w:lineRule="auto"/>
      </w:pPr>
    </w:p>
    <w:p>
      <w:pPr>
        <w:spacing w:after="80" w:line="252" w:lineRule="auto"/>
      </w:pPr>
      <w:r>
        <w:t>Фолдер бүрт дараах дэд хавтас үүсгэвэл тохиромжтой.</w:t>
      </w:r>
    </w:p>
    <w:p>
      <w:pPr>
        <w:pStyle w:val="CodeBlock"/>
        <w:spacing w:after="80" w:line="252" w:lineRule="auto"/>
      </w:pPr>
      <w:r>
        <w:t>/Inputs</w:t>
      </w:r>
    </w:p>
    <w:p>
      <w:pPr>
        <w:pStyle w:val="CodeBlock"/>
        <w:spacing w:after="80" w:line="252" w:lineRule="auto"/>
      </w:pPr>
      <w:r>
        <w:t>/Working</w:t>
      </w:r>
    </w:p>
    <w:p>
      <w:pPr>
        <w:pStyle w:val="CodeBlock"/>
        <w:spacing w:after="80" w:line="252" w:lineRule="auto"/>
      </w:pPr>
      <w:r>
        <w:t>/Outputs</w:t>
      </w:r>
    </w:p>
    <w:p>
      <w:pPr>
        <w:pStyle w:val="CodeBlock"/>
        <w:spacing w:after="80" w:line="252" w:lineRule="auto"/>
      </w:pPr>
      <w:r>
        <w:t>/QAQC</w:t>
      </w:r>
    </w:p>
    <w:p>
      <w:pPr>
        <w:pStyle w:val="CodeBlock"/>
        <w:spacing w:after="80" w:line="252" w:lineRule="auto"/>
      </w:pPr>
      <w:r>
        <w:t>/Maps_PDF</w:t>
      </w:r>
    </w:p>
    <w:p>
      <w:pPr>
        <w:spacing w:after="80" w:line="252" w:lineRule="auto"/>
      </w:pPr>
    </w:p>
    <w:p>
      <w:pPr>
        <w:pStyle w:val="Heading1"/>
        <w:spacing w:after="80" w:line="252" w:lineRule="auto"/>
      </w:pPr>
      <w:r>
        <w:t>5. Ажил эхлэхээс өмнөх бэлтгэл</w:t>
      </w:r>
    </w:p>
    <w:p>
      <w:pPr>
        <w:pStyle w:val="Heading2"/>
        <w:spacing w:after="80" w:line="252" w:lineRule="auto"/>
      </w:pPr>
      <w:r>
        <w:t>5.1 QGIS project бэлтгэх</w:t>
      </w:r>
    </w:p>
    <w:p>
      <w:pPr>
        <w:spacing w:after="80" w:line="252" w:lineRule="auto"/>
      </w:pPr>
      <w:r>
        <w:t>QGIS дээр дараах layer-үүдийг нэг coordinate system-д оруулна.</w:t>
      </w:r>
    </w:p>
    <w:p>
      <w:pPr>
        <w:pStyle w:val="ListBullet"/>
        <w:spacing w:after="80" w:line="252" w:lineRule="auto"/>
      </w:pPr>
      <w:r>
        <w:t>License boundary</w:t>
      </w:r>
    </w:p>
    <w:p>
      <w:pPr>
        <w:pStyle w:val="ListBullet"/>
        <w:spacing w:after="80" w:line="252" w:lineRule="auto"/>
      </w:pPr>
      <w:r>
        <w:t>Target polygons</w:t>
      </w:r>
    </w:p>
    <w:p>
      <w:pPr>
        <w:pStyle w:val="ListBullet"/>
        <w:spacing w:after="80" w:line="252" w:lineRule="auto"/>
      </w:pPr>
      <w:r>
        <w:t>Target ranking points</w:t>
      </w:r>
    </w:p>
    <w:p>
      <w:pPr>
        <w:pStyle w:val="ListBullet"/>
        <w:spacing w:after="80" w:line="252" w:lineRule="auto"/>
      </w:pPr>
      <w:r>
        <w:t>Geology</w:t>
      </w:r>
    </w:p>
    <w:p>
      <w:pPr>
        <w:pStyle w:val="ListBullet"/>
        <w:spacing w:after="80" w:line="252" w:lineRule="auto"/>
      </w:pPr>
      <w:r>
        <w:t>Structure / fault / lineament</w:t>
      </w:r>
    </w:p>
    <w:p>
      <w:pPr>
        <w:pStyle w:val="ListBullet"/>
        <w:spacing w:after="80" w:line="252" w:lineRule="auto"/>
      </w:pPr>
      <w:r>
        <w:t>Alteration</w:t>
      </w:r>
    </w:p>
    <w:p>
      <w:pPr>
        <w:pStyle w:val="ListBullet"/>
        <w:spacing w:after="80" w:line="252" w:lineRule="auto"/>
      </w:pPr>
      <w:r>
        <w:t>Geochemical anomaly</w:t>
      </w:r>
    </w:p>
    <w:p>
      <w:pPr>
        <w:pStyle w:val="ListBullet"/>
        <w:spacing w:after="80" w:line="252" w:lineRule="auto"/>
      </w:pPr>
      <w:r>
        <w:t>Mineralized points</w:t>
      </w:r>
    </w:p>
    <w:p>
      <w:pPr>
        <w:pStyle w:val="ListBullet"/>
        <w:spacing w:after="80" w:line="252" w:lineRule="auto"/>
      </w:pPr>
      <w:r>
        <w:t>DEM / slope / hillshade</w:t>
      </w:r>
    </w:p>
    <w:p>
      <w:pPr>
        <w:pStyle w:val="ListBullet"/>
        <w:spacing w:after="80" w:line="252" w:lineRule="auto"/>
      </w:pPr>
      <w:r>
        <w:t>Satellite basemap</w:t>
      </w:r>
    </w:p>
    <w:p>
      <w:pPr>
        <w:pStyle w:val="ListBullet"/>
        <w:spacing w:after="80" w:line="252" w:lineRule="auto"/>
      </w:pPr>
      <w:r>
        <w:t>Access road</w:t>
      </w:r>
    </w:p>
    <w:p>
      <w:pPr>
        <w:pStyle w:val="ListBullet"/>
        <w:spacing w:after="80" w:line="252" w:lineRule="auto"/>
      </w:pPr>
      <w:r>
        <w:t>River / drainage</w:t>
      </w:r>
    </w:p>
    <w:p>
      <w:pPr>
        <w:pStyle w:val="ListBullet"/>
        <w:spacing w:after="80" w:line="252" w:lineRule="auto"/>
      </w:pPr>
      <w:r>
        <w:t>Restricted or risky area</w:t>
      </w:r>
    </w:p>
    <w:p>
      <w:pPr>
        <w:spacing w:after="80" w:line="252" w:lineRule="auto"/>
      </w:pPr>
      <w:r>
        <w:t>Бүх layer-үүдийн CRS нэг байх ёстой. Монголын талбайд ихэвчлэн UTM zone ашиглана. CRS зөрвөл эхлээд засна.</w:t>
      </w:r>
    </w:p>
    <w:p>
      <w:pPr>
        <w:pStyle w:val="Heading2"/>
        <w:spacing w:after="80" w:line="252" w:lineRule="auto"/>
      </w:pPr>
      <w:r>
        <w:t>5.2 Байнуудыг шалгах</w:t>
      </w:r>
    </w:p>
    <w:p>
      <w:pPr>
        <w:spacing w:after="80" w:line="252" w:lineRule="auto"/>
      </w:pPr>
      <w:r>
        <w:t>A болон B зэрэглэлийн target бүр дээр дараах асуултаар шалгана.</w:t>
      </w:r>
    </w:p>
    <w:p>
      <w:pPr>
        <w:pStyle w:val="ListBullet"/>
        <w:spacing w:after="80" w:line="252" w:lineRule="auto"/>
      </w:pPr>
      <w:r>
        <w:t>Тухайн target дээр гадаргын эрдэсжилт баталгаатай юу?</w:t>
      </w:r>
    </w:p>
    <w:p>
      <w:pPr>
        <w:pStyle w:val="ListBullet"/>
        <w:spacing w:after="80" w:line="252" w:lineRule="auto"/>
      </w:pPr>
      <w:r>
        <w:t>Лабораторийн эсвэл XRF үр дүн дэмжиж байна уу?</w:t>
      </w:r>
    </w:p>
    <w:p>
      <w:pPr>
        <w:pStyle w:val="ListBullet"/>
        <w:spacing w:after="80" w:line="252" w:lineRule="auto"/>
      </w:pPr>
      <w:r>
        <w:t>Геологийн таатай нэгж, контакт, хагарал, судал байна уу?</w:t>
      </w:r>
    </w:p>
    <w:p>
      <w:pPr>
        <w:pStyle w:val="ListBullet"/>
        <w:spacing w:after="80" w:line="252" w:lineRule="auto"/>
      </w:pPr>
      <w:r>
        <w:t>Slope болон access боломжтой юу?</w:t>
      </w:r>
    </w:p>
    <w:p>
      <w:pPr>
        <w:pStyle w:val="ListBullet"/>
        <w:spacing w:after="80" w:line="252" w:lineRule="auto"/>
      </w:pPr>
      <w:r>
        <w:t>Тухайн бай дээр trench хийх боломжтой юу?</w:t>
      </w:r>
    </w:p>
    <w:p>
      <w:pPr>
        <w:pStyle w:val="ListBullet"/>
        <w:spacing w:after="80" w:line="252" w:lineRule="auto"/>
      </w:pPr>
      <w:r>
        <w:t>IP эсвэл magnetic survey хийх шугам татах боломжтой юу?</w:t>
      </w:r>
    </w:p>
    <w:p>
      <w:pPr>
        <w:pStyle w:val="ListBullet"/>
        <w:spacing w:after="80" w:line="252" w:lineRule="auto"/>
      </w:pPr>
      <w:r>
        <w:t>Өрөмдлөгийн pad байрлуулах боломж байна уу?</w:t>
      </w:r>
    </w:p>
    <w:p>
      <w:pPr>
        <w:pStyle w:val="ListBullet"/>
        <w:spacing w:after="80" w:line="252" w:lineRule="auto"/>
      </w:pPr>
      <w:r>
        <w:t>HSE, нөхөн сэргээлт, зөвшөөрлийн эрсдэл байна уу?</w:t>
      </w:r>
    </w:p>
    <w:p>
      <w:pPr>
        <w:pStyle w:val="Heading1"/>
        <w:spacing w:after="80" w:line="252" w:lineRule="auto"/>
      </w:pPr>
      <w:r>
        <w:t>6. Trench / channel planning хийх заавар</w:t>
      </w:r>
    </w:p>
    <w:p>
      <w:pPr>
        <w:pStyle w:val="Heading2"/>
        <w:spacing w:after="80" w:line="252" w:lineRule="auto"/>
      </w:pPr>
      <w:r>
        <w:t>6.1 Trench сонгох үндсэн шалгуур</w:t>
      </w:r>
    </w:p>
    <w:p>
      <w:pPr>
        <w:spacing w:after="80" w:line="252" w:lineRule="auto"/>
      </w:pPr>
      <w:r>
        <w:t>Trench-ийг дараах нөхцөлүүд давхцаж байгаа газарт төлөвлөнө.</w:t>
      </w:r>
    </w:p>
    <w:p>
      <w:pPr>
        <w:pStyle w:val="ListBullet"/>
        <w:spacing w:after="80" w:line="252" w:lineRule="auto"/>
      </w:pPr>
      <w:r>
        <w:t>Гадаргын эрдэсжилт илэрсэн</w:t>
      </w:r>
    </w:p>
    <w:p>
      <w:pPr>
        <w:pStyle w:val="ListBullet"/>
        <w:spacing w:after="80" w:line="252" w:lineRule="auto"/>
      </w:pPr>
      <w:r>
        <w:t>Lab assay эсвэл XRF anomaly байна</w:t>
      </w:r>
    </w:p>
    <w:p>
      <w:pPr>
        <w:pStyle w:val="ListBullet"/>
        <w:spacing w:after="80" w:line="252" w:lineRule="auto"/>
      </w:pPr>
      <w:r>
        <w:t>Хүрэх боломжтой</w:t>
      </w:r>
    </w:p>
    <w:p>
      <w:pPr>
        <w:pStyle w:val="ListBullet"/>
        <w:spacing w:after="80" w:line="252" w:lineRule="auto"/>
      </w:pPr>
      <w:r>
        <w:t>Налуу хэт огцом биш</w:t>
      </w:r>
    </w:p>
    <w:p>
      <w:pPr>
        <w:pStyle w:val="ListBullet"/>
        <w:spacing w:after="80" w:line="252" w:lineRule="auto"/>
      </w:pPr>
      <w:r>
        <w:t>Судал, контакт, structure-ийг огтолж гарах боломжтой</w:t>
      </w:r>
    </w:p>
    <w:p>
      <w:pPr>
        <w:pStyle w:val="ListBullet"/>
        <w:spacing w:after="80" w:line="252" w:lineRule="auto"/>
      </w:pPr>
      <w:r>
        <w:t>Target geometry-г илүү тодруулах шаардлагатай</w:t>
      </w:r>
    </w:p>
    <w:p>
      <w:pPr>
        <w:pStyle w:val="ListBullet"/>
        <w:spacing w:after="80" w:line="252" w:lineRule="auto"/>
      </w:pPr>
      <w:r>
        <w:t>Хөрсний зузаан trench хийх боломжтой</w:t>
      </w:r>
    </w:p>
    <w:p>
      <w:pPr>
        <w:pStyle w:val="ListBullet"/>
        <w:spacing w:after="80" w:line="252" w:lineRule="auto"/>
      </w:pPr>
      <w:r>
        <w:t>Байгаль орчны эрсдэл бага</w:t>
      </w:r>
    </w:p>
    <w:p>
      <w:pPr>
        <w:pStyle w:val="Heading2"/>
        <w:spacing w:after="80" w:line="252" w:lineRule="auto"/>
      </w:pPr>
      <w:r>
        <w:t>6.2 QGIS дээр хийх алхам</w:t>
      </w:r>
    </w:p>
    <w:p>
      <w:pPr>
        <w:pStyle w:val="ListNumber"/>
        <w:spacing w:after="80" w:line="252" w:lineRule="auto"/>
      </w:pPr>
      <w:r>
        <w:t>Final A/B target layer-ийг нээнэ.</w:t>
      </w:r>
    </w:p>
    <w:p>
      <w:pPr>
        <w:pStyle w:val="ListNumber"/>
        <w:spacing w:after="80" w:line="252" w:lineRule="auto"/>
      </w:pPr>
      <w:r>
        <w:t>Mineralized points, XRF/lab assay point layer-ийг давхар харуулна.</w:t>
      </w:r>
    </w:p>
    <w:p>
      <w:pPr>
        <w:pStyle w:val="ListNumber"/>
        <w:spacing w:after="80" w:line="252" w:lineRule="auto"/>
      </w:pPr>
      <w:r>
        <w:t>Geology, structure, alteration layer-ийг нэмж асаана.</w:t>
      </w:r>
    </w:p>
    <w:p>
      <w:pPr>
        <w:pStyle w:val="ListNumber"/>
        <w:spacing w:after="80" w:line="252" w:lineRule="auto"/>
      </w:pPr>
      <w:r>
        <w:t>DEM slope layer-ээр trench хийх боломжтой налууг шалгана.</w:t>
      </w:r>
    </w:p>
    <w:p>
      <w:pPr>
        <w:pStyle w:val="ListNumber"/>
        <w:spacing w:after="80" w:line="252" w:lineRule="auto"/>
      </w:pPr>
      <w:r>
        <w:t>Trench line нь эрдэсжилтийн чиглэлтэй параллель биш, харин огтолж гарах байдлаар төлөвлөгдөнө.</w:t>
      </w:r>
    </w:p>
    <w:p>
      <w:pPr>
        <w:pStyle w:val="ListNumber"/>
        <w:spacing w:after="80" w:line="252" w:lineRule="auto"/>
      </w:pPr>
      <w:r>
        <w:t>Trench эхлэл, төгсгөлийн координатыг тэмдэглэнэ.</w:t>
      </w:r>
    </w:p>
    <w:p>
      <w:pPr>
        <w:pStyle w:val="ListNumber"/>
        <w:spacing w:after="80" w:line="252" w:lineRule="auto"/>
      </w:pPr>
      <w:r>
        <w:t>Trench бүрт ID өгнө.</w:t>
      </w:r>
    </w:p>
    <w:p>
      <w:pPr>
        <w:spacing w:after="80" w:line="252" w:lineRule="auto"/>
      </w:pPr>
      <w:r>
        <w:t>Жишээ ID:</w:t>
      </w:r>
    </w:p>
    <w:p>
      <w:pPr>
        <w:pStyle w:val="CodeBlock"/>
        <w:spacing w:after="80" w:line="252" w:lineRule="auto"/>
      </w:pPr>
      <w:r>
        <w:t>TR-01</w:t>
      </w:r>
    </w:p>
    <w:p>
      <w:pPr>
        <w:pStyle w:val="CodeBlock"/>
        <w:spacing w:after="80" w:line="252" w:lineRule="auto"/>
      </w:pPr>
      <w:r>
        <w:t>TR-02</w:t>
      </w:r>
    </w:p>
    <w:p>
      <w:pPr>
        <w:pStyle w:val="CodeBlock"/>
        <w:spacing w:after="80" w:line="252" w:lineRule="auto"/>
      </w:pPr>
      <w:r>
        <w:t>TR-03</w:t>
      </w:r>
    </w:p>
    <w:p>
      <w:pPr>
        <w:spacing w:after="80" w:line="252" w:lineRule="auto"/>
      </w:pPr>
    </w:p>
    <w:p>
      <w:pPr>
        <w:pStyle w:val="Heading2"/>
        <w:spacing w:after="80" w:line="252" w:lineRule="auto"/>
      </w:pPr>
      <w:r>
        <w:t>6.3 Trench attribute table-д оруулах мэдээлэл</w:t>
      </w:r>
    </w:p>
    <w:p>
      <w:pPr>
        <w:pStyle w:val="ListBullet"/>
        <w:spacing w:after="80" w:line="252" w:lineRule="auto"/>
      </w:pPr>
      <w:r>
        <w:t>Trench ID</w:t>
      </w:r>
    </w:p>
    <w:p>
      <w:pPr>
        <w:pStyle w:val="ListBullet"/>
        <w:spacing w:after="80" w:line="252" w:lineRule="auto"/>
      </w:pPr>
      <w:r>
        <w:t>Target ID</w:t>
      </w:r>
    </w:p>
    <w:p>
      <w:pPr>
        <w:pStyle w:val="ListBullet"/>
        <w:spacing w:after="80" w:line="252" w:lineRule="auto"/>
      </w:pPr>
      <w:r>
        <w:t>Start Easting</w:t>
      </w:r>
    </w:p>
    <w:p>
      <w:pPr>
        <w:pStyle w:val="ListBullet"/>
        <w:spacing w:after="80" w:line="252" w:lineRule="auto"/>
      </w:pPr>
      <w:r>
        <w:t>Start Northing</w:t>
      </w:r>
    </w:p>
    <w:p>
      <w:pPr>
        <w:pStyle w:val="ListBullet"/>
        <w:spacing w:after="80" w:line="252" w:lineRule="auto"/>
      </w:pPr>
      <w:r>
        <w:t>End Easting</w:t>
      </w:r>
    </w:p>
    <w:p>
      <w:pPr>
        <w:pStyle w:val="ListBullet"/>
        <w:spacing w:after="80" w:line="252" w:lineRule="auto"/>
      </w:pPr>
      <w:r>
        <w:t>End Northing</w:t>
      </w:r>
    </w:p>
    <w:p>
      <w:pPr>
        <w:pStyle w:val="ListBullet"/>
        <w:spacing w:after="80" w:line="252" w:lineRule="auto"/>
      </w:pPr>
      <w:r>
        <w:t>Length</w:t>
      </w:r>
    </w:p>
    <w:p>
      <w:pPr>
        <w:pStyle w:val="ListBullet"/>
        <w:spacing w:after="80" w:line="252" w:lineRule="auto"/>
      </w:pPr>
      <w:r>
        <w:t>Azimuth</w:t>
      </w:r>
    </w:p>
    <w:p>
      <w:pPr>
        <w:pStyle w:val="ListBullet"/>
        <w:spacing w:after="80" w:line="252" w:lineRule="auto"/>
      </w:pPr>
      <w:r>
        <w:t>Target type</w:t>
      </w:r>
    </w:p>
    <w:p>
      <w:pPr>
        <w:pStyle w:val="ListBullet"/>
        <w:spacing w:after="80" w:line="252" w:lineRule="auto"/>
      </w:pPr>
      <w:r>
        <w:t>Reason for trench</w:t>
      </w:r>
    </w:p>
    <w:p>
      <w:pPr>
        <w:pStyle w:val="ListBullet"/>
        <w:spacing w:after="80" w:line="252" w:lineRule="auto"/>
      </w:pPr>
      <w:r>
        <w:t>Expected geology</w:t>
      </w:r>
    </w:p>
    <w:p>
      <w:pPr>
        <w:pStyle w:val="ListBullet"/>
        <w:spacing w:after="80" w:line="252" w:lineRule="auto"/>
      </w:pPr>
      <w:r>
        <w:t>Expected mineralization</w:t>
      </w:r>
    </w:p>
    <w:p>
      <w:pPr>
        <w:pStyle w:val="ListBullet"/>
        <w:spacing w:after="80" w:line="252" w:lineRule="auto"/>
      </w:pPr>
      <w:r>
        <w:t>Access condition</w:t>
      </w:r>
    </w:p>
    <w:p>
      <w:pPr>
        <w:pStyle w:val="ListBullet"/>
        <w:spacing w:after="80" w:line="252" w:lineRule="auto"/>
      </w:pPr>
      <w:r>
        <w:t>HSE risk</w:t>
      </w:r>
    </w:p>
    <w:p>
      <w:pPr>
        <w:pStyle w:val="ListBullet"/>
        <w:spacing w:after="80" w:line="252" w:lineRule="auto"/>
      </w:pPr>
      <w:r>
        <w:t>Rehabilitation method</w:t>
      </w:r>
    </w:p>
    <w:p>
      <w:pPr>
        <w:pStyle w:val="ListBullet"/>
        <w:spacing w:after="80" w:line="252" w:lineRule="auto"/>
      </w:pPr>
      <w:r>
        <w:t>Priority</w:t>
      </w:r>
    </w:p>
    <w:p>
      <w:pPr>
        <w:pStyle w:val="ListBullet"/>
        <w:spacing w:after="80" w:line="252" w:lineRule="auto"/>
      </w:pPr>
      <w:r>
        <w:t>Reviewer</w:t>
      </w:r>
    </w:p>
    <w:p>
      <w:pPr>
        <w:pStyle w:val="ListBullet"/>
        <w:spacing w:after="80" w:line="252" w:lineRule="auto"/>
      </w:pPr>
      <w:r>
        <w:t>Decision</w:t>
      </w:r>
    </w:p>
    <w:p>
      <w:pPr>
        <w:pStyle w:val="Heading2"/>
        <w:spacing w:after="80" w:line="252" w:lineRule="auto"/>
      </w:pPr>
      <w:r>
        <w:t>6.4 Trench decision</w:t>
      </w:r>
    </w:p>
    <w:p>
      <w:pPr>
        <w:spacing w:after="80" w:line="252" w:lineRule="auto"/>
      </w:pPr>
      <w:r>
        <w:t>Trench зөвшөөрөгдөх доод нөхцөл:</w:t>
      </w:r>
    </w:p>
    <w:p>
      <w:pPr>
        <w:pStyle w:val="ListBullet"/>
        <w:spacing w:after="80" w:line="252" w:lineRule="auto"/>
      </w:pPr>
      <w:r>
        <w:t>surface mineralization баталгаатай</w:t>
      </w:r>
    </w:p>
    <w:p>
      <w:pPr>
        <w:pStyle w:val="ListBullet"/>
        <w:spacing w:after="80" w:line="252" w:lineRule="auto"/>
      </w:pPr>
      <w:r>
        <w:t>assay/XRF support байна</w:t>
      </w:r>
    </w:p>
    <w:p>
      <w:pPr>
        <w:pStyle w:val="ListBullet"/>
        <w:spacing w:after="80" w:line="252" w:lineRule="auto"/>
      </w:pPr>
      <w:r>
        <w:t>geological control тодорхой</w:t>
      </w:r>
    </w:p>
    <w:p>
      <w:pPr>
        <w:pStyle w:val="ListBullet"/>
        <w:spacing w:after="80" w:line="252" w:lineRule="auto"/>
      </w:pPr>
      <w:r>
        <w:t>access боломжтой</w:t>
      </w:r>
    </w:p>
    <w:p>
      <w:pPr>
        <w:pStyle w:val="ListBullet"/>
        <w:spacing w:after="80" w:line="252" w:lineRule="auto"/>
      </w:pPr>
      <w:r>
        <w:t>HSE эрсдэл хүлээн зөвшөөрөх түвшинд</w:t>
      </w:r>
    </w:p>
    <w:p>
      <w:pPr>
        <w:pStyle w:val="ListBullet"/>
        <w:spacing w:after="80" w:line="252" w:lineRule="auto"/>
      </w:pPr>
      <w:r>
        <w:t>нөхөн сэргээлтийн төлөвлөгөөтэй</w:t>
      </w:r>
    </w:p>
    <w:p>
      <w:pPr>
        <w:pStyle w:val="Heading1"/>
        <w:spacing w:after="80" w:line="252" w:lineRule="auto"/>
      </w:pPr>
      <w:r>
        <w:t>7. IP / Resistivity planning хийх заавар</w:t>
      </w:r>
    </w:p>
    <w:p>
      <w:pPr>
        <w:pStyle w:val="Heading2"/>
        <w:spacing w:after="80" w:line="252" w:lineRule="auto"/>
      </w:pPr>
      <w:r>
        <w:t>7.1 IP survey хийх үндэслэл</w:t>
      </w:r>
    </w:p>
    <w:p>
      <w:pPr>
        <w:spacing w:after="80" w:line="252" w:lineRule="auto"/>
      </w:pPr>
      <w:r>
        <w:t>IP/resistivity нь дараах нөхцөлд тохиромжтой.</w:t>
      </w:r>
    </w:p>
    <w:p>
      <w:pPr>
        <w:pStyle w:val="ListBullet"/>
        <w:spacing w:after="80" w:line="252" w:lineRule="auto"/>
      </w:pPr>
      <w:r>
        <w:t>Sulfide mineralization сэжигтэй</w:t>
      </w:r>
    </w:p>
    <w:p>
      <w:pPr>
        <w:pStyle w:val="ListBullet"/>
        <w:spacing w:after="80" w:line="252" w:lineRule="auto"/>
      </w:pPr>
      <w:r>
        <w:t>Chargeability anomaly шалгах шаардлагатай</w:t>
      </w:r>
    </w:p>
    <w:p>
      <w:pPr>
        <w:pStyle w:val="ListBullet"/>
        <w:spacing w:after="80" w:line="252" w:lineRule="auto"/>
      </w:pPr>
      <w:r>
        <w:t>Structure болон geology-р хянагдсан target байна</w:t>
      </w:r>
    </w:p>
    <w:p>
      <w:pPr>
        <w:pStyle w:val="ListBullet"/>
        <w:spacing w:after="80" w:line="252" w:lineRule="auto"/>
      </w:pPr>
      <w:r>
        <w:t>Cover ихтэй, гадаргын илрэл сул</w:t>
      </w:r>
    </w:p>
    <w:p>
      <w:pPr>
        <w:pStyle w:val="ListBullet"/>
        <w:spacing w:after="80" w:line="252" w:lineRule="auto"/>
      </w:pPr>
      <w:r>
        <w:t>Trench-ээр хангалттай баталгаажихгүй гүн target байна</w:t>
      </w:r>
    </w:p>
    <w:p>
      <w:pPr>
        <w:pStyle w:val="ListBullet"/>
        <w:spacing w:after="80" w:line="252" w:lineRule="auto"/>
      </w:pPr>
      <w:r>
        <w:t>Өрөмдлөгийн өмнө далд биетийн байрлал тодруулах шаардлагатай</w:t>
      </w:r>
    </w:p>
    <w:p>
      <w:pPr>
        <w:pStyle w:val="Heading2"/>
        <w:spacing w:after="80" w:line="252" w:lineRule="auto"/>
      </w:pPr>
      <w:r>
        <w:t>7.2 Survey line төлөвлөх арга</w:t>
      </w:r>
    </w:p>
    <w:p>
      <w:pPr>
        <w:pStyle w:val="ListNumber"/>
        <w:spacing w:after="80" w:line="252" w:lineRule="auto"/>
      </w:pPr>
      <w:r>
        <w:t>A/B target polygon-уудыг QGIS дээр нээнэ.</w:t>
      </w:r>
    </w:p>
    <w:p>
      <w:pPr>
        <w:pStyle w:val="ListNumber"/>
        <w:spacing w:after="80" w:line="252" w:lineRule="auto"/>
      </w:pPr>
      <w:r>
        <w:t>Structure, geology, alteration, geochemical anomaly-г хамтад нь харна.</w:t>
      </w:r>
    </w:p>
    <w:p>
      <w:pPr>
        <w:pStyle w:val="ListNumber"/>
        <w:spacing w:after="80" w:line="252" w:lineRule="auto"/>
      </w:pPr>
      <w:r>
        <w:t>IP line нь target trend-ийг огтолж гарах чиглэлтэй байна.</w:t>
      </w:r>
    </w:p>
    <w:p>
      <w:pPr>
        <w:pStyle w:val="ListNumber"/>
        <w:spacing w:after="80" w:line="252" w:lineRule="auto"/>
      </w:pPr>
      <w:r>
        <w:t>Нэг target дээр 1–3 шугам төлөвлөж болно.</w:t>
      </w:r>
    </w:p>
    <w:p>
      <w:pPr>
        <w:pStyle w:val="ListNumber"/>
        <w:spacing w:after="80" w:line="252" w:lineRule="auto"/>
      </w:pPr>
      <w:r>
        <w:t>Line spacing-ийг target хэмжээ, төсөв, газрын нөхцөлөөр тогтооно.</w:t>
      </w:r>
    </w:p>
    <w:p>
      <w:pPr>
        <w:pStyle w:val="ListNumber"/>
        <w:spacing w:after="80" w:line="252" w:lineRule="auto"/>
      </w:pPr>
      <w:r>
        <w:t>Survey line нь access боломжтой, аюулгүй газраар дайрсан байх ёстой.</w:t>
      </w:r>
    </w:p>
    <w:p>
      <w:pPr>
        <w:pStyle w:val="ListNumber"/>
        <w:spacing w:after="80" w:line="252" w:lineRule="auto"/>
      </w:pPr>
      <w:r>
        <w:t>Шугамын эхлэл, төгсгөлийн координатыг бүртгэнэ.</w:t>
      </w:r>
    </w:p>
    <w:p>
      <w:pPr>
        <w:pStyle w:val="Heading2"/>
        <w:spacing w:after="80" w:line="252" w:lineRule="auto"/>
      </w:pPr>
      <w:r>
        <w:t>7.3 IP line attribute table</w:t>
      </w:r>
    </w:p>
    <w:p>
      <w:pPr>
        <w:pStyle w:val="ListBullet"/>
        <w:spacing w:after="80" w:line="252" w:lineRule="auto"/>
      </w:pPr>
      <w:r>
        <w:t>Line ID</w:t>
      </w:r>
    </w:p>
    <w:p>
      <w:pPr>
        <w:pStyle w:val="ListBullet"/>
        <w:spacing w:after="80" w:line="252" w:lineRule="auto"/>
      </w:pPr>
      <w:r>
        <w:t>Target ID</w:t>
      </w:r>
    </w:p>
    <w:p>
      <w:pPr>
        <w:pStyle w:val="ListBullet"/>
        <w:spacing w:after="80" w:line="252" w:lineRule="auto"/>
      </w:pPr>
      <w:r>
        <w:t>Start Easting</w:t>
      </w:r>
    </w:p>
    <w:p>
      <w:pPr>
        <w:pStyle w:val="ListBullet"/>
        <w:spacing w:after="80" w:line="252" w:lineRule="auto"/>
      </w:pPr>
      <w:r>
        <w:t>Start Northing</w:t>
      </w:r>
    </w:p>
    <w:p>
      <w:pPr>
        <w:pStyle w:val="ListBullet"/>
        <w:spacing w:after="80" w:line="252" w:lineRule="auto"/>
      </w:pPr>
      <w:r>
        <w:t>End Easting</w:t>
      </w:r>
    </w:p>
    <w:p>
      <w:pPr>
        <w:pStyle w:val="ListBullet"/>
        <w:spacing w:after="80" w:line="252" w:lineRule="auto"/>
      </w:pPr>
      <w:r>
        <w:t>End Northing</w:t>
      </w:r>
    </w:p>
    <w:p>
      <w:pPr>
        <w:pStyle w:val="ListBullet"/>
        <w:spacing w:after="80" w:line="252" w:lineRule="auto"/>
      </w:pPr>
      <w:r>
        <w:t>Length</w:t>
      </w:r>
    </w:p>
    <w:p>
      <w:pPr>
        <w:pStyle w:val="ListBullet"/>
        <w:spacing w:after="80" w:line="252" w:lineRule="auto"/>
      </w:pPr>
      <w:r>
        <w:t>Azimuth</w:t>
      </w:r>
    </w:p>
    <w:p>
      <w:pPr>
        <w:pStyle w:val="ListBullet"/>
        <w:spacing w:after="80" w:line="252" w:lineRule="auto"/>
      </w:pPr>
      <w:r>
        <w:t>Line spacing</w:t>
      </w:r>
    </w:p>
    <w:p>
      <w:pPr>
        <w:pStyle w:val="ListBullet"/>
        <w:spacing w:after="80" w:line="252" w:lineRule="auto"/>
      </w:pPr>
      <w:r>
        <w:t>Array type</w:t>
      </w:r>
    </w:p>
    <w:p>
      <w:pPr>
        <w:pStyle w:val="ListBullet"/>
        <w:spacing w:after="80" w:line="252" w:lineRule="auto"/>
      </w:pPr>
      <w:r>
        <w:t>Planned depth of investigation</w:t>
      </w:r>
    </w:p>
    <w:p>
      <w:pPr>
        <w:pStyle w:val="ListBullet"/>
        <w:spacing w:after="80" w:line="252" w:lineRule="auto"/>
      </w:pPr>
      <w:r>
        <w:t>Reason for IP</w:t>
      </w:r>
    </w:p>
    <w:p>
      <w:pPr>
        <w:pStyle w:val="ListBullet"/>
        <w:spacing w:after="80" w:line="252" w:lineRule="auto"/>
      </w:pPr>
      <w:r>
        <w:t>Expected sulfide target</w:t>
      </w:r>
    </w:p>
    <w:p>
      <w:pPr>
        <w:pStyle w:val="ListBullet"/>
        <w:spacing w:after="80" w:line="252" w:lineRule="auto"/>
      </w:pPr>
      <w:r>
        <w:t>Access condition</w:t>
      </w:r>
    </w:p>
    <w:p>
      <w:pPr>
        <w:pStyle w:val="ListBullet"/>
        <w:spacing w:after="80" w:line="252" w:lineRule="auto"/>
      </w:pPr>
      <w:r>
        <w:t>HSE risk</w:t>
      </w:r>
    </w:p>
    <w:p>
      <w:pPr>
        <w:pStyle w:val="ListBullet"/>
        <w:spacing w:after="80" w:line="252" w:lineRule="auto"/>
      </w:pPr>
      <w:r>
        <w:t>Priority</w:t>
      </w:r>
    </w:p>
    <w:p>
      <w:pPr>
        <w:pStyle w:val="ListBullet"/>
        <w:spacing w:after="80" w:line="252" w:lineRule="auto"/>
      </w:pPr>
      <w:r>
        <w:t>Reviewer</w:t>
      </w:r>
    </w:p>
    <w:p>
      <w:pPr>
        <w:pStyle w:val="ListBullet"/>
        <w:spacing w:after="80" w:line="252" w:lineRule="auto"/>
      </w:pPr>
      <w:r>
        <w:t>Decision</w:t>
      </w:r>
    </w:p>
    <w:p>
      <w:pPr>
        <w:pStyle w:val="Heading2"/>
        <w:spacing w:after="80" w:line="252" w:lineRule="auto"/>
      </w:pPr>
      <w:r>
        <w:t>7.4 IP survey-ийн QA/QC</w:t>
      </w:r>
    </w:p>
    <w:p>
      <w:pPr>
        <w:pStyle w:val="ListBullet"/>
        <w:spacing w:after="80" w:line="252" w:lineRule="auto"/>
      </w:pPr>
      <w:r>
        <w:t>Шугам target-ийг зөв огтолж байгаа эсэх</w:t>
      </w:r>
    </w:p>
    <w:p>
      <w:pPr>
        <w:pStyle w:val="ListBullet"/>
        <w:spacing w:after="80" w:line="252" w:lineRule="auto"/>
      </w:pPr>
      <w:r>
        <w:t>Шугам access боломжтой эсэх</w:t>
      </w:r>
    </w:p>
    <w:p>
      <w:pPr>
        <w:pStyle w:val="ListBullet"/>
        <w:spacing w:after="80" w:line="252" w:lineRule="auto"/>
      </w:pPr>
      <w:r>
        <w:t>DEM slope хэт огцом биш эсэх</w:t>
      </w:r>
    </w:p>
    <w:p>
      <w:pPr>
        <w:pStyle w:val="ListBullet"/>
        <w:spacing w:after="80" w:line="252" w:lineRule="auto"/>
      </w:pPr>
      <w:r>
        <w:t>Protected area, river, settlement-тэй давхцаагүй эсэх</w:t>
      </w:r>
    </w:p>
    <w:p>
      <w:pPr>
        <w:pStyle w:val="ListBullet"/>
        <w:spacing w:after="80" w:line="252" w:lineRule="auto"/>
      </w:pPr>
      <w:r>
        <w:t>Өрөмдлөгийн шийдвэрт ашиглахуйц байрлалтай эсэх</w:t>
      </w:r>
    </w:p>
    <w:p>
      <w:pPr>
        <w:pStyle w:val="Heading1"/>
        <w:spacing w:after="80" w:line="252" w:lineRule="auto"/>
      </w:pPr>
      <w:r>
        <w:t>8. Magnetic survey planning хийх заавар</w:t>
      </w:r>
    </w:p>
    <w:p>
      <w:pPr>
        <w:pStyle w:val="Heading2"/>
        <w:spacing w:after="80" w:line="252" w:lineRule="auto"/>
      </w:pPr>
      <w:r>
        <w:t>8.1 Magnetic survey хийх үндэслэл</w:t>
      </w:r>
    </w:p>
    <w:p>
      <w:pPr>
        <w:spacing w:after="80" w:line="252" w:lineRule="auto"/>
      </w:pPr>
      <w:r>
        <w:t>Magnetic survey-г дараах зорилгоор ашиглана.</w:t>
      </w:r>
    </w:p>
    <w:p>
      <w:pPr>
        <w:pStyle w:val="ListBullet"/>
        <w:spacing w:after="80" w:line="252" w:lineRule="auto"/>
      </w:pPr>
      <w:r>
        <w:t>Intrusive body тодруулах</w:t>
      </w:r>
    </w:p>
    <w:p>
      <w:pPr>
        <w:pStyle w:val="ListBullet"/>
        <w:spacing w:after="80" w:line="252" w:lineRule="auto"/>
      </w:pPr>
      <w:r>
        <w:t>Mafic unit ялгах</w:t>
      </w:r>
    </w:p>
    <w:p>
      <w:pPr>
        <w:pStyle w:val="ListBullet"/>
        <w:spacing w:after="80" w:line="252" w:lineRule="auto"/>
      </w:pPr>
      <w:r>
        <w:t>Contact zone тодруулах</w:t>
      </w:r>
    </w:p>
    <w:p>
      <w:pPr>
        <w:pStyle w:val="ListBullet"/>
        <w:spacing w:after="80" w:line="252" w:lineRule="auto"/>
      </w:pPr>
      <w:r>
        <w:t>Fault / structure trace баталгаажуулах</w:t>
      </w:r>
    </w:p>
    <w:p>
      <w:pPr>
        <w:pStyle w:val="ListBullet"/>
        <w:spacing w:after="80" w:line="252" w:lineRule="auto"/>
      </w:pPr>
      <w:r>
        <w:t>Skarn, magnetite-bearing alteration, mafic-ultramafic холбоотой target шалгах</w:t>
      </w:r>
    </w:p>
    <w:p>
      <w:pPr>
        <w:pStyle w:val="ListBullet"/>
        <w:spacing w:after="80" w:line="252" w:lineRule="auto"/>
      </w:pPr>
      <w:r>
        <w:t>Геологийн зураглалын uncertainty бууруулах</w:t>
      </w:r>
    </w:p>
    <w:p>
      <w:pPr>
        <w:pStyle w:val="Heading2"/>
        <w:spacing w:after="80" w:line="252" w:lineRule="auto"/>
      </w:pPr>
      <w:r>
        <w:t>8.2 Magnetic line төлөвлөх алхам</w:t>
      </w:r>
    </w:p>
    <w:p>
      <w:pPr>
        <w:pStyle w:val="ListNumber"/>
        <w:spacing w:after="80" w:line="252" w:lineRule="auto"/>
      </w:pPr>
      <w:r>
        <w:t>Geology map, structure map, DEM, target layer-ийг нээнэ.</w:t>
      </w:r>
    </w:p>
    <w:p>
      <w:pPr>
        <w:pStyle w:val="ListNumber"/>
        <w:spacing w:after="80" w:line="252" w:lineRule="auto"/>
      </w:pPr>
      <w:r>
        <w:t>Intrusive/contact/mafic unit байгаа эсэхийг шалгана.</w:t>
      </w:r>
    </w:p>
    <w:p>
      <w:pPr>
        <w:pStyle w:val="ListNumber"/>
        <w:spacing w:after="80" w:line="252" w:lineRule="auto"/>
      </w:pPr>
      <w:r>
        <w:t>Line-уудыг structure болон contact-ийг огтолж гарахаар төлөвлөнө.</w:t>
      </w:r>
    </w:p>
    <w:p>
      <w:pPr>
        <w:pStyle w:val="ListNumber"/>
        <w:spacing w:after="80" w:line="252" w:lineRule="auto"/>
      </w:pPr>
      <w:r>
        <w:t>Survey area-г polygon хэлбэрээр тодорхойлно.</w:t>
      </w:r>
    </w:p>
    <w:p>
      <w:pPr>
        <w:pStyle w:val="ListNumber"/>
        <w:spacing w:after="80" w:line="252" w:lineRule="auto"/>
      </w:pPr>
      <w:r>
        <w:t>Line spacing болон reading interval тогтооно.</w:t>
      </w:r>
    </w:p>
    <w:p>
      <w:pPr>
        <w:pStyle w:val="ListNumber"/>
        <w:spacing w:after="80" w:line="252" w:lineRule="auto"/>
      </w:pPr>
      <w:r>
        <w:t>Base station байрлуулах боломжийг шалгана.</w:t>
      </w:r>
    </w:p>
    <w:p>
      <w:pPr>
        <w:pStyle w:val="ListNumber"/>
        <w:spacing w:after="80" w:line="252" w:lineRule="auto"/>
      </w:pPr>
      <w:r>
        <w:t>Өдөр тутмын survey capacity-г тооцно.</w:t>
      </w:r>
    </w:p>
    <w:p>
      <w:pPr>
        <w:pStyle w:val="Heading2"/>
        <w:spacing w:after="80" w:line="252" w:lineRule="auto"/>
      </w:pPr>
      <w:r>
        <w:t>8.3 Magnetic survey table</w:t>
      </w:r>
    </w:p>
    <w:p>
      <w:pPr>
        <w:pStyle w:val="ListBullet"/>
        <w:spacing w:after="80" w:line="252" w:lineRule="auto"/>
      </w:pPr>
      <w:r>
        <w:t>Survey block ID</w:t>
      </w:r>
    </w:p>
    <w:p>
      <w:pPr>
        <w:pStyle w:val="ListBullet"/>
        <w:spacing w:after="80" w:line="252" w:lineRule="auto"/>
      </w:pPr>
      <w:r>
        <w:t>Target ID</w:t>
      </w:r>
    </w:p>
    <w:p>
      <w:pPr>
        <w:pStyle w:val="ListBullet"/>
        <w:spacing w:after="80" w:line="252" w:lineRule="auto"/>
      </w:pPr>
      <w:r>
        <w:t>Line ID</w:t>
      </w:r>
    </w:p>
    <w:p>
      <w:pPr>
        <w:pStyle w:val="ListBullet"/>
        <w:spacing w:after="80" w:line="252" w:lineRule="auto"/>
      </w:pPr>
      <w:r>
        <w:t>Start coordinate</w:t>
      </w:r>
    </w:p>
    <w:p>
      <w:pPr>
        <w:pStyle w:val="ListBullet"/>
        <w:spacing w:after="80" w:line="252" w:lineRule="auto"/>
      </w:pPr>
      <w:r>
        <w:t>End coordinate</w:t>
      </w:r>
    </w:p>
    <w:p>
      <w:pPr>
        <w:pStyle w:val="ListBullet"/>
        <w:spacing w:after="80" w:line="252" w:lineRule="auto"/>
      </w:pPr>
      <w:r>
        <w:t>Line length</w:t>
      </w:r>
    </w:p>
    <w:p>
      <w:pPr>
        <w:pStyle w:val="ListBullet"/>
        <w:spacing w:after="80" w:line="252" w:lineRule="auto"/>
      </w:pPr>
      <w:r>
        <w:t>Line spacing</w:t>
      </w:r>
    </w:p>
    <w:p>
      <w:pPr>
        <w:pStyle w:val="ListBullet"/>
        <w:spacing w:after="80" w:line="252" w:lineRule="auto"/>
      </w:pPr>
      <w:r>
        <w:t>Reading interval</w:t>
      </w:r>
    </w:p>
    <w:p>
      <w:pPr>
        <w:pStyle w:val="ListBullet"/>
        <w:spacing w:after="80" w:line="252" w:lineRule="auto"/>
      </w:pPr>
      <w:r>
        <w:t>Expected geological target</w:t>
      </w:r>
    </w:p>
    <w:p>
      <w:pPr>
        <w:pStyle w:val="ListBullet"/>
        <w:spacing w:after="80" w:line="252" w:lineRule="auto"/>
      </w:pPr>
      <w:r>
        <w:t>Base station location</w:t>
      </w:r>
    </w:p>
    <w:p>
      <w:pPr>
        <w:pStyle w:val="ListBullet"/>
        <w:spacing w:after="80" w:line="252" w:lineRule="auto"/>
      </w:pPr>
      <w:r>
        <w:t>Access condition</w:t>
      </w:r>
    </w:p>
    <w:p>
      <w:pPr>
        <w:pStyle w:val="ListBullet"/>
        <w:spacing w:after="80" w:line="252" w:lineRule="auto"/>
      </w:pPr>
      <w:r>
        <w:t>HSE risk</w:t>
      </w:r>
    </w:p>
    <w:p>
      <w:pPr>
        <w:pStyle w:val="ListBullet"/>
        <w:spacing w:after="80" w:line="252" w:lineRule="auto"/>
      </w:pPr>
      <w:r>
        <w:t>Priority</w:t>
      </w:r>
    </w:p>
    <w:p>
      <w:pPr>
        <w:pStyle w:val="ListBullet"/>
        <w:spacing w:after="80" w:line="252" w:lineRule="auto"/>
      </w:pPr>
      <w:r>
        <w:t>Reviewer</w:t>
      </w:r>
    </w:p>
    <w:p>
      <w:pPr>
        <w:pStyle w:val="ListBullet"/>
        <w:spacing w:after="80" w:line="252" w:lineRule="auto"/>
      </w:pPr>
      <w:r>
        <w:t>Decision</w:t>
      </w:r>
    </w:p>
    <w:p>
      <w:pPr>
        <w:pStyle w:val="Heading1"/>
        <w:spacing w:after="80" w:line="252" w:lineRule="auto"/>
      </w:pPr>
      <w:r>
        <w:t>9. Infill soil sampling planning хийх заавар</w:t>
      </w:r>
    </w:p>
    <w:p>
      <w:pPr>
        <w:pStyle w:val="Heading2"/>
        <w:spacing w:after="80" w:line="252" w:lineRule="auto"/>
      </w:pPr>
      <w:r>
        <w:t>9.1 Infill soil хийх нөхцөл</w:t>
      </w:r>
    </w:p>
    <w:p>
      <w:pPr>
        <w:spacing w:after="80" w:line="252" w:lineRule="auto"/>
      </w:pPr>
      <w:r>
        <w:t>Infill soil sampling-г дараах үед хийнэ.</w:t>
      </w:r>
    </w:p>
    <w:p>
      <w:pPr>
        <w:pStyle w:val="ListBullet"/>
        <w:spacing w:after="80" w:line="252" w:lineRule="auto"/>
      </w:pPr>
      <w:r>
        <w:t>Өмнөх soil anomaly open-ended байгаа</w:t>
      </w:r>
    </w:p>
    <w:p>
      <w:pPr>
        <w:pStyle w:val="ListBullet"/>
        <w:spacing w:after="80" w:line="252" w:lineRule="auto"/>
      </w:pPr>
      <w:r>
        <w:t>Anomaly-ийн boundary тодорхойгүй</w:t>
      </w:r>
    </w:p>
    <w:p>
      <w:pPr>
        <w:pStyle w:val="ListBullet"/>
        <w:spacing w:after="80" w:line="252" w:lineRule="auto"/>
      </w:pPr>
      <w:r>
        <w:t>Line spacing хэт өргөн</w:t>
      </w:r>
    </w:p>
    <w:p>
      <w:pPr>
        <w:pStyle w:val="ListBullet"/>
        <w:spacing w:after="80" w:line="252" w:lineRule="auto"/>
      </w:pPr>
      <w:r>
        <w:t>Transported cover байж болзошгүй</w:t>
      </w:r>
    </w:p>
    <w:p>
      <w:pPr>
        <w:pStyle w:val="ListBullet"/>
        <w:spacing w:after="80" w:line="252" w:lineRule="auto"/>
      </w:pPr>
      <w:r>
        <w:t>Anomaly confidence бага</w:t>
      </w:r>
    </w:p>
    <w:p>
      <w:pPr>
        <w:pStyle w:val="ListBullet"/>
        <w:spacing w:after="80" w:line="252" w:lineRule="auto"/>
      </w:pPr>
      <w:r>
        <w:t>Trench эсвэл drilling хийхээс өмнө anomaly-г нарийвчлах шаардлагатай</w:t>
      </w:r>
    </w:p>
    <w:p>
      <w:pPr>
        <w:pStyle w:val="Heading2"/>
        <w:spacing w:after="80" w:line="252" w:lineRule="auto"/>
      </w:pPr>
      <w:r>
        <w:t>9.2 Infill grid төлөвлөх</w:t>
      </w:r>
    </w:p>
    <w:p>
      <w:pPr>
        <w:pStyle w:val="ListNumber"/>
        <w:spacing w:after="80" w:line="252" w:lineRule="auto"/>
      </w:pPr>
      <w:r>
        <w:t>Existing soil sample point layer-ийг нээнэ.</w:t>
      </w:r>
    </w:p>
    <w:p>
      <w:pPr>
        <w:pStyle w:val="ListNumber"/>
        <w:spacing w:after="80" w:line="252" w:lineRule="auto"/>
      </w:pPr>
      <w:r>
        <w:t>Anomaly map-ийг хамтад нь харна.</w:t>
      </w:r>
    </w:p>
    <w:p>
      <w:pPr>
        <w:pStyle w:val="ListNumber"/>
        <w:spacing w:after="80" w:line="252" w:lineRule="auto"/>
      </w:pPr>
      <w:r>
        <w:t>Open-ended anomaly чиглэлийг тодорхойлно.</w:t>
      </w:r>
    </w:p>
    <w:p>
      <w:pPr>
        <w:pStyle w:val="ListNumber"/>
        <w:spacing w:after="80" w:line="252" w:lineRule="auto"/>
      </w:pPr>
      <w:r>
        <w:t>Шинэ дээж авах шугам, цэгийг төлөвлөнө.</w:t>
      </w:r>
    </w:p>
    <w:p>
      <w:pPr>
        <w:pStyle w:val="ListNumber"/>
        <w:spacing w:after="80" w:line="252" w:lineRule="auto"/>
      </w:pPr>
      <w:r>
        <w:t>Өмнөх grid-тэй нийцсэн spacing сонгоно.</w:t>
      </w:r>
    </w:p>
    <w:p>
      <w:pPr>
        <w:pStyle w:val="ListNumber"/>
        <w:spacing w:after="80" w:line="252" w:lineRule="auto"/>
      </w:pPr>
      <w:r>
        <w:t>Drainage, slope, access, private/restricted area шалгана.</w:t>
      </w:r>
    </w:p>
    <w:p>
      <w:pPr>
        <w:pStyle w:val="ListNumber"/>
        <w:spacing w:after="80" w:line="252" w:lineRule="auto"/>
      </w:pPr>
      <w:r>
        <w:t>Давхардсан sample ID гарахгүй байхаар бүртгэнэ.</w:t>
      </w:r>
    </w:p>
    <w:p>
      <w:pPr>
        <w:pStyle w:val="Heading2"/>
        <w:spacing w:after="80" w:line="252" w:lineRule="auto"/>
      </w:pPr>
      <w:r>
        <w:t>9.3 Sample point attribute</w:t>
      </w:r>
    </w:p>
    <w:p>
      <w:pPr>
        <w:pStyle w:val="ListBullet"/>
        <w:spacing w:after="80" w:line="252" w:lineRule="auto"/>
      </w:pPr>
      <w:r>
        <w:t>Sample ID</w:t>
      </w:r>
    </w:p>
    <w:p>
      <w:pPr>
        <w:pStyle w:val="ListBullet"/>
        <w:spacing w:after="80" w:line="252" w:lineRule="auto"/>
      </w:pPr>
      <w:r>
        <w:t>Target ID</w:t>
      </w:r>
    </w:p>
    <w:p>
      <w:pPr>
        <w:pStyle w:val="ListBullet"/>
        <w:spacing w:after="80" w:line="252" w:lineRule="auto"/>
      </w:pPr>
      <w:r>
        <w:t>Easting</w:t>
      </w:r>
    </w:p>
    <w:p>
      <w:pPr>
        <w:pStyle w:val="ListBullet"/>
        <w:spacing w:after="80" w:line="252" w:lineRule="auto"/>
      </w:pPr>
      <w:r>
        <w:t>Northing</w:t>
      </w:r>
    </w:p>
    <w:p>
      <w:pPr>
        <w:pStyle w:val="ListBullet"/>
        <w:spacing w:after="80" w:line="252" w:lineRule="auto"/>
      </w:pPr>
      <w:r>
        <w:t>Sample type</w:t>
      </w:r>
    </w:p>
    <w:p>
      <w:pPr>
        <w:pStyle w:val="ListBullet"/>
        <w:spacing w:after="80" w:line="252" w:lineRule="auto"/>
      </w:pPr>
      <w:r>
        <w:t>Grid line</w:t>
      </w:r>
    </w:p>
    <w:p>
      <w:pPr>
        <w:pStyle w:val="ListBullet"/>
        <w:spacing w:after="80" w:line="252" w:lineRule="auto"/>
      </w:pPr>
      <w:r>
        <w:t>Spacing</w:t>
      </w:r>
    </w:p>
    <w:p>
      <w:pPr>
        <w:pStyle w:val="ListBullet"/>
        <w:spacing w:after="80" w:line="252" w:lineRule="auto"/>
      </w:pPr>
      <w:r>
        <w:t>Reason for infill</w:t>
      </w:r>
    </w:p>
    <w:p>
      <w:pPr>
        <w:pStyle w:val="ListBullet"/>
        <w:spacing w:after="80" w:line="252" w:lineRule="auto"/>
      </w:pPr>
      <w:r>
        <w:t>Expected anomaly</w:t>
      </w:r>
    </w:p>
    <w:p>
      <w:pPr>
        <w:pStyle w:val="ListBullet"/>
        <w:spacing w:after="80" w:line="252" w:lineRule="auto"/>
      </w:pPr>
      <w:r>
        <w:t>Access condition</w:t>
      </w:r>
    </w:p>
    <w:p>
      <w:pPr>
        <w:pStyle w:val="ListBullet"/>
        <w:spacing w:after="80" w:line="252" w:lineRule="auto"/>
      </w:pPr>
      <w:r>
        <w:t>Field status</w:t>
      </w:r>
    </w:p>
    <w:p>
      <w:pPr>
        <w:pStyle w:val="ListBullet"/>
        <w:spacing w:after="80" w:line="252" w:lineRule="auto"/>
      </w:pPr>
      <w:r>
        <w:t>Collected by</w:t>
      </w:r>
    </w:p>
    <w:p>
      <w:pPr>
        <w:pStyle w:val="ListBullet"/>
        <w:spacing w:after="80" w:line="252" w:lineRule="auto"/>
      </w:pPr>
      <w:r>
        <w:t>Date</w:t>
      </w:r>
    </w:p>
    <w:p>
      <w:pPr>
        <w:pStyle w:val="ListBullet"/>
        <w:spacing w:after="80" w:line="252" w:lineRule="auto"/>
      </w:pPr>
      <w:r>
        <w:t>QA/QC sample type</w:t>
      </w:r>
    </w:p>
    <w:p>
      <w:pPr>
        <w:pStyle w:val="ListBullet"/>
        <w:spacing w:after="80" w:line="252" w:lineRule="auto"/>
      </w:pPr>
      <w:r>
        <w:t>Reviewer</w:t>
      </w:r>
    </w:p>
    <w:p>
      <w:pPr>
        <w:pStyle w:val="Heading2"/>
        <w:spacing w:after="80" w:line="252" w:lineRule="auto"/>
      </w:pPr>
      <w:r>
        <w:t>9.4 QA/QC sample төлөвлөлт</w:t>
      </w:r>
    </w:p>
    <w:p>
      <w:pPr>
        <w:spacing w:after="80" w:line="252" w:lineRule="auto"/>
      </w:pPr>
      <w:r>
        <w:t>Infill soil sampling-д дараах QA/QC дээжүүдийг төлөвлөнө.</w:t>
      </w:r>
    </w:p>
    <w:p>
      <w:pPr>
        <w:pStyle w:val="ListBullet"/>
        <w:spacing w:after="80" w:line="252" w:lineRule="auto"/>
      </w:pPr>
      <w:r>
        <w:t>Field duplicate</w:t>
      </w:r>
    </w:p>
    <w:p>
      <w:pPr>
        <w:pStyle w:val="ListBullet"/>
        <w:spacing w:after="80" w:line="252" w:lineRule="auto"/>
      </w:pPr>
      <w:r>
        <w:t>Blank</w:t>
      </w:r>
    </w:p>
    <w:p>
      <w:pPr>
        <w:pStyle w:val="ListBullet"/>
        <w:spacing w:after="80" w:line="252" w:lineRule="auto"/>
      </w:pPr>
      <w:r>
        <w:t>Standard reference material</w:t>
      </w:r>
    </w:p>
    <w:p>
      <w:pPr>
        <w:pStyle w:val="ListBullet"/>
        <w:spacing w:after="80" w:line="252" w:lineRule="auto"/>
      </w:pPr>
      <w:r>
        <w:t>Repeat sample</w:t>
      </w:r>
    </w:p>
    <w:p>
      <w:pPr>
        <w:pStyle w:val="ListBullet"/>
        <w:spacing w:after="80" w:line="252" w:lineRule="auto"/>
      </w:pPr>
      <w:r>
        <w:t>Sample dispatch register</w:t>
      </w:r>
    </w:p>
    <w:p>
      <w:pPr>
        <w:spacing w:after="80" w:line="252" w:lineRule="auto"/>
      </w:pPr>
      <w:r>
        <w:t>QA/QC дээжийн хувь хэмжээг project-ийн стандартын дагуу тогтооно. Хэрэв тусгай стандарт байхгүй бол дотоод QA/QC протокол гаргаж мөрдөнө.</w:t>
      </w:r>
    </w:p>
    <w:p>
      <w:pPr>
        <w:pStyle w:val="Heading1"/>
        <w:spacing w:after="80" w:line="252" w:lineRule="auto"/>
      </w:pPr>
      <w:r>
        <w:t>10. Scout drilling төлөвлөх заавар</w:t>
      </w:r>
    </w:p>
    <w:p>
      <w:pPr>
        <w:pStyle w:val="Heading2"/>
        <w:spacing w:after="80" w:line="252" w:lineRule="auto"/>
      </w:pPr>
      <w:r>
        <w:t>10.1 Scout drilling хийх minimum criteria</w:t>
      </w:r>
    </w:p>
    <w:p>
      <w:pPr>
        <w:spacing w:after="80" w:line="252" w:lineRule="auto"/>
      </w:pPr>
      <w:r>
        <w:t>Scout drilling зөвшөөрөхөөс өмнө дараах бүх шалгуурыг хангана.</w:t>
      </w:r>
    </w:p>
    <w:p>
      <w:pPr>
        <w:pStyle w:val="ListBullet"/>
        <w:spacing w:after="80" w:line="252" w:lineRule="auto"/>
      </w:pPr>
      <w:r>
        <w:t>Гадаргын эрдэсжилт баталгаатай</w:t>
      </w:r>
    </w:p>
    <w:p>
      <w:pPr>
        <w:pStyle w:val="ListBullet"/>
        <w:spacing w:after="80" w:line="252" w:lineRule="auto"/>
      </w:pPr>
      <w:r>
        <w:t>Lab assay эсвэл XRF үр дүн дэмжиж байгаа</w:t>
      </w:r>
    </w:p>
    <w:p>
      <w:pPr>
        <w:pStyle w:val="ListBullet"/>
        <w:spacing w:after="80" w:line="252" w:lineRule="auto"/>
      </w:pPr>
      <w:r>
        <w:t>Structure баталгаажсан</w:t>
      </w:r>
    </w:p>
    <w:p>
      <w:pPr>
        <w:pStyle w:val="ListBullet"/>
        <w:spacing w:after="80" w:line="252" w:lineRule="auto"/>
      </w:pPr>
      <w:r>
        <w:t>Favorable geology/contact байгаа</w:t>
      </w:r>
    </w:p>
    <w:p>
      <w:pPr>
        <w:pStyle w:val="ListBullet"/>
        <w:spacing w:after="80" w:line="252" w:lineRule="auto"/>
      </w:pPr>
      <w:r>
        <w:t>Target geometry ойлгомжтой болсон</w:t>
      </w:r>
    </w:p>
    <w:p>
      <w:pPr>
        <w:pStyle w:val="ListBullet"/>
        <w:spacing w:after="80" w:line="252" w:lineRule="auto"/>
      </w:pPr>
      <w:r>
        <w:t>Access боломжтой</w:t>
      </w:r>
    </w:p>
    <w:p>
      <w:pPr>
        <w:pStyle w:val="ListBullet"/>
        <w:spacing w:after="80" w:line="252" w:lineRule="auto"/>
      </w:pPr>
      <w:r>
        <w:t>Drill pad байгуулах боломжтой</w:t>
      </w:r>
    </w:p>
    <w:p>
      <w:pPr>
        <w:pStyle w:val="ListBullet"/>
        <w:spacing w:after="80" w:line="252" w:lineRule="auto"/>
      </w:pPr>
      <w:r>
        <w:t>HSE нөхцөл хангагдсан</w:t>
      </w:r>
    </w:p>
    <w:p>
      <w:pPr>
        <w:pStyle w:val="ListBullet"/>
        <w:spacing w:after="80" w:line="252" w:lineRule="auto"/>
      </w:pPr>
      <w:r>
        <w:t>Trench/geophysics хийх шаардлагатай бол хийсэн эсвэл төлөвлөгдсөн</w:t>
      </w:r>
    </w:p>
    <w:p>
      <w:pPr>
        <w:pStyle w:val="ListBullet"/>
        <w:spacing w:after="80" w:line="252" w:lineRule="auto"/>
      </w:pPr>
      <w:r>
        <w:t>Permit, budget, schedule боломжтой</w:t>
      </w:r>
    </w:p>
    <w:p>
      <w:pPr>
        <w:pStyle w:val="Heading2"/>
        <w:spacing w:after="80" w:line="252" w:lineRule="auto"/>
      </w:pPr>
      <w:r>
        <w:t>10.2 Drill collar сонгох арга</w:t>
      </w:r>
    </w:p>
    <w:p>
      <w:pPr>
        <w:pStyle w:val="ListNumber"/>
        <w:spacing w:after="80" w:line="252" w:lineRule="auto"/>
      </w:pPr>
      <w:r>
        <w:t>Final target layer-ийг нээнэ.</w:t>
      </w:r>
    </w:p>
    <w:p>
      <w:pPr>
        <w:pStyle w:val="ListNumber"/>
        <w:spacing w:after="80" w:line="252" w:lineRule="auto"/>
      </w:pPr>
      <w:r>
        <w:t>Trench, IP, magnetic, soil anomaly layer-ийг давхар харуулна.</w:t>
      </w:r>
    </w:p>
    <w:p>
      <w:pPr>
        <w:pStyle w:val="ListNumber"/>
        <w:spacing w:after="80" w:line="252" w:lineRule="auto"/>
      </w:pPr>
      <w:r>
        <w:t>Target-ийн төв бус, харин geological control бүхий хэсгийг сонгоно.</w:t>
      </w:r>
    </w:p>
    <w:p>
      <w:pPr>
        <w:pStyle w:val="ListNumber"/>
        <w:spacing w:after="80" w:line="252" w:lineRule="auto"/>
      </w:pPr>
      <w:r>
        <w:t>Өрөмдлөгийн collar нь target-ийг зөв өнцгөөр огтлох байдлаар байрлана.</w:t>
      </w:r>
    </w:p>
    <w:p>
      <w:pPr>
        <w:pStyle w:val="ListNumber"/>
        <w:spacing w:after="80" w:line="252" w:lineRule="auto"/>
      </w:pPr>
      <w:r>
        <w:t>Azimuth болон dip нь structure/sudal/contact-ийг огтлох ёстой.</w:t>
      </w:r>
    </w:p>
    <w:p>
      <w:pPr>
        <w:pStyle w:val="ListNumber"/>
        <w:spacing w:after="80" w:line="252" w:lineRule="auto"/>
      </w:pPr>
      <w:r>
        <w:t>Collar location нь access, slope, pad, water, safety нөхцөл хангана.</w:t>
      </w:r>
    </w:p>
    <w:p>
      <w:pPr>
        <w:pStyle w:val="ListNumber"/>
        <w:spacing w:after="80" w:line="252" w:lineRule="auto"/>
      </w:pPr>
      <w:r>
        <w:t>Drill depth нь target depth estimate дээр үндэслэнэ.</w:t>
      </w:r>
    </w:p>
    <w:p>
      <w:pPr>
        <w:pStyle w:val="ListNumber"/>
        <w:spacing w:after="80" w:line="252" w:lineRule="auto"/>
      </w:pPr>
      <w:r>
        <w:t>Хэт урт, тодорхой бус, зөвхөн таамагласан цооног төлөвлөхөөс зайлсхий.</w:t>
      </w:r>
    </w:p>
    <w:p>
      <w:pPr>
        <w:pStyle w:val="Heading2"/>
        <w:spacing w:after="80" w:line="252" w:lineRule="auto"/>
      </w:pPr>
      <w:r>
        <w:t>10.3 Drill collar table</w:t>
      </w:r>
    </w:p>
    <w:p>
      <w:pPr>
        <w:spacing w:after="80" w:line="252" w:lineRule="auto"/>
      </w:pPr>
      <w:r>
        <w:t>Доорх багануудыг Excel дээр заавал үүсгэнэ.</w:t>
      </w:r>
    </w:p>
    <w:p>
      <w:pPr>
        <w:pStyle w:val="ListBullet"/>
        <w:spacing w:after="80" w:line="252" w:lineRule="auto"/>
      </w:pPr>
      <w:r>
        <w:t>Drill hole ID</w:t>
      </w:r>
    </w:p>
    <w:p>
      <w:pPr>
        <w:pStyle w:val="ListBullet"/>
        <w:spacing w:after="80" w:line="252" w:lineRule="auto"/>
      </w:pPr>
      <w:r>
        <w:t>Target ID</w:t>
      </w:r>
    </w:p>
    <w:p>
      <w:pPr>
        <w:pStyle w:val="ListBullet"/>
        <w:spacing w:after="80" w:line="252" w:lineRule="auto"/>
      </w:pPr>
      <w:r>
        <w:t>Easting</w:t>
      </w:r>
    </w:p>
    <w:p>
      <w:pPr>
        <w:pStyle w:val="ListBullet"/>
        <w:spacing w:after="80" w:line="252" w:lineRule="auto"/>
      </w:pPr>
      <w:r>
        <w:t>Northing</w:t>
      </w:r>
    </w:p>
    <w:p>
      <w:pPr>
        <w:pStyle w:val="ListBullet"/>
        <w:spacing w:after="80" w:line="252" w:lineRule="auto"/>
      </w:pPr>
      <w:r>
        <w:t>RL / elevation</w:t>
      </w:r>
    </w:p>
    <w:p>
      <w:pPr>
        <w:pStyle w:val="ListBullet"/>
        <w:spacing w:after="80" w:line="252" w:lineRule="auto"/>
      </w:pPr>
      <w:r>
        <w:t>Azimuth</w:t>
      </w:r>
    </w:p>
    <w:p>
      <w:pPr>
        <w:pStyle w:val="ListBullet"/>
        <w:spacing w:after="80" w:line="252" w:lineRule="auto"/>
      </w:pPr>
      <w:r>
        <w:t>Dip</w:t>
      </w:r>
    </w:p>
    <w:p>
      <w:pPr>
        <w:pStyle w:val="ListBullet"/>
        <w:spacing w:after="80" w:line="252" w:lineRule="auto"/>
      </w:pPr>
      <w:r>
        <w:t>Planned depth</w:t>
      </w:r>
    </w:p>
    <w:p>
      <w:pPr>
        <w:pStyle w:val="ListBullet"/>
        <w:spacing w:after="80" w:line="252" w:lineRule="auto"/>
      </w:pPr>
      <w:r>
        <w:t>Target type</w:t>
      </w:r>
    </w:p>
    <w:p>
      <w:pPr>
        <w:pStyle w:val="ListBullet"/>
        <w:spacing w:after="80" w:line="252" w:lineRule="auto"/>
      </w:pPr>
      <w:r>
        <w:t>Target rationale</w:t>
      </w:r>
    </w:p>
    <w:p>
      <w:pPr>
        <w:pStyle w:val="ListBullet"/>
        <w:spacing w:after="80" w:line="252" w:lineRule="auto"/>
      </w:pPr>
      <w:r>
        <w:t>Expected geology</w:t>
      </w:r>
    </w:p>
    <w:p>
      <w:pPr>
        <w:pStyle w:val="ListBullet"/>
        <w:spacing w:after="80" w:line="252" w:lineRule="auto"/>
      </w:pPr>
      <w:r>
        <w:t>Expected mineralization</w:t>
      </w:r>
    </w:p>
    <w:p>
      <w:pPr>
        <w:pStyle w:val="ListBullet"/>
        <w:spacing w:after="80" w:line="252" w:lineRule="auto"/>
      </w:pPr>
      <w:r>
        <w:t>Section line</w:t>
      </w:r>
    </w:p>
    <w:p>
      <w:pPr>
        <w:pStyle w:val="ListBullet"/>
        <w:spacing w:after="80" w:line="252" w:lineRule="auto"/>
      </w:pPr>
      <w:r>
        <w:t>Access condition</w:t>
      </w:r>
    </w:p>
    <w:p>
      <w:pPr>
        <w:pStyle w:val="ListBullet"/>
        <w:spacing w:after="80" w:line="252" w:lineRule="auto"/>
      </w:pPr>
      <w:r>
        <w:t>Drill pad condition</w:t>
      </w:r>
    </w:p>
    <w:p>
      <w:pPr>
        <w:pStyle w:val="ListBullet"/>
        <w:spacing w:after="80" w:line="252" w:lineRule="auto"/>
      </w:pPr>
      <w:r>
        <w:t>Water source</w:t>
      </w:r>
    </w:p>
    <w:p>
      <w:pPr>
        <w:pStyle w:val="ListBullet"/>
        <w:spacing w:after="80" w:line="252" w:lineRule="auto"/>
      </w:pPr>
      <w:r>
        <w:t>HSE risk</w:t>
      </w:r>
    </w:p>
    <w:p>
      <w:pPr>
        <w:pStyle w:val="ListBullet"/>
        <w:spacing w:after="80" w:line="252" w:lineRule="auto"/>
      </w:pPr>
      <w:r>
        <w:t>Permit status</w:t>
      </w:r>
    </w:p>
    <w:p>
      <w:pPr>
        <w:pStyle w:val="ListBullet"/>
        <w:spacing w:after="80" w:line="252" w:lineRule="auto"/>
      </w:pPr>
      <w:r>
        <w:t>Rehabilitation plan</w:t>
      </w:r>
    </w:p>
    <w:p>
      <w:pPr>
        <w:pStyle w:val="ListBullet"/>
        <w:spacing w:after="80" w:line="252" w:lineRule="auto"/>
      </w:pPr>
      <w:r>
        <w:t>Estimated cost</w:t>
      </w:r>
    </w:p>
    <w:p>
      <w:pPr>
        <w:pStyle w:val="ListBullet"/>
        <w:spacing w:after="80" w:line="252" w:lineRule="auto"/>
      </w:pPr>
      <w:r>
        <w:t>Priority</w:t>
      </w:r>
    </w:p>
    <w:p>
      <w:pPr>
        <w:pStyle w:val="ListBullet"/>
        <w:spacing w:after="80" w:line="252" w:lineRule="auto"/>
      </w:pPr>
      <w:r>
        <w:t>Reviewer</w:t>
      </w:r>
    </w:p>
    <w:p>
      <w:pPr>
        <w:pStyle w:val="ListBullet"/>
        <w:spacing w:after="80" w:line="252" w:lineRule="auto"/>
      </w:pPr>
      <w:r>
        <w:t>Decision</w:t>
      </w:r>
    </w:p>
    <w:p>
      <w:pPr>
        <w:spacing w:after="80" w:line="252" w:lineRule="auto"/>
      </w:pPr>
      <w:r>
        <w:t>Жишээ ID:</w:t>
      </w:r>
    </w:p>
    <w:p>
      <w:pPr>
        <w:pStyle w:val="CodeBlock"/>
        <w:spacing w:after="80" w:line="252" w:lineRule="auto"/>
      </w:pPr>
      <w:r>
        <w:t>SC-01</w:t>
      </w:r>
    </w:p>
    <w:p>
      <w:pPr>
        <w:pStyle w:val="CodeBlock"/>
        <w:spacing w:after="80" w:line="252" w:lineRule="auto"/>
      </w:pPr>
      <w:r>
        <w:t>SC-02</w:t>
      </w:r>
    </w:p>
    <w:p>
      <w:pPr>
        <w:pStyle w:val="CodeBlock"/>
        <w:spacing w:after="80" w:line="252" w:lineRule="auto"/>
      </w:pPr>
      <w:r>
        <w:t>SC-03</w:t>
      </w:r>
    </w:p>
    <w:p>
      <w:pPr>
        <w:spacing w:after="80" w:line="252" w:lineRule="auto"/>
      </w:pPr>
    </w:p>
    <w:p>
      <w:pPr>
        <w:pStyle w:val="Heading2"/>
        <w:spacing w:after="80" w:line="252" w:lineRule="auto"/>
      </w:pPr>
      <w:r>
        <w:t>10.4 Drill section хийх</w:t>
      </w:r>
    </w:p>
    <w:p>
      <w:pPr>
        <w:pStyle w:val="ListBullet"/>
        <w:spacing w:after="80" w:line="252" w:lineRule="auto"/>
      </w:pPr>
      <w:r>
        <w:t>Scout drill бүр дээр section line зурна.</w:t>
      </w:r>
    </w:p>
    <w:p>
      <w:pPr>
        <w:pStyle w:val="ListBullet"/>
        <w:spacing w:after="80" w:line="252" w:lineRule="auto"/>
      </w:pPr>
      <w:r>
        <w:t>Section нь drill azimuth чиглэлтэй нийцсэн байна.</w:t>
      </w:r>
    </w:p>
    <w:p>
      <w:pPr>
        <w:pStyle w:val="ListBullet"/>
        <w:spacing w:after="80" w:line="252" w:lineRule="auto"/>
      </w:pPr>
      <w:r>
        <w:t>Geology, structure, mineralization, trench, geophysics anomaly-г section дээр оруулна.</w:t>
      </w:r>
    </w:p>
    <w:p>
      <w:pPr>
        <w:pStyle w:val="ListBullet"/>
        <w:spacing w:after="80" w:line="252" w:lineRule="auto"/>
      </w:pPr>
      <w:r>
        <w:t>Target intercept estimate тэмдэглэнэ.</w:t>
      </w:r>
    </w:p>
    <w:p>
      <w:pPr>
        <w:pStyle w:val="ListBullet"/>
        <w:spacing w:after="80" w:line="252" w:lineRule="auto"/>
      </w:pPr>
      <w:r>
        <w:t>Planned drill trace зурна.</w:t>
      </w:r>
    </w:p>
    <w:p>
      <w:pPr>
        <w:pStyle w:val="ListBullet"/>
        <w:spacing w:after="80" w:line="252" w:lineRule="auto"/>
      </w:pPr>
      <w:r>
        <w:t>Uncertainty-г тэмдэглэнэ.</w:t>
      </w:r>
    </w:p>
    <w:p>
      <w:pPr>
        <w:pStyle w:val="Heading1"/>
        <w:spacing w:after="80" w:line="252" w:lineRule="auto"/>
      </w:pPr>
      <w:r>
        <w:t>11. HSE, access, environment, rehabilitation шалгах заавар</w:t>
      </w:r>
    </w:p>
    <w:p>
      <w:pPr>
        <w:pStyle w:val="Heading2"/>
        <w:spacing w:after="80" w:line="252" w:lineRule="auto"/>
      </w:pPr>
      <w:r>
        <w:t>11.1 Access шалгалт</w:t>
      </w:r>
    </w:p>
    <w:p>
      <w:pPr>
        <w:spacing w:after="80" w:line="252" w:lineRule="auto"/>
      </w:pPr>
      <w:r>
        <w:t>Тухайн trench, geophysics line, drill collar бүр дээр дараахыг шалгана.</w:t>
      </w:r>
    </w:p>
    <w:p>
      <w:pPr>
        <w:pStyle w:val="ListBullet"/>
        <w:spacing w:after="80" w:line="252" w:lineRule="auto"/>
      </w:pPr>
      <w:r>
        <w:t>Машин очих боломжтой эсэх</w:t>
      </w:r>
    </w:p>
    <w:p>
      <w:pPr>
        <w:pStyle w:val="ListBullet"/>
        <w:spacing w:after="80" w:line="252" w:lineRule="auto"/>
      </w:pPr>
      <w:r>
        <w:t>Зам шинээр гаргах шаардлагатай эсэх</w:t>
      </w:r>
    </w:p>
    <w:p>
      <w:pPr>
        <w:pStyle w:val="ListBullet"/>
        <w:spacing w:after="80" w:line="252" w:lineRule="auto"/>
      </w:pPr>
      <w:r>
        <w:t>Налуу хэт огцом эсэх</w:t>
      </w:r>
    </w:p>
    <w:p>
      <w:pPr>
        <w:pStyle w:val="ListBullet"/>
        <w:spacing w:after="80" w:line="252" w:lineRule="auto"/>
      </w:pPr>
      <w:r>
        <w:t>Гол, жалга, намаг, хад асга байгаа эсэх</w:t>
      </w:r>
    </w:p>
    <w:p>
      <w:pPr>
        <w:pStyle w:val="ListBullet"/>
        <w:spacing w:after="80" w:line="252" w:lineRule="auto"/>
      </w:pPr>
      <w:r>
        <w:t>Цаг агаарын улирлын нөлөө байгаа эсэх</w:t>
      </w:r>
    </w:p>
    <w:p>
      <w:pPr>
        <w:pStyle w:val="ListBullet"/>
        <w:spacing w:after="80" w:line="252" w:lineRule="auto"/>
      </w:pPr>
      <w:r>
        <w:t>Тоног төхөөрөмж оруулах боломжтой эсэх</w:t>
      </w:r>
    </w:p>
    <w:p>
      <w:pPr>
        <w:pStyle w:val="Heading2"/>
        <w:spacing w:after="80" w:line="252" w:lineRule="auto"/>
      </w:pPr>
      <w:r>
        <w:t>11.2 HSE шалгалт</w:t>
      </w:r>
    </w:p>
    <w:p>
      <w:pPr>
        <w:pStyle w:val="ListBullet"/>
        <w:spacing w:after="80" w:line="252" w:lineRule="auto"/>
      </w:pPr>
      <w:r>
        <w:t>Өндөр налуу</w:t>
      </w:r>
    </w:p>
    <w:p>
      <w:pPr>
        <w:pStyle w:val="ListBullet"/>
        <w:spacing w:after="80" w:line="252" w:lineRule="auto"/>
      </w:pPr>
      <w:r>
        <w:t>Хад асга</w:t>
      </w:r>
    </w:p>
    <w:p>
      <w:pPr>
        <w:pStyle w:val="ListBullet"/>
        <w:spacing w:after="80" w:line="252" w:lineRule="auto"/>
      </w:pPr>
      <w:r>
        <w:t>Гол ус</w:t>
      </w:r>
    </w:p>
    <w:p>
      <w:pPr>
        <w:pStyle w:val="ListBullet"/>
        <w:spacing w:after="80" w:line="252" w:lineRule="auto"/>
      </w:pPr>
      <w:r>
        <w:t>Малчин айл, суурин</w:t>
      </w:r>
    </w:p>
    <w:p>
      <w:pPr>
        <w:pStyle w:val="ListBullet"/>
        <w:spacing w:after="80" w:line="252" w:lineRule="auto"/>
      </w:pPr>
      <w:r>
        <w:t>Хуучин уурхай, нүх, ухаш</w:t>
      </w:r>
    </w:p>
    <w:p>
      <w:pPr>
        <w:pStyle w:val="ListBullet"/>
        <w:spacing w:after="80" w:line="252" w:lineRule="auto"/>
      </w:pPr>
      <w:r>
        <w:t>Цаг агаар</w:t>
      </w:r>
    </w:p>
    <w:p>
      <w:pPr>
        <w:pStyle w:val="ListBullet"/>
        <w:spacing w:after="80" w:line="252" w:lineRule="auto"/>
      </w:pPr>
      <w:r>
        <w:t>Холбоо барих боломж</w:t>
      </w:r>
    </w:p>
    <w:p>
      <w:pPr>
        <w:pStyle w:val="ListBullet"/>
        <w:spacing w:after="80" w:line="252" w:lineRule="auto"/>
      </w:pPr>
      <w:r>
        <w:t>Онцгой байдлын гарц</w:t>
      </w:r>
    </w:p>
    <w:p>
      <w:pPr>
        <w:pStyle w:val="ListBullet"/>
        <w:spacing w:after="80" w:line="252" w:lineRule="auto"/>
      </w:pPr>
      <w:r>
        <w:t>Анхны тусламжийн боломж</w:t>
      </w:r>
    </w:p>
    <w:p>
      <w:pPr>
        <w:pStyle w:val="Heading2"/>
        <w:spacing w:after="80" w:line="252" w:lineRule="auto"/>
      </w:pPr>
      <w:r>
        <w:t>11.3 Environment шалгалт</w:t>
      </w:r>
    </w:p>
    <w:p>
      <w:pPr>
        <w:pStyle w:val="ListBullet"/>
        <w:spacing w:after="80" w:line="252" w:lineRule="auto"/>
      </w:pPr>
      <w:r>
        <w:t>Ургамлын бүрхэвч</w:t>
      </w:r>
    </w:p>
    <w:p>
      <w:pPr>
        <w:pStyle w:val="ListBullet"/>
        <w:spacing w:after="80" w:line="252" w:lineRule="auto"/>
      </w:pPr>
      <w:r>
        <w:t>Гол горхи</w:t>
      </w:r>
    </w:p>
    <w:p>
      <w:pPr>
        <w:pStyle w:val="ListBullet"/>
        <w:spacing w:after="80" w:line="252" w:lineRule="auto"/>
      </w:pPr>
      <w:r>
        <w:t>Соёлын өв байж болох газар</w:t>
      </w:r>
    </w:p>
    <w:p>
      <w:pPr>
        <w:pStyle w:val="ListBullet"/>
        <w:spacing w:after="80" w:line="252" w:lineRule="auto"/>
      </w:pPr>
      <w:r>
        <w:t>Тусгай хамгаалалттай газар</w:t>
      </w:r>
    </w:p>
    <w:p>
      <w:pPr>
        <w:pStyle w:val="ListBullet"/>
        <w:spacing w:after="80" w:line="252" w:lineRule="auto"/>
      </w:pPr>
      <w:r>
        <w:t>Малын бэлчээр</w:t>
      </w:r>
    </w:p>
    <w:p>
      <w:pPr>
        <w:pStyle w:val="ListBullet"/>
        <w:spacing w:after="80" w:line="252" w:lineRule="auto"/>
      </w:pPr>
      <w:r>
        <w:t>Хөрсний эвдрэл</w:t>
      </w:r>
    </w:p>
    <w:p>
      <w:pPr>
        <w:pStyle w:val="ListBullet"/>
        <w:spacing w:after="80" w:line="252" w:lineRule="auto"/>
      </w:pPr>
      <w:r>
        <w:t>Нөхөн сэргээлтийн боломж</w:t>
      </w:r>
    </w:p>
    <w:p>
      <w:pPr>
        <w:pStyle w:val="Heading2"/>
        <w:spacing w:after="80" w:line="252" w:lineRule="auto"/>
      </w:pPr>
      <w:r>
        <w:t>11.4 Rehabilitation төлөвлөгөө</w:t>
      </w:r>
    </w:p>
    <w:p>
      <w:pPr>
        <w:pStyle w:val="ListBullet"/>
        <w:spacing w:after="80" w:line="252" w:lineRule="auto"/>
      </w:pPr>
      <w:r>
        <w:t>Trench бөглөх арга</w:t>
      </w:r>
    </w:p>
    <w:p>
      <w:pPr>
        <w:pStyle w:val="ListBullet"/>
        <w:spacing w:after="80" w:line="252" w:lineRule="auto"/>
      </w:pPr>
      <w:r>
        <w:t>Topsoil тусад нь хадгалах</w:t>
      </w:r>
    </w:p>
    <w:p>
      <w:pPr>
        <w:pStyle w:val="ListBullet"/>
        <w:spacing w:after="80" w:line="252" w:lineRule="auto"/>
      </w:pPr>
      <w:r>
        <w:t>Drill pad цэвэрлэх</w:t>
      </w:r>
    </w:p>
    <w:p>
      <w:pPr>
        <w:pStyle w:val="ListBullet"/>
        <w:spacing w:after="80" w:line="252" w:lineRule="auto"/>
      </w:pPr>
      <w:r>
        <w:t>Шинэ замын мөрийг багасгах</w:t>
      </w:r>
    </w:p>
    <w:p>
      <w:pPr>
        <w:pStyle w:val="ListBullet"/>
        <w:spacing w:after="80" w:line="252" w:lineRule="auto"/>
      </w:pPr>
      <w:r>
        <w:t>Хог хаягдал буцаан тээвэрлэх</w:t>
      </w:r>
    </w:p>
    <w:p>
      <w:pPr>
        <w:pStyle w:val="ListBullet"/>
        <w:spacing w:after="80" w:line="252" w:lineRule="auto"/>
      </w:pPr>
      <w:r>
        <w:t>Фото баримтжуулалт хийх</w:t>
      </w:r>
    </w:p>
    <w:p>
      <w:pPr>
        <w:pStyle w:val="ListBullet"/>
        <w:spacing w:after="80" w:line="252" w:lineRule="auto"/>
      </w:pPr>
      <w:r>
        <w:t>Before/after photo хадгалах</w:t>
      </w:r>
    </w:p>
    <w:p>
      <w:pPr>
        <w:pStyle w:val="Heading1"/>
        <w:spacing w:after="80" w:line="252" w:lineRule="auto"/>
      </w:pPr>
      <w:r>
        <w:t>12. Төсөв, зөвшөөрөл, schedule боловсруулах</w:t>
      </w:r>
    </w:p>
    <w:p>
      <w:pPr>
        <w:pStyle w:val="Heading2"/>
        <w:spacing w:after="80" w:line="252" w:lineRule="auto"/>
      </w:pPr>
      <w:r>
        <w:t>12.1 Төсөвт оруулах зүйл</w:t>
      </w:r>
    </w:p>
    <w:p>
      <w:pPr>
        <w:pStyle w:val="ListBullet"/>
        <w:spacing w:after="80" w:line="252" w:lineRule="auto"/>
      </w:pPr>
      <w:r>
        <w:t>Trench excavation cost</w:t>
      </w:r>
    </w:p>
    <w:p>
      <w:pPr>
        <w:pStyle w:val="ListBullet"/>
        <w:spacing w:after="80" w:line="252" w:lineRule="auto"/>
      </w:pPr>
      <w:r>
        <w:t>Channel sampling cost</w:t>
      </w:r>
    </w:p>
    <w:p>
      <w:pPr>
        <w:pStyle w:val="ListBullet"/>
        <w:spacing w:after="80" w:line="252" w:lineRule="auto"/>
      </w:pPr>
      <w:r>
        <w:t>IP/resistivity survey cost</w:t>
      </w:r>
    </w:p>
    <w:p>
      <w:pPr>
        <w:pStyle w:val="ListBullet"/>
        <w:spacing w:after="80" w:line="252" w:lineRule="auto"/>
      </w:pPr>
      <w:r>
        <w:t>Magnetic survey cost</w:t>
      </w:r>
    </w:p>
    <w:p>
      <w:pPr>
        <w:pStyle w:val="ListBullet"/>
        <w:spacing w:after="80" w:line="252" w:lineRule="auto"/>
      </w:pPr>
      <w:r>
        <w:t>Infill soil sampling cost</w:t>
      </w:r>
    </w:p>
    <w:p>
      <w:pPr>
        <w:pStyle w:val="ListBullet"/>
        <w:spacing w:after="80" w:line="252" w:lineRule="auto"/>
      </w:pPr>
      <w:r>
        <w:t>Scout drilling cost</w:t>
      </w:r>
    </w:p>
    <w:p>
      <w:pPr>
        <w:pStyle w:val="ListBullet"/>
        <w:spacing w:after="80" w:line="252" w:lineRule="auto"/>
      </w:pPr>
      <w:r>
        <w:t>Assay cost</w:t>
      </w:r>
    </w:p>
    <w:p>
      <w:pPr>
        <w:pStyle w:val="ListBullet"/>
        <w:spacing w:after="80" w:line="252" w:lineRule="auto"/>
      </w:pPr>
      <w:r>
        <w:t>Field camp cost</w:t>
      </w:r>
    </w:p>
    <w:p>
      <w:pPr>
        <w:pStyle w:val="ListBullet"/>
        <w:spacing w:after="80" w:line="252" w:lineRule="auto"/>
      </w:pPr>
      <w:r>
        <w:t>Vehicle/fuel cost</w:t>
      </w:r>
    </w:p>
    <w:p>
      <w:pPr>
        <w:pStyle w:val="ListBullet"/>
        <w:spacing w:after="80" w:line="252" w:lineRule="auto"/>
      </w:pPr>
      <w:r>
        <w:t>HSE cost</w:t>
      </w:r>
    </w:p>
    <w:p>
      <w:pPr>
        <w:pStyle w:val="ListBullet"/>
        <w:spacing w:after="80" w:line="252" w:lineRule="auto"/>
      </w:pPr>
      <w:r>
        <w:t>Rehabilitation cost</w:t>
      </w:r>
    </w:p>
    <w:p>
      <w:pPr>
        <w:pStyle w:val="ListBullet"/>
        <w:spacing w:after="80" w:line="252" w:lineRule="auto"/>
      </w:pPr>
      <w:r>
        <w:t>Permit cost</w:t>
      </w:r>
    </w:p>
    <w:p>
      <w:pPr>
        <w:pStyle w:val="ListBullet"/>
        <w:spacing w:after="80" w:line="252" w:lineRule="auto"/>
      </w:pPr>
      <w:r>
        <w:t>Contingency</w:t>
      </w:r>
    </w:p>
    <w:p>
      <w:pPr>
        <w:pStyle w:val="Heading2"/>
        <w:spacing w:after="80" w:line="252" w:lineRule="auto"/>
      </w:pPr>
      <w:r>
        <w:t>12.2 Schedule гаргах</w:t>
      </w:r>
    </w:p>
    <w:p>
      <w:pPr>
        <w:spacing w:after="80" w:line="252" w:lineRule="auto"/>
      </w:pPr>
      <w:r>
        <w:t>Ажлыг дараах дарааллаар төлөвлөнө.</w:t>
      </w:r>
    </w:p>
    <w:p>
      <w:pPr>
        <w:pStyle w:val="ListNumber"/>
        <w:spacing w:after="80" w:line="252" w:lineRule="auto"/>
      </w:pPr>
      <w:r>
        <w:t>Office target review</w:t>
      </w:r>
    </w:p>
    <w:p>
      <w:pPr>
        <w:pStyle w:val="ListNumber"/>
        <w:spacing w:after="80" w:line="252" w:lineRule="auto"/>
      </w:pPr>
      <w:r>
        <w:t>Field verification</w:t>
      </w:r>
    </w:p>
    <w:p>
      <w:pPr>
        <w:pStyle w:val="ListNumber"/>
        <w:spacing w:after="80" w:line="252" w:lineRule="auto"/>
      </w:pPr>
      <w:r>
        <w:t>Trench planning approval</w:t>
      </w:r>
    </w:p>
    <w:p>
      <w:pPr>
        <w:pStyle w:val="ListNumber"/>
        <w:spacing w:after="80" w:line="252" w:lineRule="auto"/>
      </w:pPr>
      <w:r>
        <w:t>Geophysics line approval</w:t>
      </w:r>
    </w:p>
    <w:p>
      <w:pPr>
        <w:pStyle w:val="ListNumber"/>
        <w:spacing w:after="80" w:line="252" w:lineRule="auto"/>
      </w:pPr>
      <w:r>
        <w:t>Infill soil approval</w:t>
      </w:r>
    </w:p>
    <w:p>
      <w:pPr>
        <w:pStyle w:val="ListNumber"/>
        <w:spacing w:after="80" w:line="252" w:lineRule="auto"/>
      </w:pPr>
      <w:r>
        <w:t>Permit and HSE approval</w:t>
      </w:r>
    </w:p>
    <w:p>
      <w:pPr>
        <w:pStyle w:val="ListNumber"/>
        <w:spacing w:after="80" w:line="252" w:lineRule="auto"/>
      </w:pPr>
      <w:r>
        <w:t>Trench execution</w:t>
      </w:r>
    </w:p>
    <w:p>
      <w:pPr>
        <w:pStyle w:val="ListNumber"/>
        <w:spacing w:after="80" w:line="252" w:lineRule="auto"/>
      </w:pPr>
      <w:r>
        <w:t>Geophysics survey</w:t>
      </w:r>
    </w:p>
    <w:p>
      <w:pPr>
        <w:pStyle w:val="ListNumber"/>
        <w:spacing w:after="80" w:line="252" w:lineRule="auto"/>
      </w:pPr>
      <w:r>
        <w:t>Assay/data processing</w:t>
      </w:r>
    </w:p>
    <w:p>
      <w:pPr>
        <w:pStyle w:val="ListNumber"/>
        <w:spacing w:after="80" w:line="252" w:lineRule="auto"/>
      </w:pPr>
      <w:r>
        <w:t>Scout drilling final decision</w:t>
      </w:r>
    </w:p>
    <w:p>
      <w:pPr>
        <w:pStyle w:val="ListNumber"/>
        <w:spacing w:after="80" w:line="252" w:lineRule="auto"/>
      </w:pPr>
      <w:r>
        <w:t>Drill pad preparation</w:t>
      </w:r>
    </w:p>
    <w:p>
      <w:pPr>
        <w:pStyle w:val="ListNumber"/>
        <w:spacing w:after="80" w:line="252" w:lineRule="auto"/>
      </w:pPr>
      <w:r>
        <w:t>Scout drilling</w:t>
      </w:r>
    </w:p>
    <w:p>
      <w:pPr>
        <w:pStyle w:val="Heading2"/>
        <w:spacing w:after="80" w:line="252" w:lineRule="auto"/>
      </w:pPr>
      <w:r>
        <w:t>12.3 Permit шалгах</w:t>
      </w:r>
    </w:p>
    <w:p>
      <w:pPr>
        <w:pStyle w:val="ListBullet"/>
        <w:spacing w:after="80" w:line="252" w:lineRule="auto"/>
      </w:pPr>
      <w:r>
        <w:t>Local authority notification</w:t>
      </w:r>
    </w:p>
    <w:p>
      <w:pPr>
        <w:pStyle w:val="ListBullet"/>
        <w:spacing w:after="80" w:line="252" w:lineRule="auto"/>
      </w:pPr>
      <w:r>
        <w:t>Land access agreement</w:t>
      </w:r>
    </w:p>
    <w:p>
      <w:pPr>
        <w:pStyle w:val="ListBullet"/>
        <w:spacing w:after="80" w:line="252" w:lineRule="auto"/>
      </w:pPr>
      <w:r>
        <w:t>Environmental approval</w:t>
      </w:r>
    </w:p>
    <w:p>
      <w:pPr>
        <w:pStyle w:val="ListBullet"/>
        <w:spacing w:after="80" w:line="252" w:lineRule="auto"/>
      </w:pPr>
      <w:r>
        <w:t>Water use requirement</w:t>
      </w:r>
    </w:p>
    <w:p>
      <w:pPr>
        <w:pStyle w:val="ListBullet"/>
        <w:spacing w:after="80" w:line="252" w:lineRule="auto"/>
      </w:pPr>
      <w:r>
        <w:t>Drilling permit condition</w:t>
      </w:r>
    </w:p>
    <w:p>
      <w:pPr>
        <w:pStyle w:val="ListBullet"/>
        <w:spacing w:after="80" w:line="252" w:lineRule="auto"/>
      </w:pPr>
      <w:r>
        <w:t>Rehabilitation obligation</w:t>
      </w:r>
    </w:p>
    <w:p>
      <w:pPr>
        <w:pStyle w:val="ListBullet"/>
        <w:spacing w:after="80" w:line="252" w:lineRule="auto"/>
      </w:pPr>
      <w:r>
        <w:t>Community communication</w:t>
      </w:r>
    </w:p>
    <w:p>
      <w:pPr>
        <w:pStyle w:val="Heading1"/>
        <w:spacing w:after="80" w:line="252" w:lineRule="auto"/>
      </w:pPr>
      <w:r>
        <w:t>13. QA/QC check</w:t>
      </w:r>
    </w:p>
    <w:p>
      <w:pPr>
        <w:spacing w:after="80" w:line="252" w:lineRule="auto"/>
      </w:pPr>
      <w:r>
        <w:t>Phase 11-ийн QA/QC шалгалтыг дараах хүснэгтээр хийнэ.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rial" w:hAnsi="Arial" w:eastAsia="Arial"/>
                <w:b/>
                <w:sz w:val="18"/>
              </w:rPr>
              <w:t>QA/QC item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rial" w:hAnsi="Arial" w:eastAsia="Arial"/>
                <w:b/>
                <w:sz w:val="18"/>
              </w:rPr>
              <w:t>Acceptance note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Minimum scout drill criteria met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Phase QA/QC log-д reviewer/date/decision тэмдэглэсэн байна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HSE/access/rehabilitation reviewed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Phase QA/QC log-д reviewer/date/decision тэмдэглэсэн байна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Drill collar geometry justified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Phase QA/QC log-д reviewer/date/decision тэмдэглэсэн байна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Budget/permit/schedule template completed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Phase QA/QC log-д reviewer/date/decision тэмдэглэсэн байна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Trench line target-ийг зөв огтолж байгаа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Reviewer баталгаажуулсан байна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IP/magnetic line geological control-той нийцсэн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Reviewer баталгаажуулсан байна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Infill soil open-ended anomaly-г хааж байгаа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Reviewer баталгаажуулсан байна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Drill hole target rationale бичигдсэн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Reviewer баталгаажуулсан байна</w:t>
            </w:r>
          </w:p>
        </w:tc>
      </w:tr>
    </w:tbl>
    <w:p>
      <w:pPr>
        <w:spacing w:after="80" w:line="252" w:lineRule="auto"/>
      </w:pPr>
    </w:p>
    <w:p>
      <w:pPr>
        <w:pStyle w:val="Heading1"/>
        <w:spacing w:after="80" w:line="252" w:lineRule="auto"/>
      </w:pPr>
      <w:r>
        <w:t>14. Expected outputs</w:t>
      </w:r>
    </w:p>
    <w:p>
      <w:pPr>
        <w:spacing w:after="80" w:line="252" w:lineRule="auto"/>
      </w:pPr>
      <w:r>
        <w:t>Phase 11 дуусахад дараах файлууд бэлэн болсон байна.</w:t>
      </w:r>
    </w:p>
    <w:p>
      <w:pPr>
        <w:pStyle w:val="CodeBlock"/>
        <w:spacing w:after="80" w:line="252" w:lineRule="auto"/>
      </w:pPr>
      <w:r>
        <w:t>XV-023222_Buduunkhad_Follow_Up_Work_Plan.pdf</w:t>
      </w:r>
    </w:p>
    <w:p>
      <w:pPr>
        <w:pStyle w:val="CodeBlock"/>
        <w:spacing w:after="80" w:line="252" w:lineRule="auto"/>
      </w:pPr>
      <w:r>
        <w:t>XV-023222_Buduunkhad_Proposed_Trench_Locations.gpkg</w:t>
      </w:r>
    </w:p>
    <w:p>
      <w:pPr>
        <w:pStyle w:val="CodeBlock"/>
        <w:spacing w:after="80" w:line="252" w:lineRule="auto"/>
      </w:pPr>
      <w:r>
        <w:t>XV-023222_Buduunkhad_Proposed_IP_Magnetic_Lines.gpkg</w:t>
      </w:r>
    </w:p>
    <w:p>
      <w:pPr>
        <w:pStyle w:val="CodeBlock"/>
        <w:spacing w:after="80" w:line="252" w:lineRule="auto"/>
      </w:pPr>
      <w:r>
        <w:t>XV-023222_Buduunkhad_Scout_Drilling_Proposal.docx</w:t>
      </w:r>
    </w:p>
    <w:p>
      <w:pPr>
        <w:pStyle w:val="CodeBlock"/>
        <w:spacing w:after="80" w:line="252" w:lineRule="auto"/>
      </w:pPr>
      <w:r>
        <w:t>XV-023222_Buduunkhad_Drill_Collar_Table.xlsx</w:t>
      </w:r>
    </w:p>
    <w:p>
      <w:pPr>
        <w:spacing w:after="80" w:line="252" w:lineRule="auto"/>
      </w:pPr>
    </w:p>
    <w:p>
      <w:pPr>
        <w:spacing w:after="80" w:line="252" w:lineRule="auto"/>
      </w:pPr>
      <w:r>
        <w:t>Нэмэлтээр дараах файлуудыг гаргавал зохимжтой.</w:t>
      </w:r>
    </w:p>
    <w:p>
      <w:pPr>
        <w:pStyle w:val="CodeBlock"/>
        <w:spacing w:after="80" w:line="252" w:lineRule="auto"/>
      </w:pPr>
      <w:r>
        <w:t>XV-023222_Buduunkhad_Phase11_QAQC_Log.xlsx</w:t>
      </w:r>
    </w:p>
    <w:p>
      <w:pPr>
        <w:pStyle w:val="CodeBlock"/>
        <w:spacing w:after="80" w:line="252" w:lineRule="auto"/>
      </w:pPr>
      <w:r>
        <w:t>XV-023222_Buduunkhad_HSE_Access_Rehabilitation_Checklist.xlsx</w:t>
      </w:r>
    </w:p>
    <w:p>
      <w:pPr>
        <w:pStyle w:val="CodeBlock"/>
        <w:spacing w:after="80" w:line="252" w:lineRule="auto"/>
      </w:pPr>
      <w:r>
        <w:t>XV-023222_Buduunkhad_Budget_Permit_Schedule.xlsx</w:t>
      </w:r>
    </w:p>
    <w:p>
      <w:pPr>
        <w:pStyle w:val="CodeBlock"/>
        <w:spacing w:after="80" w:line="252" w:lineRule="auto"/>
      </w:pPr>
      <w:r>
        <w:t>XV-023222_Buduunkhad_Drill_Section_Map.pdf</w:t>
      </w:r>
    </w:p>
    <w:p>
      <w:pPr>
        <w:pStyle w:val="CodeBlock"/>
        <w:spacing w:after="80" w:line="252" w:lineRule="auto"/>
      </w:pPr>
      <w:r>
        <w:t>XV-023222_Buduunkhad_Field_Verification_Map.pdf</w:t>
      </w:r>
    </w:p>
    <w:p>
      <w:pPr>
        <w:spacing w:after="80" w:line="252" w:lineRule="auto"/>
      </w:pPr>
    </w:p>
    <w:p>
      <w:pPr>
        <w:pStyle w:val="Heading1"/>
        <w:spacing w:after="80" w:line="252" w:lineRule="auto"/>
      </w:pPr>
      <w:r>
        <w:t>15. Decision gate / дараагийн шат руу шилжих нөхцөл</w:t>
      </w:r>
    </w:p>
    <w:p>
      <w:pPr>
        <w:spacing w:after="80" w:line="252" w:lineRule="auto"/>
      </w:pPr>
      <w:r>
        <w:t>Scout drilling зөвхөн дараах нөхцөл бүрэн хангагдсан үед үргэлжилнэ.</w:t>
      </w:r>
    </w:p>
    <w:p>
      <w:pPr>
        <w:pStyle w:val="ListBullet"/>
        <w:spacing w:after="80" w:line="252" w:lineRule="auto"/>
      </w:pPr>
      <w:r>
        <w:t>Minimum scout drill criteria хангагдсан</w:t>
      </w:r>
    </w:p>
    <w:p>
      <w:pPr>
        <w:pStyle w:val="ListBullet"/>
        <w:spacing w:after="80" w:line="252" w:lineRule="auto"/>
      </w:pPr>
      <w:r>
        <w:t>Surface mineralization confirmed</w:t>
      </w:r>
    </w:p>
    <w:p>
      <w:pPr>
        <w:pStyle w:val="ListBullet"/>
        <w:spacing w:after="80" w:line="252" w:lineRule="auto"/>
      </w:pPr>
      <w:r>
        <w:t>Lab assay эсвэл XRF дэмжлэгтэй</w:t>
      </w:r>
    </w:p>
    <w:p>
      <w:pPr>
        <w:pStyle w:val="ListBullet"/>
        <w:spacing w:after="80" w:line="252" w:lineRule="auto"/>
      </w:pPr>
      <w:r>
        <w:t>Structure/geology/contact баталгаатай</w:t>
      </w:r>
    </w:p>
    <w:p>
      <w:pPr>
        <w:pStyle w:val="ListBullet"/>
        <w:spacing w:after="80" w:line="252" w:lineRule="auto"/>
      </w:pPr>
      <w:r>
        <w:t>Target geometry хангалттай ойлгомжтой</w:t>
      </w:r>
    </w:p>
    <w:p>
      <w:pPr>
        <w:pStyle w:val="ListBullet"/>
        <w:spacing w:after="80" w:line="252" w:lineRule="auto"/>
      </w:pPr>
      <w:r>
        <w:t>Access, HSE, rehabilitation боломжтой</w:t>
      </w:r>
    </w:p>
    <w:p>
      <w:pPr>
        <w:pStyle w:val="ListBullet"/>
        <w:spacing w:after="80" w:line="252" w:lineRule="auto"/>
      </w:pPr>
      <w:r>
        <w:t>Permit issue байхгүй</w:t>
      </w:r>
    </w:p>
    <w:p>
      <w:pPr>
        <w:pStyle w:val="ListBullet"/>
        <w:spacing w:after="80" w:line="252" w:lineRule="auto"/>
      </w:pPr>
      <w:r>
        <w:t>Budget approved</w:t>
      </w:r>
    </w:p>
    <w:p>
      <w:pPr>
        <w:pStyle w:val="ListBullet"/>
        <w:spacing w:after="80" w:line="252" w:lineRule="auto"/>
      </w:pPr>
      <w:r>
        <w:t>Drill collar geometry justified</w:t>
      </w:r>
    </w:p>
    <w:p>
      <w:pPr>
        <w:pStyle w:val="ListBullet"/>
        <w:spacing w:after="80" w:line="252" w:lineRule="auto"/>
      </w:pPr>
      <w:r>
        <w:t>Reviewer/date/decision QA/QC log-д бүртгэгдсэн</w:t>
      </w:r>
    </w:p>
    <w:p>
      <w:pPr>
        <w:spacing w:after="80" w:line="252" w:lineRule="auto"/>
      </w:pPr>
      <w:r>
        <w:t>Хэрэв дээрх нөхцөлүүдийн аль нэг нь хангагдаагүй бол шууд өрөмдлөг хийхгүй. Харин дараах нэмэлт ажлыг санал болгоно.</w:t>
      </w:r>
    </w:p>
    <w:p>
      <w:pPr>
        <w:pStyle w:val="ListBullet"/>
        <w:spacing w:after="80" w:line="252" w:lineRule="auto"/>
      </w:pPr>
      <w:r>
        <w:t>Нэмэлт trench</w:t>
      </w:r>
    </w:p>
    <w:p>
      <w:pPr>
        <w:pStyle w:val="ListBullet"/>
        <w:spacing w:after="80" w:line="252" w:lineRule="auto"/>
      </w:pPr>
      <w:r>
        <w:t>Нэмэлт IP/resistivity</w:t>
      </w:r>
    </w:p>
    <w:p>
      <w:pPr>
        <w:pStyle w:val="ListBullet"/>
        <w:spacing w:after="80" w:line="252" w:lineRule="auto"/>
      </w:pPr>
      <w:r>
        <w:t>Нэмэлт magnetic survey</w:t>
      </w:r>
    </w:p>
    <w:p>
      <w:pPr>
        <w:pStyle w:val="ListBullet"/>
        <w:spacing w:after="80" w:line="252" w:lineRule="auto"/>
      </w:pPr>
      <w:r>
        <w:t>Нэмэлт soil sampling</w:t>
      </w:r>
    </w:p>
    <w:p>
      <w:pPr>
        <w:pStyle w:val="ListBullet"/>
        <w:spacing w:after="80" w:line="252" w:lineRule="auto"/>
      </w:pPr>
      <w:r>
        <w:t>Нэмэлт mapping</w:t>
      </w:r>
    </w:p>
    <w:p>
      <w:pPr>
        <w:pStyle w:val="ListBullet"/>
        <w:spacing w:after="80" w:line="252" w:lineRule="auto"/>
      </w:pPr>
      <w:r>
        <w:t>Target ranking дахин үнэлэх</w:t>
      </w:r>
    </w:p>
    <w:p>
      <w:pPr>
        <w:pStyle w:val="Heading1"/>
        <w:spacing w:after="80" w:line="252" w:lineRule="auto"/>
      </w:pPr>
      <w:r>
        <w:t>16. Ажлын дарааллын товч workflow</w:t>
      </w:r>
    </w:p>
    <w:p>
      <w:pPr>
        <w:pStyle w:val="CodeBlock"/>
        <w:spacing w:after="80" w:line="252" w:lineRule="auto"/>
      </w:pPr>
      <w:r>
        <w:t>Input data цуглуулах</w:t>
      </w:r>
    </w:p>
    <w:p>
      <w:pPr>
        <w:pStyle w:val="CodeBlock"/>
        <w:spacing w:after="80" w:line="252" w:lineRule="auto"/>
      </w:pPr>
      <w:r>
        <w:t>↓</w:t>
      </w:r>
    </w:p>
    <w:p>
      <w:pPr>
        <w:pStyle w:val="CodeBlock"/>
        <w:spacing w:after="80" w:line="252" w:lineRule="auto"/>
      </w:pPr>
      <w:r>
        <w:t>QGIS project нэгтгэх</w:t>
      </w:r>
    </w:p>
    <w:p>
      <w:pPr>
        <w:pStyle w:val="CodeBlock"/>
        <w:spacing w:after="80" w:line="252" w:lineRule="auto"/>
      </w:pPr>
      <w:r>
        <w:t>↓</w:t>
      </w:r>
    </w:p>
    <w:p>
      <w:pPr>
        <w:pStyle w:val="CodeBlock"/>
        <w:spacing w:after="80" w:line="252" w:lineRule="auto"/>
      </w:pPr>
      <w:r>
        <w:t>A/B target review хийх</w:t>
      </w:r>
    </w:p>
    <w:p>
      <w:pPr>
        <w:pStyle w:val="CodeBlock"/>
        <w:spacing w:after="80" w:line="252" w:lineRule="auto"/>
      </w:pPr>
      <w:r>
        <w:t>↓</w:t>
      </w:r>
    </w:p>
    <w:p>
      <w:pPr>
        <w:pStyle w:val="CodeBlock"/>
        <w:spacing w:after="80" w:line="252" w:lineRule="auto"/>
      </w:pPr>
      <w:r>
        <w:t>Trench location төлөвлөх</w:t>
      </w:r>
    </w:p>
    <w:p>
      <w:pPr>
        <w:pStyle w:val="CodeBlock"/>
        <w:spacing w:after="80" w:line="252" w:lineRule="auto"/>
      </w:pPr>
      <w:r>
        <w:t>↓</w:t>
      </w:r>
    </w:p>
    <w:p>
      <w:pPr>
        <w:pStyle w:val="CodeBlock"/>
        <w:spacing w:after="80" w:line="252" w:lineRule="auto"/>
      </w:pPr>
      <w:r>
        <w:t>IP/resistivity line төлөвлөх</w:t>
      </w:r>
    </w:p>
    <w:p>
      <w:pPr>
        <w:pStyle w:val="CodeBlock"/>
        <w:spacing w:after="80" w:line="252" w:lineRule="auto"/>
      </w:pPr>
      <w:r>
        <w:t>↓</w:t>
      </w:r>
    </w:p>
    <w:p>
      <w:pPr>
        <w:pStyle w:val="CodeBlock"/>
        <w:spacing w:after="80" w:line="252" w:lineRule="auto"/>
      </w:pPr>
      <w:r>
        <w:t>Magnetic survey line төлөвлөх</w:t>
      </w:r>
    </w:p>
    <w:p>
      <w:pPr>
        <w:pStyle w:val="CodeBlock"/>
        <w:spacing w:after="80" w:line="252" w:lineRule="auto"/>
      </w:pPr>
      <w:r>
        <w:t>↓</w:t>
      </w:r>
    </w:p>
    <w:p>
      <w:pPr>
        <w:pStyle w:val="CodeBlock"/>
        <w:spacing w:after="80" w:line="252" w:lineRule="auto"/>
      </w:pPr>
      <w:r>
        <w:t>Infill soil grid төлөвлөх</w:t>
      </w:r>
    </w:p>
    <w:p>
      <w:pPr>
        <w:pStyle w:val="CodeBlock"/>
        <w:spacing w:after="80" w:line="252" w:lineRule="auto"/>
      </w:pPr>
      <w:r>
        <w:t>↓</w:t>
      </w:r>
    </w:p>
    <w:p>
      <w:pPr>
        <w:pStyle w:val="CodeBlock"/>
        <w:spacing w:after="80" w:line="252" w:lineRule="auto"/>
      </w:pPr>
      <w:r>
        <w:t>Scout drill collar preliminary design хийх</w:t>
      </w:r>
    </w:p>
    <w:p>
      <w:pPr>
        <w:pStyle w:val="CodeBlock"/>
        <w:spacing w:after="80" w:line="252" w:lineRule="auto"/>
      </w:pPr>
      <w:r>
        <w:t>↓</w:t>
      </w:r>
    </w:p>
    <w:p>
      <w:pPr>
        <w:pStyle w:val="CodeBlock"/>
        <w:spacing w:after="80" w:line="252" w:lineRule="auto"/>
      </w:pPr>
      <w:r>
        <w:t>Access/HSE/environment шалгах</w:t>
      </w:r>
    </w:p>
    <w:p>
      <w:pPr>
        <w:pStyle w:val="CodeBlock"/>
        <w:spacing w:after="80" w:line="252" w:lineRule="auto"/>
      </w:pPr>
      <w:r>
        <w:t>↓</w:t>
      </w:r>
    </w:p>
    <w:p>
      <w:pPr>
        <w:pStyle w:val="CodeBlock"/>
        <w:spacing w:after="80" w:line="252" w:lineRule="auto"/>
      </w:pPr>
      <w:r>
        <w:t>Budget/permit/schedule боловсруулах</w:t>
      </w:r>
    </w:p>
    <w:p>
      <w:pPr>
        <w:pStyle w:val="CodeBlock"/>
        <w:spacing w:after="80" w:line="252" w:lineRule="auto"/>
      </w:pPr>
      <w:r>
        <w:t>↓</w:t>
      </w:r>
    </w:p>
    <w:p>
      <w:pPr>
        <w:pStyle w:val="CodeBlock"/>
        <w:spacing w:after="80" w:line="252" w:lineRule="auto"/>
      </w:pPr>
      <w:r>
        <w:t>QA/QC review хийх</w:t>
      </w:r>
    </w:p>
    <w:p>
      <w:pPr>
        <w:pStyle w:val="CodeBlock"/>
        <w:spacing w:after="80" w:line="252" w:lineRule="auto"/>
      </w:pPr>
      <w:r>
        <w:t>↓</w:t>
      </w:r>
    </w:p>
    <w:p>
      <w:pPr>
        <w:pStyle w:val="CodeBlock"/>
        <w:spacing w:after="80" w:line="252" w:lineRule="auto"/>
      </w:pPr>
      <w:r>
        <w:t>Final work plan гаргах</w:t>
      </w:r>
    </w:p>
    <w:p>
      <w:pPr>
        <w:pStyle w:val="CodeBlock"/>
        <w:spacing w:after="80" w:line="252" w:lineRule="auto"/>
      </w:pPr>
      <w:r>
        <w:t>↓</w:t>
      </w:r>
    </w:p>
    <w:p>
      <w:pPr>
        <w:pStyle w:val="CodeBlock"/>
        <w:spacing w:after="80" w:line="252" w:lineRule="auto"/>
      </w:pPr>
      <w:r>
        <w:t>Drilling decision гаргах</w:t>
      </w:r>
    </w:p>
    <w:p>
      <w:pPr>
        <w:spacing w:after="80" w:line="252" w:lineRule="auto"/>
      </w:pPr>
    </w:p>
    <w:p>
      <w:pPr>
        <w:pStyle w:val="Heading1"/>
        <w:spacing w:after="80" w:line="252" w:lineRule="auto"/>
      </w:pPr>
      <w:r>
        <w:t>17. Гол анхаарах зүйл</w:t>
      </w:r>
    </w:p>
    <w:p>
      <w:pPr>
        <w:spacing w:after="80" w:line="252" w:lineRule="auto"/>
      </w:pPr>
      <w:r>
        <w:t>Энэ шатанд өрөмдлөгийн цэгийг зөвхөн “сонирхолтой харагдаж байна” гэдэг үндэслэлээр сонгож болохгүй. Заавал дараах шалгуурыг хамтад нь үнэлсний дараа scout drilling санал гаргана.</w:t>
      </w:r>
    </w:p>
    <w:p>
      <w:pPr>
        <w:pStyle w:val="ListBullet"/>
        <w:spacing w:after="80" w:line="252" w:lineRule="auto"/>
      </w:pPr>
      <w:r>
        <w:t>геологийн үндэслэл</w:t>
      </w:r>
    </w:p>
    <w:p>
      <w:pPr>
        <w:pStyle w:val="ListBullet"/>
        <w:spacing w:after="80" w:line="252" w:lineRule="auto"/>
      </w:pPr>
      <w:r>
        <w:t>геохимийн баталгаа</w:t>
      </w:r>
    </w:p>
    <w:p>
      <w:pPr>
        <w:pStyle w:val="ListBullet"/>
        <w:spacing w:after="80" w:line="252" w:lineRule="auto"/>
      </w:pPr>
      <w:r>
        <w:t>геофизикийн дэмжлэг</w:t>
      </w:r>
    </w:p>
    <w:p>
      <w:pPr>
        <w:pStyle w:val="ListBullet"/>
        <w:spacing w:after="80" w:line="252" w:lineRule="auto"/>
      </w:pPr>
      <w:r>
        <w:t>гадаргын эрдэсжилт</w:t>
      </w:r>
    </w:p>
    <w:p>
      <w:pPr>
        <w:pStyle w:val="ListBullet"/>
        <w:spacing w:after="80" w:line="252" w:lineRule="auto"/>
      </w:pPr>
      <w:r>
        <w:t>бүтцийн хяналт</w:t>
      </w:r>
    </w:p>
    <w:p>
      <w:pPr>
        <w:pStyle w:val="ListBullet"/>
        <w:spacing w:after="80" w:line="252" w:lineRule="auto"/>
      </w:pPr>
      <w:r>
        <w:t>access/HSE боломж</w:t>
      </w:r>
    </w:p>
    <w:p>
      <w:pPr>
        <w:pStyle w:val="ListBullet"/>
        <w:spacing w:after="80" w:line="252" w:lineRule="auto"/>
      </w:pPr>
      <w:r>
        <w:t>төсөв ба зөвшөөрөл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XV-023222 Buduunkhad Exploration Workflow Methodology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646464"/>
        <w:sz w:val="16"/>
      </w:rPr>
      <w:t>Phase 11 — Follow-up Trench, Geophysics and Scout Drill Planning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E75B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F4E7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urier New" w:hAnsi="Courier New" w:eastAsia="Courier New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