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B12" w:rsidRPr="00BB38D5" w:rsidRDefault="00175B12" w:rsidP="00175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clear, school-/business-appropriate </w:t>
      </w: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gap analysis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use to compare </w:t>
      </w: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investment portfolio results vs. objectives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. I’ll keep it general so it works for an assignment, case study, or basic portfolio review.</w:t>
      </w:r>
    </w:p>
    <w:p w:rsidR="00175B12" w:rsidRPr="00BB38D5" w:rsidRDefault="00175B12" w:rsidP="00175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75B12" w:rsidRPr="00BB38D5" w:rsidRDefault="00175B12" w:rsidP="00175B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Purpose of the Gap Analysis</w:t>
      </w:r>
    </w:p>
    <w:p w:rsidR="00175B12" w:rsidRPr="00BB38D5" w:rsidRDefault="00175B12" w:rsidP="00175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goal is to identify </w:t>
      </w: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the investment portfolio’s actual performance differs from its intended objectives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understand </w:t>
      </w:r>
      <w:r w:rsidRPr="00BB38D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those gaps exist, and outline actions to close them.</w:t>
      </w:r>
    </w:p>
    <w:p w:rsidR="00175B12" w:rsidRPr="00BB38D5" w:rsidRDefault="00175B12" w:rsidP="00175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75B12" w:rsidRPr="00BB38D5" w:rsidRDefault="00175B12" w:rsidP="00175B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Investment Objectives (Target State)</w:t>
      </w:r>
    </w:p>
    <w:p w:rsidR="00175B12" w:rsidRPr="00BB38D5" w:rsidRDefault="00175B12" w:rsidP="00175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portfolio objectives might include:</w:t>
      </w:r>
    </w:p>
    <w:p w:rsidR="00175B12" w:rsidRPr="00BB38D5" w:rsidRDefault="00175B12" w:rsidP="00175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objective: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e.g., achieve 8–10% annual return</w:t>
      </w:r>
    </w:p>
    <w:p w:rsidR="00175B12" w:rsidRPr="00BB38D5" w:rsidRDefault="00175B12" w:rsidP="00175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tolerance: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moderate risk, limited volatility</w:t>
      </w:r>
    </w:p>
    <w:p w:rsidR="00175B12" w:rsidRPr="00BB38D5" w:rsidRDefault="00175B12" w:rsidP="00175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horizon: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long-term growth (5–10+ years)</w:t>
      </w:r>
    </w:p>
    <w:p w:rsidR="00175B12" w:rsidRPr="00BB38D5" w:rsidRDefault="00175B12" w:rsidP="00175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Diversification: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balanced exposure across asset classes</w:t>
      </w:r>
    </w:p>
    <w:p w:rsidR="00175B12" w:rsidRPr="00BB38D5" w:rsidRDefault="00175B12" w:rsidP="00175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Liquidity: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ability to access funds when needed</w:t>
      </w:r>
    </w:p>
    <w:p w:rsidR="00175B12" w:rsidRPr="00BB38D5" w:rsidRDefault="00175B12" w:rsidP="00175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75B12" w:rsidRPr="00BB38D5" w:rsidRDefault="00175B12" w:rsidP="00175B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Actual Portfolio Results (Current State)</w:t>
      </w:r>
    </w:p>
    <w:p w:rsidR="00175B12" w:rsidRPr="00BB38D5" w:rsidRDefault="00175B12" w:rsidP="00175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observed results may include:</w:t>
      </w:r>
    </w:p>
    <w:p w:rsidR="00175B12" w:rsidRPr="00BB38D5" w:rsidRDefault="00175B12" w:rsidP="00175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Returns: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lower or higher than target</w:t>
      </w:r>
    </w:p>
    <w:p w:rsidR="00175B12" w:rsidRPr="00BB38D5" w:rsidRDefault="00175B12" w:rsidP="00175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level: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volatile than expected</w:t>
      </w:r>
    </w:p>
    <w:p w:rsidR="00175B12" w:rsidRPr="00BB38D5" w:rsidRDefault="00175B12" w:rsidP="00175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Asset allocation: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overconcentration in certain sectors/assets</w:t>
      </w:r>
    </w:p>
    <w:p w:rsidR="00175B12" w:rsidRPr="00BB38D5" w:rsidRDefault="00175B12" w:rsidP="00175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Income generation: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dividends or interest below expectations</w:t>
      </w:r>
    </w:p>
    <w:p w:rsidR="00175B12" w:rsidRPr="00BB38D5" w:rsidRDefault="00175B12" w:rsidP="00175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vs benchmark: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underperforming market index</w:t>
      </w:r>
    </w:p>
    <w:p w:rsidR="00175B12" w:rsidRPr="00BB38D5" w:rsidRDefault="00175B12" w:rsidP="00175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75B12" w:rsidRPr="00BB38D5" w:rsidRDefault="00175B12" w:rsidP="00175B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Identified Gaps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007"/>
        <w:gridCol w:w="2227"/>
        <w:gridCol w:w="2621"/>
      </w:tblGrid>
      <w:tr w:rsidR="00175B12" w:rsidRPr="00BB38D5" w:rsidTr="00196A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5B12" w:rsidRPr="00BB38D5" w:rsidRDefault="00175B12" w:rsidP="0019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175B12" w:rsidRPr="00BB38D5" w:rsidRDefault="00175B12" w:rsidP="0019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:rsidR="00175B12" w:rsidRPr="00BB38D5" w:rsidRDefault="00175B12" w:rsidP="0019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175B12" w:rsidRPr="00BB38D5" w:rsidRDefault="00175B12" w:rsidP="0019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Gap</w:t>
            </w:r>
          </w:p>
        </w:tc>
      </w:tr>
      <w:tr w:rsidR="00175B12" w:rsidRPr="00BB38D5" w:rsidTr="00196A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B12" w:rsidRPr="00BB38D5" w:rsidRDefault="00175B12" w:rsidP="00196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:rsidR="00175B12" w:rsidRPr="00BB38D5" w:rsidRDefault="00175B12" w:rsidP="00196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 target growth</w:t>
            </w:r>
          </w:p>
        </w:tc>
        <w:tc>
          <w:tcPr>
            <w:tcW w:w="0" w:type="auto"/>
            <w:vAlign w:val="center"/>
            <w:hideMark/>
          </w:tcPr>
          <w:p w:rsidR="00175B12" w:rsidRPr="00BB38D5" w:rsidRDefault="00175B12" w:rsidP="00196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Below target return</w:t>
            </w:r>
          </w:p>
        </w:tc>
        <w:tc>
          <w:tcPr>
            <w:tcW w:w="0" w:type="auto"/>
            <w:vAlign w:val="center"/>
            <w:hideMark/>
          </w:tcPr>
          <w:p w:rsidR="00175B12" w:rsidRPr="00BB38D5" w:rsidRDefault="00175B12" w:rsidP="00196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 performance gap</w:t>
            </w:r>
          </w:p>
        </w:tc>
      </w:tr>
      <w:tr w:rsidR="00175B12" w:rsidRPr="00BB38D5" w:rsidTr="00196A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B12" w:rsidRPr="00BB38D5" w:rsidRDefault="00175B12" w:rsidP="00196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175B12" w:rsidRPr="00BB38D5" w:rsidRDefault="00175B12" w:rsidP="00196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 volatility</w:t>
            </w:r>
          </w:p>
        </w:tc>
        <w:tc>
          <w:tcPr>
            <w:tcW w:w="0" w:type="auto"/>
            <w:vAlign w:val="center"/>
            <w:hideMark/>
          </w:tcPr>
          <w:p w:rsidR="00175B12" w:rsidRPr="00BB38D5" w:rsidRDefault="00175B12" w:rsidP="00196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fluctuations</w:t>
            </w:r>
          </w:p>
        </w:tc>
        <w:tc>
          <w:tcPr>
            <w:tcW w:w="0" w:type="auto"/>
            <w:vAlign w:val="center"/>
            <w:hideMark/>
          </w:tcPr>
          <w:p w:rsidR="00175B12" w:rsidRPr="00BB38D5" w:rsidRDefault="00175B12" w:rsidP="00196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 misalignment</w:t>
            </w:r>
          </w:p>
        </w:tc>
      </w:tr>
      <w:tr w:rsidR="00175B12" w:rsidRPr="00BB38D5" w:rsidTr="00196A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B12" w:rsidRPr="00BB38D5" w:rsidRDefault="00175B12" w:rsidP="00196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Diversification</w:t>
            </w:r>
          </w:p>
        </w:tc>
        <w:tc>
          <w:tcPr>
            <w:tcW w:w="0" w:type="auto"/>
            <w:vAlign w:val="center"/>
            <w:hideMark/>
          </w:tcPr>
          <w:p w:rsidR="00175B12" w:rsidRPr="00BB38D5" w:rsidRDefault="00175B12" w:rsidP="00196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Well-diversified</w:t>
            </w:r>
          </w:p>
        </w:tc>
        <w:tc>
          <w:tcPr>
            <w:tcW w:w="0" w:type="auto"/>
            <w:vAlign w:val="center"/>
            <w:hideMark/>
          </w:tcPr>
          <w:p w:rsidR="00175B12" w:rsidRPr="00BB38D5" w:rsidRDefault="00175B12" w:rsidP="00196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Concentrated holdings</w:t>
            </w:r>
          </w:p>
        </w:tc>
        <w:tc>
          <w:tcPr>
            <w:tcW w:w="0" w:type="auto"/>
            <w:vAlign w:val="center"/>
            <w:hideMark/>
          </w:tcPr>
          <w:p w:rsidR="00175B12" w:rsidRPr="00BB38D5" w:rsidRDefault="00175B12" w:rsidP="00196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Diversification gap</w:t>
            </w:r>
          </w:p>
        </w:tc>
      </w:tr>
      <w:tr w:rsidR="00175B12" w:rsidRPr="00BB38D5" w:rsidTr="00196A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B12" w:rsidRPr="00BB38D5" w:rsidRDefault="00175B12" w:rsidP="00196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175B12" w:rsidRPr="00BB38D5" w:rsidRDefault="00175B12" w:rsidP="00196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Reliable cash flow</w:t>
            </w:r>
          </w:p>
        </w:tc>
        <w:tc>
          <w:tcPr>
            <w:tcW w:w="0" w:type="auto"/>
            <w:vAlign w:val="center"/>
            <w:hideMark/>
          </w:tcPr>
          <w:p w:rsidR="00175B12" w:rsidRPr="00BB38D5" w:rsidRDefault="00175B12" w:rsidP="00196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Inconsistent income</w:t>
            </w:r>
          </w:p>
        </w:tc>
        <w:tc>
          <w:tcPr>
            <w:tcW w:w="0" w:type="auto"/>
            <w:vAlign w:val="center"/>
            <w:hideMark/>
          </w:tcPr>
          <w:p w:rsidR="00175B12" w:rsidRPr="00BB38D5" w:rsidRDefault="00175B12" w:rsidP="00196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Income gap</w:t>
            </w:r>
          </w:p>
        </w:tc>
      </w:tr>
    </w:tbl>
    <w:p w:rsidR="00175B12" w:rsidRPr="00BB38D5" w:rsidRDefault="00175B12" w:rsidP="00175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75B12" w:rsidRPr="00BB38D5" w:rsidRDefault="00175B12" w:rsidP="00175B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Causes of the Gaps</w:t>
      </w:r>
    </w:p>
    <w:p w:rsidR="00175B12" w:rsidRPr="00BB38D5" w:rsidRDefault="00175B12" w:rsidP="00175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reasons include:</w:t>
      </w:r>
    </w:p>
    <w:p w:rsidR="00175B12" w:rsidRPr="00BB38D5" w:rsidRDefault="00175B12" w:rsidP="00175B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downturns or economic volatility</w:t>
      </w:r>
    </w:p>
    <w:p w:rsidR="00175B12" w:rsidRPr="00BB38D5" w:rsidRDefault="00175B12" w:rsidP="00175B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Poor asset allocation decisions</w:t>
      </w:r>
    </w:p>
    <w:p w:rsidR="00175B12" w:rsidRPr="00BB38D5" w:rsidRDefault="00175B12" w:rsidP="00175B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Overexposure to high-risk investments</w:t>
      </w:r>
    </w:p>
    <w:p w:rsidR="00175B12" w:rsidRPr="00BB38D5" w:rsidRDefault="00175B12" w:rsidP="00175B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Lack of periodic rebalancing</w:t>
      </w:r>
    </w:p>
    <w:p w:rsidR="00175B12" w:rsidRPr="00BB38D5" w:rsidRDefault="00175B12" w:rsidP="00175B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Mismatch between strategy and time horizon</w:t>
      </w:r>
    </w:p>
    <w:p w:rsidR="00175B12" w:rsidRPr="00BB38D5" w:rsidRDefault="00175B12" w:rsidP="00175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75B12" w:rsidRPr="00BB38D5" w:rsidRDefault="00175B12" w:rsidP="00175B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Impact of the Gaps</w:t>
      </w:r>
    </w:p>
    <w:p w:rsidR="00175B12" w:rsidRPr="00BB38D5" w:rsidRDefault="00175B12" w:rsidP="00175B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Slower progress toward financial goals</w:t>
      </w:r>
    </w:p>
    <w:p w:rsidR="00175B12" w:rsidRPr="00BB38D5" w:rsidRDefault="00175B12" w:rsidP="00175B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Increased exposure to losses</w:t>
      </w:r>
    </w:p>
    <w:p w:rsidR="00175B12" w:rsidRPr="00BB38D5" w:rsidRDefault="00175B12" w:rsidP="00175B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investor confidence</w:t>
      </w:r>
    </w:p>
    <w:p w:rsidR="00175B12" w:rsidRPr="00BB38D5" w:rsidRDefault="00175B12" w:rsidP="00175B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need to extend the investment timeline</w:t>
      </w:r>
    </w:p>
    <w:p w:rsidR="00175B12" w:rsidRPr="00BB38D5" w:rsidRDefault="00175B12" w:rsidP="00175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75B12" w:rsidRPr="00BB38D5" w:rsidRDefault="00175B12" w:rsidP="00175B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Recommended Actions to Close the Gaps</w:t>
      </w:r>
    </w:p>
    <w:p w:rsidR="00175B12" w:rsidRPr="00BB38D5" w:rsidRDefault="00175B12" w:rsidP="00175B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Rebalance the portfolio to match risk tolerance</w:t>
      </w:r>
    </w:p>
    <w:p w:rsidR="00175B12" w:rsidRPr="00BB38D5" w:rsidRDefault="00175B12" w:rsidP="00175B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diversification across asset classes</w:t>
      </w:r>
    </w:p>
    <w:p w:rsidR="00175B12" w:rsidRPr="00BB38D5" w:rsidRDefault="00175B12" w:rsidP="00175B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Align investments more closely with objectives</w:t>
      </w:r>
    </w:p>
    <w:p w:rsidR="00175B12" w:rsidRPr="00BB38D5" w:rsidRDefault="00175B12" w:rsidP="00175B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performance regularly and adjust strategy</w:t>
      </w:r>
    </w:p>
    <w:p w:rsidR="00175B12" w:rsidRPr="00BB38D5" w:rsidRDefault="00175B12" w:rsidP="00175B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lower-risk or income-generating assets if needed</w:t>
      </w:r>
    </w:p>
    <w:p w:rsidR="00175B12" w:rsidRPr="00BB38D5" w:rsidRDefault="00175B12" w:rsidP="00175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75B12" w:rsidRPr="00BB38D5" w:rsidRDefault="00175B12" w:rsidP="00175B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Conclusion</w:t>
      </w:r>
    </w:p>
    <w:p w:rsidR="00175B12" w:rsidRPr="00BB38D5" w:rsidRDefault="00175B12" w:rsidP="00175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gap analysis shows that while the portfolio aims to meet specific return and risk objectives, </w:t>
      </w: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gaps exist due to market conditions and strategic misalignment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. Addressing these gaps through rebalancing, diversification, and regular reviews can help bring the portfolio back in line with its objectives.</w:t>
      </w:r>
    </w:p>
    <w:p w:rsidR="00175B12" w:rsidRPr="00BB38D5" w:rsidRDefault="00175B12" w:rsidP="00175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75B12" w:rsidRPr="00BB38D5" w:rsidRDefault="00175B12" w:rsidP="00175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:rsidR="00175B12" w:rsidRPr="00BB38D5" w:rsidRDefault="00175B12" w:rsidP="00175B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Simplify this into a </w:t>
      </w: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paragraph answer</w:t>
      </w:r>
    </w:p>
    <w:p w:rsidR="00175B12" w:rsidRPr="00BB38D5" w:rsidRDefault="00175B12" w:rsidP="00175B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Customize it with </w:t>
      </w: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numbers or percentages</w:t>
      </w:r>
    </w:p>
    <w:p w:rsidR="00175B12" w:rsidRPr="00BB38D5" w:rsidRDefault="00175B12" w:rsidP="00175B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Rewrite it to sound more </w:t>
      </w: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 or exam-ready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Just tell me </w:t>
      </w:r>
      <w:r w:rsidRPr="00BB38D5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175B12" w:rsidRPr="00BB38D5" w:rsidRDefault="00175B12" w:rsidP="00175B1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BB38D5">
        <w:rPr>
          <w:rFonts w:ascii="Arial" w:eastAsia="Times New Roman" w:hAnsi="Arial" w:cs="Arial"/>
          <w:vanish/>
          <w:sz w:val="16"/>
          <w:szCs w:val="16"/>
          <w:lang w:eastAsia="en-IN"/>
        </w:rPr>
        <w:lastRenderedPageBreak/>
        <w:t>Top of Form</w:t>
      </w:r>
    </w:p>
    <w:p w:rsidR="00175B12" w:rsidRPr="00BB38D5" w:rsidRDefault="00175B12" w:rsidP="00175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136.5pt;height:57.75pt" o:ole="">
            <v:imagedata r:id="rId5" o:title=""/>
          </v:shape>
          <w:control r:id="rId6" w:name="DefaultOcxName2" w:shapeid="_x0000_i1045"/>
        </w:object>
      </w:r>
      <w:bookmarkStart w:id="0" w:name="_GoBack"/>
      <w:bookmarkEnd w:id="0"/>
    </w:p>
    <w:p w:rsidR="00175B12" w:rsidRPr="00BB38D5" w:rsidRDefault="00175B12" w:rsidP="00175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5B12" w:rsidRPr="00BB38D5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BB38D5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175B12" w:rsidRPr="00BB38D5" w:rsidRDefault="00175B12" w:rsidP="00175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make mistakes. Check important info. See Cookie Preferences.</w:t>
      </w: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175B12" w:rsidRDefault="00175B12" w:rsidP="00175B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694A2F" w:rsidRDefault="00694A2F"/>
    <w:sectPr w:rsidR="00694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F76B2"/>
    <w:multiLevelType w:val="multilevel"/>
    <w:tmpl w:val="97A0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15959"/>
    <w:multiLevelType w:val="multilevel"/>
    <w:tmpl w:val="D692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A05DF"/>
    <w:multiLevelType w:val="multilevel"/>
    <w:tmpl w:val="E2FE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C73FE"/>
    <w:multiLevelType w:val="multilevel"/>
    <w:tmpl w:val="70C4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B61E1"/>
    <w:multiLevelType w:val="multilevel"/>
    <w:tmpl w:val="5B1C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23D0B"/>
    <w:multiLevelType w:val="multilevel"/>
    <w:tmpl w:val="06E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CEC"/>
    <w:rsid w:val="00175B12"/>
    <w:rsid w:val="00521CEC"/>
    <w:rsid w:val="0069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E2CA83-F3B9-4017-9F23-4434C4255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5B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pcc431</dc:creator>
  <cp:keywords/>
  <dc:description/>
  <cp:lastModifiedBy>pcc431</cp:lastModifiedBy>
  <cp:revision>2</cp:revision>
  <dcterms:created xsi:type="dcterms:W3CDTF">2026-01-04T09:56:00Z</dcterms:created>
  <dcterms:modified xsi:type="dcterms:W3CDTF">2026-01-04T09:57:00Z</dcterms:modified>
</cp:coreProperties>
</file>