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sz w:val="40"/>
        </w:rPr>
        <w:t>Comprehensive Expanded Report on Coronavirus (COVID-19)</w:t>
      </w:r>
    </w:p>
    <w:p>
      <w:pPr>
        <w:pStyle w:val="Heading1"/>
      </w:pPr>
      <w:r>
        <w:rPr>
          <w:rFonts w:ascii="Times New Roman" w:hAnsi="Times New Roman"/>
          <w:sz w:val="32"/>
        </w:rPr>
        <w:t>1. Introduction and Virology</w:t>
      </w:r>
    </w:p>
    <w:p>
      <w:r>
        <w:t>Coronavirus disease (COVID-19) is an infectious disease caused by the Severe Acute Respiratory Syndrome Coronavirus 2 (SARS-CoV-2). First identified in December 2019 in Wuhan, Hubei Province, China, it rapidly escalated into a global pandemic, officially declared by the World Health Organization (WHO) on March 11, 2020. Coronaviruses are a large family of viruses that cause illnesses ranging from the common cold to more severe diseases such as Middle East Respiratory Syndrome (MERS-CoV) and Severe Acute Respiratory Syndrome (SARS-CoV).</w:t>
      </w:r>
    </w:p>
    <w:p>
      <w:r>
        <w:t>SARS-CoV-2 is an enveloped, positive-sense, single-stranded RNA virus. Its viral envelope is coated with spike (S) glycoproteins, which give the virus its characteristic 'crown' (corona) appearance under an electron microscope. These spike proteins are critical for the virus's ability to infect human cells, as they bind tightly to the angiotensin-converting enzyme 2 (ACE2) receptors, which are heavily expressed in the respiratory tract, lungs, heart, kidneys, and gastrointestinal tract.</w:t>
      </w:r>
    </w:p>
    <w:p>
      <w:pPr>
        <w:pStyle w:val="Heading1"/>
      </w:pPr>
      <w:r>
        <w:rPr>
          <w:rFonts w:ascii="Times New Roman" w:hAnsi="Times New Roman"/>
          <w:sz w:val="32"/>
        </w:rPr>
        <w:t>2. Transmission Mechanisms and Symptomatology</w:t>
      </w:r>
    </w:p>
    <w:p>
      <w:r>
        <w:t>Understanding how SARS-CoV-2 spreads was a critical early challenge in the pandemic. The transmission mechanisms are multifaceted:</w:t>
      </w:r>
    </w:p>
    <w:p>
      <w:pPr>
        <w:pStyle w:val="ListBullet"/>
      </w:pPr>
      <w:r>
        <w:t>Droplet Transmission: When an infected individual coughs, sneezes, talks, or sings, they release virus-laden respiratory droplets. These can be inhaled by people in close proximity.</w:t>
      </w:r>
    </w:p>
    <w:p>
      <w:pPr>
        <w:pStyle w:val="ListBullet"/>
      </w:pPr>
      <w:r>
        <w:t>Airborne Transmission (Aerosols): Finer respiratory particles can remain suspended in the air for extended periods, especially in poorly ventilated indoor spaces, leading to transmission over longer distances.</w:t>
      </w:r>
    </w:p>
    <w:p>
      <w:pPr>
        <w:pStyle w:val="ListBullet"/>
      </w:pPr>
      <w:r>
        <w:t>Fomite Transmission (Surface): Though eventually deemed a less primary route, the virus can survive on surfaces. Contacting a contaminated surface and then touching the face (eyes, nose, mouth) can lead to infection.</w:t>
      </w:r>
    </w:p>
    <w:p>
      <w:r>
        <w:t>The clinical presentation of COVID-19 ranges from asymptomatic infection to critical, life-threatening illness. The incubation period typically ranges from 2 to 14 days. Common acute symptoms include:</w:t>
      </w:r>
    </w:p>
    <w:p>
      <w:pPr>
        <w:pStyle w:val="ListBullet"/>
      </w:pPr>
      <w:r>
        <w:t>Systemic: Fever, chills, severe fatigue, and body aches.</w:t>
      </w:r>
    </w:p>
    <w:p>
      <w:pPr>
        <w:pStyle w:val="ListBullet"/>
      </w:pPr>
      <w:r>
        <w:t>Respiratory: Persistent dry cough, shortness of breath, and hypoxemia in severe cases.</w:t>
      </w:r>
    </w:p>
    <w:p>
      <w:pPr>
        <w:pStyle w:val="ListBullet"/>
      </w:pPr>
      <w:r>
        <w:t>Neurological/Sensory: Anosmia (loss of smell) and ageusia (loss of taste), which became hallmark symptoms of early variants.</w:t>
      </w:r>
    </w:p>
    <w:p>
      <w:pPr>
        <w:pStyle w:val="ListBullet"/>
      </w:pPr>
      <w:r>
        <w:t>Gastrointestinal: Nausea, vomiting, and diarrhea.</w:t>
      </w:r>
    </w:p>
    <w:p>
      <w:r>
        <w:br w:type="page"/>
      </w:r>
    </w:p>
    <w:p>
      <w:pPr>
        <w:pStyle w:val="Heading1"/>
      </w:pPr>
      <w:r>
        <w:rPr>
          <w:rFonts w:ascii="Times New Roman" w:hAnsi="Times New Roman"/>
          <w:sz w:val="32"/>
        </w:rPr>
        <w:t>3. The Evolution of SARS-CoV-2: Variants of Concern</w:t>
      </w:r>
    </w:p>
    <w:p>
      <w:r>
        <w:t>As an RNA virus, SARS-CoV-2 naturally mutates as it replicates. Over the course of the pandemic, several 'Variants of Concern' (VOCs) emerged, characterized by increased transmissibility, altered virulence, or the ability to evade natural or vaccine-induced immunity. The WHO established a naming system using the Greek alphabet to simplify public communication and avoid stigmatizing the countries of origin.</w:t>
      </w:r>
    </w:p>
    <w:tbl>
      <w:tblPr>
        <w:tblStyle w:val="TableGrid"/>
        <w:tblW w:type="auto" w:w="0"/>
        <w:tblLook w:firstColumn="1" w:firstRow="1" w:lastColumn="0" w:lastRow="0" w:noHBand="0" w:noVBand="1" w:val="04A0"/>
      </w:tblPr>
      <w:tblGrid>
        <w:gridCol w:w="2880"/>
        <w:gridCol w:w="2880"/>
        <w:gridCol w:w="2880"/>
      </w:tblGrid>
      <w:tr>
        <w:tc>
          <w:tcPr>
            <w:tcW w:type="dxa" w:w="2880"/>
          </w:tcPr>
          <w:p>
            <w:r>
              <w:t>Variant (WHO Label)</w:t>
            </w:r>
          </w:p>
        </w:tc>
        <w:tc>
          <w:tcPr>
            <w:tcW w:type="dxa" w:w="2880"/>
          </w:tcPr>
          <w:p>
            <w:r>
              <w:t>First Documented Origin</w:t>
            </w:r>
          </w:p>
        </w:tc>
        <w:tc>
          <w:tcPr>
            <w:tcW w:type="dxa" w:w="2880"/>
          </w:tcPr>
          <w:p>
            <w:r>
              <w:t>Key Epidemiological Impact</w:t>
            </w:r>
          </w:p>
        </w:tc>
      </w:tr>
      <w:tr>
        <w:tc>
          <w:tcPr>
            <w:tcW w:type="dxa" w:w="2880"/>
          </w:tcPr>
          <w:p>
            <w:r>
              <w:t>Alpha (B.1.1.7)</w:t>
            </w:r>
          </w:p>
        </w:tc>
        <w:tc>
          <w:tcPr>
            <w:tcW w:type="dxa" w:w="2880"/>
          </w:tcPr>
          <w:p>
            <w:r>
              <w:t>United Kingdom (Sep 2020)</w:t>
            </w:r>
          </w:p>
        </w:tc>
        <w:tc>
          <w:tcPr>
            <w:tcW w:type="dxa" w:w="2880"/>
          </w:tcPr>
          <w:p>
            <w:r>
              <w:t>Demonstrated a ~50% increase in transmissibility over the ancestral strain. Driven by the N501Y mutation in the spike protein.</w:t>
            </w:r>
          </w:p>
        </w:tc>
      </w:tr>
      <w:tr>
        <w:tc>
          <w:tcPr>
            <w:tcW w:type="dxa" w:w="2880"/>
          </w:tcPr>
          <w:p>
            <w:r>
              <w:t>Beta (B.1.351)</w:t>
            </w:r>
          </w:p>
        </w:tc>
        <w:tc>
          <w:tcPr>
            <w:tcW w:type="dxa" w:w="2880"/>
          </w:tcPr>
          <w:p>
            <w:r>
              <w:t>South Africa (May 2020)</w:t>
            </w:r>
          </w:p>
        </w:tc>
        <w:tc>
          <w:tcPr>
            <w:tcW w:type="dxa" w:w="2880"/>
          </w:tcPr>
          <w:p>
            <w:r>
              <w:t>Highlighted the virus's ability to evade immunity; vaccines showed reduced efficacy against symptomatic infection from this variant.</w:t>
            </w:r>
          </w:p>
        </w:tc>
      </w:tr>
      <w:tr>
        <w:tc>
          <w:tcPr>
            <w:tcW w:type="dxa" w:w="2880"/>
          </w:tcPr>
          <w:p>
            <w:r>
              <w:t>Gamma (P.1)</w:t>
            </w:r>
          </w:p>
        </w:tc>
        <w:tc>
          <w:tcPr>
            <w:tcW w:type="dxa" w:w="2880"/>
          </w:tcPr>
          <w:p>
            <w:r>
              <w:t>Brazil (Nov 2020)</w:t>
            </w:r>
          </w:p>
        </w:tc>
        <w:tc>
          <w:tcPr>
            <w:tcW w:type="dxa" w:w="2880"/>
          </w:tcPr>
          <w:p>
            <w:r>
              <w:t>Caused a massive surge in Manaus, Brazil, despite high rates of previous infection, demonstrating significant reinfection potential.</w:t>
            </w:r>
          </w:p>
        </w:tc>
      </w:tr>
      <w:tr>
        <w:tc>
          <w:tcPr>
            <w:tcW w:type="dxa" w:w="2880"/>
          </w:tcPr>
          <w:p>
            <w:r>
              <w:t>Delta (B.1.617.2)</w:t>
            </w:r>
          </w:p>
        </w:tc>
        <w:tc>
          <w:tcPr>
            <w:tcW w:type="dxa" w:w="2880"/>
          </w:tcPr>
          <w:p>
            <w:r>
              <w:t>India (Oct 2020)</w:t>
            </w:r>
          </w:p>
        </w:tc>
        <w:tc>
          <w:tcPr>
            <w:tcW w:type="dxa" w:w="2880"/>
          </w:tcPr>
          <w:p>
            <w:r>
              <w:t>Vastly more contagious and virulent, causing severe global waves, higher hospitalization rates, and a shift in the pandemic's trajectory.</w:t>
            </w:r>
          </w:p>
        </w:tc>
      </w:tr>
      <w:tr>
        <w:tc>
          <w:tcPr>
            <w:tcW w:type="dxa" w:w="2880"/>
          </w:tcPr>
          <w:p>
            <w:r>
              <w:t>Omicron (B.1.1.529)</w:t>
            </w:r>
          </w:p>
        </w:tc>
        <w:tc>
          <w:tcPr>
            <w:tcW w:type="dxa" w:w="2880"/>
          </w:tcPr>
          <w:p>
            <w:r>
              <w:t>South Africa (Nov 2021)</w:t>
            </w:r>
          </w:p>
        </w:tc>
        <w:tc>
          <w:tcPr>
            <w:tcW w:type="dxa" w:w="2880"/>
          </w:tcPr>
          <w:p>
            <w:r>
              <w:t>Featured over 30 mutations in the spike protein. Unprecedented transmissibility and immune evasion, but generally resulted in less severe lower-respiratory disease.</w:t>
            </w:r>
          </w:p>
        </w:tc>
      </w:tr>
      <w:tr>
        <w:tc>
          <w:tcPr>
            <w:tcW w:type="dxa" w:w="2880"/>
          </w:tcPr>
          <w:p>
            <w:r>
              <w:t>JN.1 / KP.2 (Subvariants)</w:t>
            </w:r>
          </w:p>
        </w:tc>
        <w:tc>
          <w:tcPr>
            <w:tcW w:type="dxa" w:w="2880"/>
          </w:tcPr>
          <w:p>
            <w:r>
              <w:t>Global (2023-2024)</w:t>
            </w:r>
          </w:p>
        </w:tc>
        <w:tc>
          <w:tcPr>
            <w:tcW w:type="dxa" w:w="2880"/>
          </w:tcPr>
          <w:p>
            <w:r>
              <w:t>Descendants of Omicron that continued to drive periodic waves globally, maintaining high immune evasion while severity remained blunted by population immunity.</w:t>
            </w:r>
          </w:p>
        </w:tc>
      </w:tr>
    </w:tbl>
    <w:p>
      <w:pPr>
        <w:pStyle w:val="Heading1"/>
      </w:pPr>
      <w:r>
        <w:rPr>
          <w:rFonts w:ascii="Times New Roman" w:hAnsi="Times New Roman"/>
          <w:sz w:val="32"/>
        </w:rPr>
        <w:t>4. Global Public Health Response and Mitigation</w:t>
      </w:r>
    </w:p>
    <w:p>
      <w:r>
        <w:t>The global response to COVID-19 required unprecedented non-pharmaceutical interventions (NPIs) prior to the availability of vaccines. Governments worldwide implemented strategies to 'flatten the curve' and prevent healthcare systems from collapsing.</w:t>
      </w:r>
    </w:p>
    <w:p>
      <w:pPr>
        <w:pStyle w:val="ListBullet"/>
      </w:pPr>
      <w:r>
        <w:t>Lockdowns and Stay-at-Home Orders: Broad restrictions on movement and the closure of non-essential businesses and schools.</w:t>
      </w:r>
    </w:p>
    <w:p>
      <w:pPr>
        <w:pStyle w:val="ListBullet"/>
      </w:pPr>
      <w:r>
        <w:t>Travel Restrictions: International and domestic travel bans, quarantine mandates for arrivals, and testing requirements.</w:t>
      </w:r>
    </w:p>
    <w:p>
      <w:pPr>
        <w:pStyle w:val="ListBullet"/>
      </w:pPr>
      <w:r>
        <w:t>Testing and Tracing: Massive scale-up of RT-PCR testing, followed by the widespread availability of Rapid Antigen Tests (RATs). Contact tracing aimed to isolate exposed individuals.</w:t>
      </w:r>
    </w:p>
    <w:p>
      <w:pPr>
        <w:pStyle w:val="ListBullet"/>
      </w:pPr>
      <w:r>
        <w:t>Masking Mandates: Public health directives requiring facial coverings (cloth, surgical, and N95/KN95 respirators) in public spaces and transit.</w:t>
      </w:r>
    </w:p>
    <w:p>
      <w:r>
        <w:br w:type="page"/>
      </w:r>
    </w:p>
    <w:p>
      <w:pPr>
        <w:pStyle w:val="Heading1"/>
      </w:pPr>
      <w:r>
        <w:rPr>
          <w:rFonts w:ascii="Times New Roman" w:hAnsi="Times New Roman"/>
          <w:sz w:val="32"/>
        </w:rPr>
        <w:t>5. Therapeutics and the Vaccination Landscape</w:t>
      </w:r>
    </w:p>
    <w:p>
      <w:r>
        <w:t>The rapid development and deployment of COVID-19 vaccines represents a historic scientific achievement. Multiple platforms were utilized to deliver safe and effective immunization to billions of people:</w:t>
      </w:r>
    </w:p>
    <w:p>
      <w:pPr>
        <w:pStyle w:val="ListBullet"/>
      </w:pPr>
      <w:r>
        <w:t>mRNA Vaccines (Pfizer-BioNTech, Moderna): Delivered a genetic instruction set to cells to produce the spike protein, triggering an immune response without exposing the body to the actual virus.</w:t>
      </w:r>
    </w:p>
    <w:p>
      <w:pPr>
        <w:pStyle w:val="ListBullet"/>
      </w:pPr>
      <w:r>
        <w:t>Viral Vector Vaccines (Johnson &amp; Johnson, AstraZeneca): Used a modified, harmless adenovirus to carry the genetic code for the spike protein into human cells.</w:t>
      </w:r>
    </w:p>
    <w:p>
      <w:pPr>
        <w:pStyle w:val="ListBullet"/>
      </w:pPr>
      <w:r>
        <w:t>Protein Subunit Vaccines (Novavax): Contained purified pieces of the spike protein alongside an adjuvant to boost the immune response.</w:t>
      </w:r>
    </w:p>
    <w:p>
      <w:pPr>
        <w:pStyle w:val="ListBullet"/>
      </w:pPr>
      <w:r>
        <w:t>Inactivated Virus Vaccines (Sinovac, Sinopharm): Used chemically inactivated SARS-CoV-2 virus, a more traditional vaccine technology primarily deployed in Asia and developing nations.</w:t>
      </w:r>
    </w:p>
    <w:p>
      <w:r>
        <w:t>Therapeutic options also evolved. Monoclonal antibodies were heavily used early in the pandemic, though they frequently lost efficacy as the virus mutated. Oral antivirals, most notably Paxlovid (nirmatrelvir/ritonavir) and Molnupiravir, became standard outpatient treatments to prevent severe disease in high-risk patients. Inpatient care relied heavily on corticosteroids (like dexamethasone) and immunomodulators.</w:t>
      </w:r>
    </w:p>
    <w:p>
      <w:pPr>
        <w:pStyle w:val="Heading1"/>
      </w:pPr>
      <w:r>
        <w:rPr>
          <w:rFonts w:ascii="Times New Roman" w:hAnsi="Times New Roman"/>
          <w:sz w:val="32"/>
        </w:rPr>
        <w:t>6. Post-Acute Sequelae of SARS-CoV-2 (Long COVID)</w:t>
      </w:r>
    </w:p>
    <w:p>
      <w:r>
        <w:t>A significant portion of individuals who recover from the acute phase of COVID-19 continue to experience prolonged symptoms, a condition broadly termed 'Long COVID' or Post-Acute Sequelae of SARS-CoV-2 infection (PASC). Symptoms can persist for months or years and deeply impact quality of life.</w:t>
      </w:r>
    </w:p>
    <w:p>
      <w:r>
        <w:t>Common Long COVID symptoms include chronic fatigue, post-exertional malaise, 'brain fog' (cognitive impairment and memory issues), tachycardia, shortness of breath, and chronic pain. The underlying mechanisms remain a subject of intense research, with hypotheses pointing to viral persistence, persistent immune dysregulation and inflammation, microvascular blood clotting, and autoimmune responses.</w:t>
      </w:r>
    </w:p>
    <w:p>
      <w:pPr>
        <w:pStyle w:val="Heading1"/>
      </w:pPr>
      <w:r>
        <w:rPr>
          <w:rFonts w:ascii="Times New Roman" w:hAnsi="Times New Roman"/>
          <w:sz w:val="32"/>
        </w:rPr>
        <w:t>7. Conclusion and Future Preparedness</w:t>
      </w:r>
    </w:p>
    <w:p>
      <w:r>
        <w:t>The COVID-19 pandemic reshaped global society, highlighting profound vulnerabilities in global supply chains, healthcare infrastructure, and public health communication. While the acute emergency phase has ended and population-level immunity is robust due to vaccination and widespread infection, SARS-CoV-2 continues to circulate as an endemic respiratory virus.</w:t>
      </w:r>
    </w:p>
    <w:p>
      <w:r>
        <w:t>Moving forward, pandemic preparedness relies on sustained genomic surveillance to detect new variants early, the continued refinement of next-generation vaccines (including mucosal and pan-coronavirus vaccines), improving indoor air quality (ventilation and filtration), and addressing the long-term healthcare needs of those suffering from Long COVID.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